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AA09" w14:textId="6D115BFE" w:rsidR="00B029E4" w:rsidRPr="00BF173D" w:rsidRDefault="00B029E4" w:rsidP="00BF173D">
      <w:pPr>
        <w:spacing w:before="102" w:line="1800" w:lineRule="auto"/>
        <w:ind w:left="5710"/>
        <w:rPr>
          <w:b/>
          <w:color w:val="000000" w:themeColor="text1"/>
          <w:w w:val="80"/>
          <w:sz w:val="63"/>
        </w:rPr>
      </w:pPr>
      <w:r w:rsidRPr="00327F51">
        <w:rPr>
          <w:noProof/>
          <w:color w:val="000000" w:themeColor="text1"/>
        </w:rPr>
        <w:drawing>
          <wp:anchor distT="0" distB="0" distL="0" distR="0" simplePos="0" relativeHeight="251656704" behindDoc="0" locked="0" layoutInCell="1" allowOverlap="1" wp14:anchorId="55470029" wp14:editId="513223AE">
            <wp:simplePos x="0" y="0"/>
            <wp:positionH relativeFrom="page">
              <wp:posOffset>4626720</wp:posOffset>
            </wp:positionH>
            <wp:positionV relativeFrom="paragraph">
              <wp:posOffset>-9580</wp:posOffset>
            </wp:positionV>
            <wp:extent cx="2003996" cy="521872"/>
            <wp:effectExtent l="0" t="0" r="0" b="0"/>
            <wp:wrapNone/>
            <wp:docPr id="1" name="image1.png" descr="NDS logo www..NDS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DS logo www..NDS.org.au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96" cy="52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5E9C6" w14:textId="77777777" w:rsidR="00B029E4" w:rsidRPr="00B029E4" w:rsidRDefault="00BF173D" w:rsidP="00B029E4">
      <w:pPr>
        <w:pStyle w:val="BodyText"/>
        <w:jc w:val="center"/>
        <w:rPr>
          <w:b/>
          <w:w w:val="80"/>
          <w:sz w:val="56"/>
          <w:szCs w:val="56"/>
        </w:rPr>
      </w:pPr>
      <w:r w:rsidRPr="00B029E4">
        <w:rPr>
          <w:b/>
          <w:w w:val="80"/>
          <w:sz w:val="56"/>
          <w:szCs w:val="56"/>
        </w:rPr>
        <w:t xml:space="preserve">NDS Position Paper: </w:t>
      </w:r>
    </w:p>
    <w:p w14:paraId="5546FF00" w14:textId="4432CD2C" w:rsidR="00DC2449" w:rsidRPr="00B029E4" w:rsidRDefault="00BF173D" w:rsidP="00B029E4">
      <w:pPr>
        <w:pStyle w:val="BodyText"/>
        <w:jc w:val="center"/>
        <w:rPr>
          <w:sz w:val="56"/>
          <w:szCs w:val="56"/>
        </w:rPr>
      </w:pPr>
      <w:r w:rsidRPr="00B029E4">
        <w:rPr>
          <w:w w:val="85"/>
          <w:sz w:val="56"/>
          <w:szCs w:val="56"/>
        </w:rPr>
        <w:t xml:space="preserve">Improving school-to-work </w:t>
      </w:r>
      <w:r w:rsidRPr="00B029E4">
        <w:rPr>
          <w:w w:val="80"/>
          <w:sz w:val="56"/>
          <w:szCs w:val="56"/>
        </w:rPr>
        <w:t>transition through the NDIS</w:t>
      </w:r>
    </w:p>
    <w:p w14:paraId="5546FF01" w14:textId="77777777" w:rsidR="00DC2449" w:rsidRDefault="00DC2449">
      <w:pPr>
        <w:spacing w:line="252" w:lineRule="auto"/>
        <w:rPr>
          <w:sz w:val="51"/>
        </w:rPr>
        <w:sectPr w:rsidR="00DC2449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546FF02" w14:textId="77777777" w:rsidR="00DC2449" w:rsidRDefault="00DC2449">
      <w:pPr>
        <w:pStyle w:val="BodyText"/>
        <w:rPr>
          <w:sz w:val="20"/>
        </w:rPr>
      </w:pPr>
    </w:p>
    <w:p w14:paraId="5546FF03" w14:textId="77777777" w:rsidR="00DC2449" w:rsidRDefault="00DC2449">
      <w:pPr>
        <w:pStyle w:val="BodyText"/>
        <w:rPr>
          <w:sz w:val="20"/>
        </w:rPr>
      </w:pPr>
    </w:p>
    <w:p w14:paraId="5546FF04" w14:textId="77777777" w:rsidR="00DC2449" w:rsidRDefault="00DC2449">
      <w:pPr>
        <w:pStyle w:val="BodyText"/>
        <w:spacing w:before="9"/>
        <w:rPr>
          <w:sz w:val="18"/>
        </w:rPr>
      </w:pPr>
    </w:p>
    <w:p w14:paraId="5546FF05" w14:textId="77777777" w:rsidR="00DC2449" w:rsidRPr="00925A97" w:rsidRDefault="00BF173D">
      <w:pPr>
        <w:pStyle w:val="Heading1"/>
        <w:rPr>
          <w:color w:val="000000" w:themeColor="text1"/>
        </w:rPr>
      </w:pPr>
      <w:r w:rsidRPr="00925A97">
        <w:rPr>
          <w:color w:val="000000" w:themeColor="text1"/>
          <w:spacing w:val="-16"/>
        </w:rPr>
        <w:t>Table</w:t>
      </w:r>
      <w:r w:rsidRPr="00925A97">
        <w:rPr>
          <w:color w:val="000000" w:themeColor="text1"/>
          <w:spacing w:val="-19"/>
        </w:rPr>
        <w:t xml:space="preserve"> </w:t>
      </w:r>
      <w:r w:rsidRPr="00925A97">
        <w:rPr>
          <w:color w:val="000000" w:themeColor="text1"/>
          <w:spacing w:val="-16"/>
        </w:rPr>
        <w:t>of</w:t>
      </w:r>
      <w:r w:rsidRPr="00925A97">
        <w:rPr>
          <w:color w:val="000000" w:themeColor="text1"/>
          <w:spacing w:val="-18"/>
        </w:rPr>
        <w:t xml:space="preserve"> </w:t>
      </w:r>
      <w:r w:rsidRPr="00925A97">
        <w:rPr>
          <w:color w:val="000000" w:themeColor="text1"/>
          <w:spacing w:val="-16"/>
        </w:rPr>
        <w:t>Contents</w:t>
      </w:r>
    </w:p>
    <w:sdt>
      <w:sdtPr>
        <w:id w:val="1291775637"/>
        <w:docPartObj>
          <w:docPartGallery w:val="Table of Contents"/>
          <w:docPartUnique/>
        </w:docPartObj>
      </w:sdtPr>
      <w:sdtEndPr/>
      <w:sdtContent>
        <w:p w14:paraId="5546FF06" w14:textId="77777777" w:rsidR="00DC2449" w:rsidRPr="00F619A9" w:rsidRDefault="00BF173D">
          <w:pPr>
            <w:pStyle w:val="TOC1"/>
            <w:tabs>
              <w:tab w:val="right" w:leader="dot" w:pos="8525"/>
            </w:tabs>
            <w:spacing w:before="305"/>
            <w:rPr>
              <w:b w:val="0"/>
              <w:bCs w:val="0"/>
            </w:rPr>
          </w:pPr>
          <w:r w:rsidRPr="00F619A9">
            <w:rPr>
              <w:color w:val="000000" w:themeColor="text1"/>
            </w:rPr>
            <w:t>NDS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Position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Paper: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Improving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school-to-work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transition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through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the</w:t>
          </w:r>
          <w:r w:rsidRPr="00F619A9">
            <w:rPr>
              <w:color w:val="000000" w:themeColor="text1"/>
            </w:rPr>
            <w:t xml:space="preserve"> </w:t>
          </w:r>
          <w:r w:rsidRPr="00F619A9">
            <w:rPr>
              <w:color w:val="000000" w:themeColor="text1"/>
            </w:rPr>
            <w:t>NDIS</w:t>
          </w:r>
          <w:r w:rsidRPr="00F619A9">
            <w:rPr>
              <w:b w:val="0"/>
              <w:bCs w:val="0"/>
            </w:rPr>
            <w:tab/>
          </w:r>
          <w:r w:rsidRPr="00F619A9">
            <w:rPr>
              <w:b w:val="0"/>
              <w:bCs w:val="0"/>
            </w:rPr>
            <w:t>1</w:t>
          </w:r>
        </w:p>
        <w:p w14:paraId="5546FF07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13" w:history="1">
            <w:r w:rsidRPr="00021C92">
              <w:t>Summary</w:t>
            </w:r>
            <w:r w:rsidRPr="00F619A9">
              <w:tab/>
            </w:r>
            <w:r w:rsidRPr="00F619A9">
              <w:t>3</w:t>
            </w:r>
          </w:hyperlink>
        </w:p>
        <w:p w14:paraId="5546FF08" w14:textId="77777777" w:rsidR="00DC2449" w:rsidRPr="00F619A9" w:rsidRDefault="00BF173D">
          <w:pPr>
            <w:pStyle w:val="TOC3"/>
            <w:tabs>
              <w:tab w:val="right" w:leader="dot" w:pos="8525"/>
            </w:tabs>
          </w:pPr>
          <w:hyperlink w:anchor="_TOC_250012" w:history="1">
            <w:r w:rsidRPr="00F619A9">
              <w:t>Key</w:t>
            </w:r>
            <w:r w:rsidRPr="00F619A9">
              <w:t xml:space="preserve"> </w:t>
            </w:r>
            <w:r w:rsidRPr="00F619A9">
              <w:t>recommendations</w:t>
            </w:r>
            <w:r w:rsidRPr="00F619A9">
              <w:tab/>
            </w:r>
            <w:r w:rsidRPr="00F619A9">
              <w:t>3</w:t>
            </w:r>
          </w:hyperlink>
        </w:p>
        <w:p w14:paraId="5546FF09" w14:textId="77777777" w:rsidR="00DC2449" w:rsidRPr="00F619A9" w:rsidRDefault="00BF173D">
          <w:pPr>
            <w:pStyle w:val="TOC3"/>
            <w:tabs>
              <w:tab w:val="right" w:leader="dot" w:pos="8525"/>
            </w:tabs>
          </w:pPr>
          <w:hyperlink w:anchor="_TOC_250011" w:history="1">
            <w:r w:rsidRPr="00F619A9">
              <w:t>NDS</w:t>
            </w:r>
            <w:r w:rsidRPr="00F619A9">
              <w:t xml:space="preserve"> </w:t>
            </w:r>
            <w:r w:rsidRPr="00F619A9">
              <w:t>and</w:t>
            </w:r>
            <w:r w:rsidRPr="00F619A9">
              <w:t xml:space="preserve"> </w:t>
            </w:r>
            <w:r w:rsidRPr="00F619A9">
              <w:t>our</w:t>
            </w:r>
            <w:r w:rsidRPr="00F619A9">
              <w:t xml:space="preserve"> </w:t>
            </w:r>
            <w:r w:rsidRPr="00F619A9">
              <w:t>work</w:t>
            </w:r>
            <w:r w:rsidRPr="00F619A9">
              <w:t xml:space="preserve"> </w:t>
            </w:r>
            <w:r w:rsidRPr="00F619A9">
              <w:t>in</w:t>
            </w:r>
            <w:r w:rsidRPr="00F619A9">
              <w:t xml:space="preserve"> </w:t>
            </w:r>
            <w:r w:rsidRPr="00F619A9">
              <w:t>school-to-work</w:t>
            </w:r>
            <w:r w:rsidRPr="00F619A9">
              <w:t xml:space="preserve"> </w:t>
            </w:r>
            <w:r w:rsidRPr="00F619A9">
              <w:t>transition</w:t>
            </w:r>
            <w:r w:rsidRPr="00F619A9">
              <w:tab/>
            </w:r>
            <w:r w:rsidRPr="00F619A9">
              <w:t>3</w:t>
            </w:r>
          </w:hyperlink>
        </w:p>
        <w:p w14:paraId="5546FF0A" w14:textId="77777777" w:rsidR="00DC2449" w:rsidRPr="00F619A9" w:rsidRDefault="00BF173D">
          <w:pPr>
            <w:pStyle w:val="TOC3"/>
            <w:tabs>
              <w:tab w:val="right" w:leader="dot" w:pos="8525"/>
            </w:tabs>
          </w:pPr>
          <w:hyperlink w:anchor="_TOC_250010" w:history="1">
            <w:r w:rsidRPr="00F619A9">
              <w:t>Related</w:t>
            </w:r>
            <w:r w:rsidRPr="00F619A9">
              <w:t xml:space="preserve"> research</w:t>
            </w:r>
            <w:r w:rsidRPr="00F619A9">
              <w:tab/>
            </w:r>
            <w:r w:rsidRPr="00F619A9">
              <w:t>5</w:t>
            </w:r>
          </w:hyperlink>
        </w:p>
        <w:p w14:paraId="5546FF0B" w14:textId="77777777" w:rsidR="00DC2449" w:rsidRPr="00F619A9" w:rsidRDefault="00BF173D">
          <w:pPr>
            <w:pStyle w:val="TOC1"/>
            <w:tabs>
              <w:tab w:val="right" w:leader="dot" w:pos="8525"/>
            </w:tabs>
            <w:rPr>
              <w:b w:val="0"/>
              <w:bCs w:val="0"/>
            </w:rPr>
          </w:pPr>
          <w:hyperlink w:anchor="_TOC_250009" w:history="1">
            <w:r w:rsidRPr="00F619A9">
              <w:t>Discussion</w:t>
            </w:r>
            <w:r w:rsidRPr="00F619A9">
              <w:rPr>
                <w:b w:val="0"/>
                <w:bCs w:val="0"/>
              </w:rPr>
              <w:tab/>
            </w:r>
            <w:r w:rsidRPr="00F619A9">
              <w:rPr>
                <w:b w:val="0"/>
                <w:bCs w:val="0"/>
              </w:rPr>
              <w:t>6</w:t>
            </w:r>
          </w:hyperlink>
        </w:p>
        <w:p w14:paraId="5546FF0C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08" w:history="1">
            <w:r w:rsidRPr="00F619A9">
              <w:t>S</w:t>
            </w:r>
            <w:r w:rsidRPr="00F619A9">
              <w:t>upports</w:t>
            </w:r>
            <w:r w:rsidRPr="00F619A9">
              <w:t xml:space="preserve"> </w:t>
            </w:r>
            <w:r w:rsidRPr="00F619A9">
              <w:t>should</w:t>
            </w:r>
            <w:r w:rsidRPr="00F619A9">
              <w:t xml:space="preserve"> </w:t>
            </w:r>
            <w:r w:rsidRPr="00F619A9">
              <w:t>start</w:t>
            </w:r>
            <w:r w:rsidRPr="00F619A9">
              <w:t xml:space="preserve"> </w:t>
            </w:r>
            <w:r w:rsidRPr="00F619A9">
              <w:t>in</w:t>
            </w:r>
            <w:r w:rsidRPr="00F619A9">
              <w:t xml:space="preserve"> </w:t>
            </w:r>
            <w:r w:rsidRPr="00F619A9">
              <w:t>middle</w:t>
            </w:r>
            <w:r w:rsidRPr="00F619A9">
              <w:t xml:space="preserve"> </w:t>
            </w:r>
            <w:r w:rsidRPr="00F619A9">
              <w:t>school,</w:t>
            </w:r>
            <w:r w:rsidRPr="00F619A9">
              <w:t xml:space="preserve"> </w:t>
            </w:r>
            <w:r w:rsidRPr="00F619A9">
              <w:t>in</w:t>
            </w:r>
            <w:r w:rsidRPr="00F619A9">
              <w:t xml:space="preserve"> </w:t>
            </w:r>
            <w:r w:rsidRPr="00F619A9">
              <w:t>line</w:t>
            </w:r>
            <w:r w:rsidRPr="00F619A9">
              <w:t xml:space="preserve"> </w:t>
            </w:r>
            <w:r w:rsidRPr="00F619A9">
              <w:t>with</w:t>
            </w:r>
            <w:r w:rsidRPr="00F619A9">
              <w:t xml:space="preserve"> </w:t>
            </w:r>
            <w:r w:rsidRPr="00F619A9">
              <w:t>good</w:t>
            </w:r>
            <w:r w:rsidRPr="00F619A9">
              <w:t xml:space="preserve"> </w:t>
            </w:r>
            <w:r w:rsidRPr="00F619A9">
              <w:t>practice</w:t>
            </w:r>
            <w:r w:rsidRPr="00F619A9">
              <w:tab/>
            </w:r>
            <w:r w:rsidRPr="00F619A9">
              <w:t>6</w:t>
            </w:r>
          </w:hyperlink>
        </w:p>
        <w:p w14:paraId="5546FF0D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07" w:history="1">
            <w:r w:rsidRPr="00F619A9">
              <w:t>Employment</w:t>
            </w:r>
            <w:r w:rsidRPr="00F619A9">
              <w:t xml:space="preserve"> </w:t>
            </w:r>
            <w:r w:rsidRPr="00F619A9">
              <w:t>first</w:t>
            </w:r>
            <w:r w:rsidRPr="00F619A9">
              <w:t xml:space="preserve"> </w:t>
            </w:r>
            <w:r w:rsidRPr="00F619A9">
              <w:t>supports</w:t>
            </w:r>
            <w:r w:rsidRPr="00F619A9">
              <w:t xml:space="preserve"> </w:t>
            </w:r>
            <w:r w:rsidRPr="00F619A9">
              <w:t>that</w:t>
            </w:r>
            <w:r w:rsidRPr="00F619A9">
              <w:t xml:space="preserve"> </w:t>
            </w:r>
            <w:r w:rsidRPr="00F619A9">
              <w:t>are</w:t>
            </w:r>
            <w:r w:rsidRPr="00F619A9">
              <w:t xml:space="preserve"> </w:t>
            </w:r>
            <w:proofErr w:type="spellStart"/>
            <w:r w:rsidRPr="00F619A9">
              <w:t>individualised</w:t>
            </w:r>
            <w:proofErr w:type="spellEnd"/>
            <w:r w:rsidRPr="00F619A9">
              <w:tab/>
            </w:r>
            <w:r w:rsidRPr="00F619A9">
              <w:t>7</w:t>
            </w:r>
          </w:hyperlink>
        </w:p>
        <w:p w14:paraId="5546FF0E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06" w:history="1">
            <w:r w:rsidRPr="00F619A9">
              <w:t>Building</w:t>
            </w:r>
            <w:r w:rsidRPr="00F619A9">
              <w:t xml:space="preserve"> </w:t>
            </w:r>
            <w:r w:rsidRPr="00F619A9">
              <w:t>the</w:t>
            </w:r>
            <w:r w:rsidRPr="00F619A9">
              <w:t xml:space="preserve"> </w:t>
            </w:r>
            <w:r w:rsidRPr="00F619A9">
              <w:t>capacity</w:t>
            </w:r>
            <w:r w:rsidRPr="00F619A9">
              <w:t xml:space="preserve"> </w:t>
            </w:r>
            <w:r w:rsidRPr="00F619A9">
              <w:t>of</w:t>
            </w:r>
            <w:r w:rsidRPr="00F619A9">
              <w:t xml:space="preserve"> </w:t>
            </w:r>
            <w:r w:rsidRPr="00F619A9">
              <w:t>the</w:t>
            </w:r>
            <w:r w:rsidRPr="00F619A9">
              <w:t xml:space="preserve"> </w:t>
            </w:r>
            <w:r w:rsidRPr="00F619A9">
              <w:t>mainstream,</w:t>
            </w:r>
            <w:r w:rsidRPr="00F619A9">
              <w:t xml:space="preserve"> </w:t>
            </w:r>
            <w:r w:rsidRPr="00F619A9">
              <w:t>and</w:t>
            </w:r>
            <w:r w:rsidRPr="00F619A9">
              <w:t xml:space="preserve"> </w:t>
            </w:r>
            <w:r w:rsidRPr="00F619A9">
              <w:t>coordinated</w:t>
            </w:r>
            <w:r w:rsidRPr="00F619A9">
              <w:t xml:space="preserve"> </w:t>
            </w:r>
            <w:r w:rsidRPr="00F619A9">
              <w:t>approach</w:t>
            </w:r>
            <w:r w:rsidRPr="00F619A9">
              <w:tab/>
            </w:r>
            <w:r w:rsidRPr="00F619A9">
              <w:t>7</w:t>
            </w:r>
          </w:hyperlink>
        </w:p>
        <w:p w14:paraId="5546FF0F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05" w:history="1">
            <w:r w:rsidRPr="00F619A9">
              <w:t>Ensure</w:t>
            </w:r>
            <w:r w:rsidRPr="00F619A9">
              <w:t xml:space="preserve"> </w:t>
            </w:r>
            <w:r w:rsidRPr="00F619A9">
              <w:t>evidence-based</w:t>
            </w:r>
            <w:r w:rsidRPr="00F619A9">
              <w:t xml:space="preserve"> </w:t>
            </w:r>
            <w:r w:rsidRPr="00F619A9">
              <w:t>supports</w:t>
            </w:r>
            <w:r w:rsidRPr="00F619A9">
              <w:t xml:space="preserve"> </w:t>
            </w:r>
            <w:r w:rsidRPr="00F619A9">
              <w:t>for</w:t>
            </w:r>
            <w:r w:rsidRPr="00F619A9">
              <w:t xml:space="preserve"> </w:t>
            </w:r>
            <w:r w:rsidRPr="00F619A9">
              <w:t>school-to-work</w:t>
            </w:r>
            <w:r w:rsidRPr="00F619A9">
              <w:t xml:space="preserve"> </w:t>
            </w:r>
            <w:r w:rsidRPr="00F619A9">
              <w:t>transition</w:t>
            </w:r>
            <w:r w:rsidRPr="00F619A9">
              <w:tab/>
            </w:r>
            <w:r w:rsidRPr="00F619A9">
              <w:t>8</w:t>
            </w:r>
          </w:hyperlink>
        </w:p>
        <w:p w14:paraId="5546FF10" w14:textId="77777777" w:rsidR="00DC2449" w:rsidRPr="00F619A9" w:rsidRDefault="00BF173D">
          <w:pPr>
            <w:pStyle w:val="TOC2"/>
            <w:tabs>
              <w:tab w:val="right" w:leader="dot" w:pos="8525"/>
            </w:tabs>
            <w:spacing w:before="25"/>
          </w:pPr>
          <w:hyperlink w:anchor="_TOC_250004" w:history="1">
            <w:r w:rsidRPr="00F619A9">
              <w:t>Incentives</w:t>
            </w:r>
            <w:r w:rsidRPr="00F619A9">
              <w:t xml:space="preserve"> </w:t>
            </w:r>
            <w:r w:rsidRPr="00F619A9">
              <w:t>for</w:t>
            </w:r>
            <w:r w:rsidRPr="00F619A9">
              <w:t xml:space="preserve"> </w:t>
            </w:r>
            <w:proofErr w:type="spellStart"/>
            <w:r w:rsidRPr="00F619A9">
              <w:t>normalised</w:t>
            </w:r>
            <w:proofErr w:type="spellEnd"/>
            <w:r w:rsidRPr="00F619A9">
              <w:t xml:space="preserve"> </w:t>
            </w:r>
            <w:r w:rsidRPr="00F619A9">
              <w:t>school-to-work</w:t>
            </w:r>
            <w:r w:rsidRPr="00F619A9">
              <w:t xml:space="preserve"> </w:t>
            </w:r>
            <w:r w:rsidRPr="00F619A9">
              <w:t>pathways</w:t>
            </w:r>
            <w:r w:rsidRPr="00F619A9">
              <w:tab/>
            </w:r>
            <w:r w:rsidRPr="00F619A9">
              <w:t>9</w:t>
            </w:r>
          </w:hyperlink>
        </w:p>
        <w:p w14:paraId="5546FF11" w14:textId="77777777" w:rsidR="00DC2449" w:rsidRPr="00F619A9" w:rsidRDefault="00BF173D">
          <w:pPr>
            <w:pStyle w:val="TOC2"/>
            <w:tabs>
              <w:tab w:val="right" w:leader="dot" w:pos="8525"/>
            </w:tabs>
          </w:pPr>
          <w:hyperlink w:anchor="_TOC_250003" w:history="1">
            <w:r w:rsidRPr="00F619A9">
              <w:t>Assessment</w:t>
            </w:r>
            <w:r w:rsidRPr="00F619A9">
              <w:tab/>
            </w:r>
            <w:r w:rsidRPr="00F619A9">
              <w:t>9</w:t>
            </w:r>
          </w:hyperlink>
        </w:p>
        <w:p w14:paraId="5546FF12" w14:textId="77777777" w:rsidR="00DC2449" w:rsidRPr="00925A97" w:rsidRDefault="00BF173D">
          <w:pPr>
            <w:pStyle w:val="TOC1"/>
            <w:tabs>
              <w:tab w:val="right" w:leader="dot" w:pos="8640"/>
            </w:tabs>
            <w:rPr>
              <w:color w:val="000000" w:themeColor="text1"/>
            </w:rPr>
          </w:pPr>
          <w:hyperlink w:anchor="_TOC_250002" w:history="1">
            <w:r w:rsidRPr="00925A97">
              <w:rPr>
                <w:color w:val="000000" w:themeColor="text1"/>
                <w:spacing w:val="-2"/>
              </w:rPr>
              <w:t>Conclu</w:t>
            </w:r>
            <w:r w:rsidRPr="00925A97">
              <w:rPr>
                <w:color w:val="000000" w:themeColor="text1"/>
                <w:spacing w:val="-2"/>
              </w:rPr>
              <w:t>sion</w:t>
            </w:r>
            <w:r w:rsidRPr="00925A97">
              <w:rPr>
                <w:color w:val="000000" w:themeColor="text1"/>
              </w:rPr>
              <w:tab/>
            </w:r>
            <w:r w:rsidRPr="00925A97">
              <w:rPr>
                <w:color w:val="000000" w:themeColor="text1"/>
                <w:spacing w:val="-5"/>
              </w:rPr>
              <w:t>10</w:t>
            </w:r>
          </w:hyperlink>
        </w:p>
        <w:p w14:paraId="5546FF13" w14:textId="77777777" w:rsidR="00DC2449" w:rsidRPr="00925A97" w:rsidRDefault="00BF173D">
          <w:pPr>
            <w:pStyle w:val="TOC1"/>
            <w:tabs>
              <w:tab w:val="right" w:leader="dot" w:pos="8640"/>
            </w:tabs>
            <w:rPr>
              <w:color w:val="000000" w:themeColor="text1"/>
            </w:rPr>
          </w:pPr>
          <w:hyperlink w:anchor="_TOC_250001" w:history="1">
            <w:r w:rsidRPr="00925A97">
              <w:rPr>
                <w:color w:val="000000" w:themeColor="text1"/>
                <w:spacing w:val="-2"/>
              </w:rPr>
              <w:t>Contact</w:t>
            </w:r>
            <w:r w:rsidRPr="00925A97">
              <w:rPr>
                <w:color w:val="000000" w:themeColor="text1"/>
              </w:rPr>
              <w:tab/>
            </w:r>
            <w:r w:rsidRPr="00925A97">
              <w:rPr>
                <w:color w:val="000000" w:themeColor="text1"/>
                <w:spacing w:val="-5"/>
              </w:rPr>
              <w:t>11</w:t>
            </w:r>
          </w:hyperlink>
        </w:p>
        <w:p w14:paraId="5546FF15" w14:textId="5874713D" w:rsidR="00DC2449" w:rsidRDefault="00BF173D" w:rsidP="00F619A9">
          <w:pPr>
            <w:pStyle w:val="TOC1"/>
            <w:tabs>
              <w:tab w:val="right" w:leader="dot" w:pos="8640"/>
            </w:tabs>
            <w:sectPr w:rsidR="00DC2449">
              <w:headerReference w:type="default" r:id="rId8"/>
              <w:pgSz w:w="11910" w:h="16840"/>
              <w:pgMar w:top="1540" w:right="0" w:bottom="280" w:left="0" w:header="780" w:footer="0" w:gutter="0"/>
              <w:pgNumType w:start="2"/>
              <w:cols w:space="720"/>
            </w:sectPr>
          </w:pPr>
          <w:hyperlink w:anchor="_TOC_250000" w:history="1">
            <w:r w:rsidRPr="00925A97">
              <w:rPr>
                <w:color w:val="000000" w:themeColor="text1"/>
                <w:spacing w:val="-2"/>
              </w:rPr>
              <w:t>References</w:t>
            </w:r>
            <w:r w:rsidRPr="00925A97">
              <w:rPr>
                <w:color w:val="000000" w:themeColor="text1"/>
              </w:rPr>
              <w:tab/>
            </w:r>
            <w:r w:rsidRPr="00925A97">
              <w:rPr>
                <w:color w:val="000000" w:themeColor="text1"/>
                <w:spacing w:val="-5"/>
              </w:rPr>
              <w:t>12</w:t>
            </w:r>
          </w:hyperlink>
        </w:p>
      </w:sdtContent>
    </w:sdt>
    <w:p w14:paraId="5546FF16" w14:textId="77777777" w:rsidR="00DC2449" w:rsidRDefault="00DC2449">
      <w:pPr>
        <w:pStyle w:val="BodyText"/>
        <w:spacing w:before="4"/>
        <w:rPr>
          <w:b/>
          <w:sz w:val="68"/>
        </w:rPr>
      </w:pPr>
    </w:p>
    <w:p w14:paraId="5546FF17" w14:textId="77777777" w:rsidR="00DC2449" w:rsidRPr="00615467" w:rsidRDefault="00BF173D">
      <w:pPr>
        <w:pStyle w:val="Heading1"/>
        <w:spacing w:before="1"/>
        <w:rPr>
          <w:color w:val="000000" w:themeColor="text1"/>
        </w:rPr>
      </w:pPr>
      <w:bookmarkStart w:id="0" w:name="_TOC_250013"/>
      <w:bookmarkEnd w:id="0"/>
      <w:r w:rsidRPr="00615467">
        <w:rPr>
          <w:color w:val="000000" w:themeColor="text1"/>
          <w:spacing w:val="-2"/>
        </w:rPr>
        <w:t>Summary</w:t>
      </w:r>
    </w:p>
    <w:p w14:paraId="5546FF18" w14:textId="77777777" w:rsidR="00DC2449" w:rsidRDefault="00BF173D">
      <w:pPr>
        <w:pStyle w:val="BodyText"/>
        <w:spacing w:before="304" w:line="261" w:lineRule="auto"/>
        <w:ind w:left="850" w:right="2419"/>
      </w:pPr>
      <w:r w:rsidRPr="00B029E4">
        <w:t>Employment</w:t>
      </w:r>
      <w:r>
        <w:t xml:space="preserve"> </w:t>
      </w:r>
      <w:r w:rsidRPr="00B029E4">
        <w:t>is</w:t>
      </w:r>
      <w:r>
        <w:t xml:space="preserve"> </w:t>
      </w:r>
      <w:r w:rsidRPr="00B029E4">
        <w:t>desirable</w:t>
      </w:r>
      <w:r>
        <w:t xml:space="preserve"> </w:t>
      </w:r>
      <w:r w:rsidRPr="00B029E4">
        <w:t>for</w:t>
      </w:r>
      <w:r>
        <w:t xml:space="preserve"> </w:t>
      </w:r>
      <w:r w:rsidRPr="00B029E4">
        <w:t>people</w:t>
      </w:r>
      <w:r>
        <w:t xml:space="preserve"> </w:t>
      </w:r>
      <w:r w:rsidRPr="00B029E4">
        <w:t>with</w:t>
      </w:r>
      <w:r>
        <w:t xml:space="preserve"> </w:t>
      </w:r>
      <w:r w:rsidRPr="00B029E4">
        <w:t>disability. It</w:t>
      </w:r>
      <w:r>
        <w:t xml:space="preserve"> </w:t>
      </w:r>
      <w:r w:rsidRPr="00B029E4">
        <w:t>has</w:t>
      </w:r>
      <w:r>
        <w:t xml:space="preserve"> </w:t>
      </w:r>
      <w:r w:rsidRPr="00B029E4">
        <w:t>beneficial</w:t>
      </w:r>
      <w:r>
        <w:t xml:space="preserve"> </w:t>
      </w:r>
      <w:r w:rsidRPr="00B029E4">
        <w:t>outcomes</w:t>
      </w:r>
      <w:r>
        <w:t xml:space="preserve"> </w:t>
      </w:r>
      <w:r w:rsidRPr="00B029E4">
        <w:t>such</w:t>
      </w:r>
      <w:r>
        <w:t xml:space="preserve"> </w:t>
      </w:r>
      <w:r w:rsidRPr="00B029E4">
        <w:t>as</w:t>
      </w:r>
      <w:r>
        <w:t xml:space="preserve"> </w:t>
      </w:r>
      <w:r w:rsidRPr="00B029E4">
        <w:t xml:space="preserve">increased </w:t>
      </w:r>
      <w:r w:rsidRPr="00B029E4">
        <w:t>confidence,</w:t>
      </w:r>
      <w:r w:rsidRPr="00B029E4">
        <w:t xml:space="preserve"> </w:t>
      </w:r>
      <w:r w:rsidRPr="00B029E4">
        <w:t>better</w:t>
      </w:r>
      <w:r w:rsidRPr="00B029E4">
        <w:t xml:space="preserve"> </w:t>
      </w:r>
      <w:r w:rsidRPr="00B029E4">
        <w:t>standards</w:t>
      </w:r>
      <w:r w:rsidRPr="00B029E4">
        <w:t xml:space="preserve"> </w:t>
      </w:r>
      <w:r w:rsidRPr="00B029E4">
        <w:t>of</w:t>
      </w:r>
      <w:r w:rsidRPr="00B029E4">
        <w:t xml:space="preserve"> </w:t>
      </w:r>
      <w:r w:rsidRPr="00B029E4">
        <w:t>living,</w:t>
      </w:r>
      <w:r w:rsidRPr="00B029E4">
        <w:t xml:space="preserve"> </w:t>
      </w:r>
      <w:r w:rsidRPr="00B029E4">
        <w:t>greater</w:t>
      </w:r>
      <w:r w:rsidRPr="00B029E4">
        <w:t xml:space="preserve"> </w:t>
      </w:r>
      <w:r w:rsidRPr="00B029E4">
        <w:t>financial</w:t>
      </w:r>
      <w:r w:rsidRPr="00B029E4">
        <w:t xml:space="preserve"> </w:t>
      </w:r>
      <w:r w:rsidRPr="00B029E4">
        <w:t>independence,</w:t>
      </w:r>
      <w:r w:rsidRPr="00B029E4">
        <w:t xml:space="preserve"> </w:t>
      </w:r>
      <w:r w:rsidRPr="00B029E4">
        <w:t>broader</w:t>
      </w:r>
      <w:r w:rsidRPr="00B029E4">
        <w:t xml:space="preserve"> </w:t>
      </w:r>
      <w:r w:rsidRPr="00B029E4">
        <w:t>social</w:t>
      </w:r>
      <w:r w:rsidRPr="00B029E4">
        <w:t xml:space="preserve"> </w:t>
      </w:r>
      <w:r w:rsidRPr="00B029E4">
        <w:t>networks and career development prospects.</w:t>
      </w:r>
    </w:p>
    <w:p w14:paraId="5546FF19" w14:textId="77777777" w:rsidR="00DC2449" w:rsidRDefault="00BF173D">
      <w:pPr>
        <w:pStyle w:val="BodyText"/>
        <w:spacing w:before="168" w:line="261" w:lineRule="auto"/>
        <w:ind w:left="850" w:right="2419"/>
      </w:pPr>
      <w:r w:rsidRPr="00B029E4">
        <w:t>Young</w:t>
      </w:r>
      <w:r w:rsidRPr="00B029E4">
        <w:t xml:space="preserve"> </w:t>
      </w:r>
      <w:r w:rsidRPr="00B029E4">
        <w:t>Australians with disability,</w:t>
      </w:r>
      <w:r w:rsidRPr="00B029E4">
        <w:t xml:space="preserve"> </w:t>
      </w:r>
      <w:r w:rsidRPr="00B029E4">
        <w:t>however,</w:t>
      </w:r>
      <w:r w:rsidRPr="00B029E4">
        <w:t xml:space="preserve"> </w:t>
      </w:r>
      <w:r w:rsidRPr="00B029E4">
        <w:t xml:space="preserve">are not successfully transitioning from school into further training </w:t>
      </w:r>
      <w:r w:rsidRPr="00B029E4">
        <w:t>or employment, which results in long-term - often lifelong - disadvantage.</w:t>
      </w:r>
      <w:r w:rsidRPr="00B029E4">
        <w:t xml:space="preserve"> </w:t>
      </w:r>
      <w:r w:rsidRPr="00B029E4">
        <w:t xml:space="preserve">They </w:t>
      </w:r>
      <w:r w:rsidRPr="00B029E4">
        <w:t>are</w:t>
      </w:r>
      <w:r>
        <w:t xml:space="preserve"> </w:t>
      </w:r>
      <w:r w:rsidRPr="00B029E4">
        <w:t>more</w:t>
      </w:r>
      <w:r>
        <w:t xml:space="preserve"> </w:t>
      </w:r>
      <w:r w:rsidRPr="00B029E4">
        <w:t>likely</w:t>
      </w:r>
      <w:r>
        <w:t xml:space="preserve"> </w:t>
      </w:r>
      <w:r w:rsidRPr="00B029E4">
        <w:t>to</w:t>
      </w:r>
      <w:r>
        <w:t xml:space="preserve"> </w:t>
      </w:r>
      <w:r w:rsidRPr="00B029E4">
        <w:t>leave</w:t>
      </w:r>
      <w:r>
        <w:t xml:space="preserve"> </w:t>
      </w:r>
      <w:r w:rsidRPr="00B029E4">
        <w:t>school</w:t>
      </w:r>
      <w:r>
        <w:t xml:space="preserve"> </w:t>
      </w:r>
      <w:r w:rsidRPr="00B029E4">
        <w:t>early, be</w:t>
      </w:r>
      <w:r>
        <w:t xml:space="preserve"> </w:t>
      </w:r>
      <w:r w:rsidRPr="00B029E4">
        <w:t>excluded</w:t>
      </w:r>
      <w:r>
        <w:t xml:space="preserve"> </w:t>
      </w:r>
      <w:r w:rsidRPr="00B029E4">
        <w:t>from</w:t>
      </w:r>
      <w:r>
        <w:t xml:space="preserve"> </w:t>
      </w:r>
      <w:r w:rsidRPr="00B029E4">
        <w:t>the</w:t>
      </w:r>
      <w:r>
        <w:t xml:space="preserve"> </w:t>
      </w:r>
      <w:r w:rsidRPr="00B029E4">
        <w:t>workforce</w:t>
      </w:r>
      <w:r>
        <w:t xml:space="preserve"> </w:t>
      </w:r>
      <w:r w:rsidRPr="00B029E4">
        <w:t>and</w:t>
      </w:r>
      <w:r>
        <w:t xml:space="preserve"> </w:t>
      </w:r>
      <w:r w:rsidRPr="00B029E4">
        <w:t>experience</w:t>
      </w:r>
      <w:r>
        <w:t xml:space="preserve"> </w:t>
      </w:r>
      <w:r w:rsidRPr="00B029E4">
        <w:t>poverty</w:t>
      </w:r>
      <w:r>
        <w:t xml:space="preserve"> </w:t>
      </w:r>
      <w:r w:rsidRPr="00B029E4">
        <w:t xml:space="preserve">and </w:t>
      </w:r>
      <w:r w:rsidRPr="00B029E4">
        <w:t>social isolation.</w:t>
      </w:r>
    </w:p>
    <w:p w14:paraId="5546FF1A" w14:textId="77777777" w:rsidR="00DC2449" w:rsidRDefault="00BF173D">
      <w:pPr>
        <w:pStyle w:val="BodyText"/>
        <w:spacing w:before="172" w:line="235" w:lineRule="auto"/>
        <w:ind w:left="850" w:right="2419"/>
      </w:pPr>
      <w:r w:rsidRPr="00B029E4">
        <w:t>The gap between young people with disability and those without disability has widened,</w:t>
      </w:r>
      <w:r w:rsidRPr="00B029E4">
        <w:t xml:space="preserve"> </w:t>
      </w:r>
      <w:r w:rsidRPr="00B029E4">
        <w:t xml:space="preserve">and </w:t>
      </w:r>
      <w:r w:rsidRPr="00B029E4">
        <w:t>there</w:t>
      </w:r>
      <w:r>
        <w:t xml:space="preserve"> </w:t>
      </w:r>
      <w:r w:rsidRPr="00B029E4">
        <w:t>has</w:t>
      </w:r>
      <w:r>
        <w:t xml:space="preserve"> </w:t>
      </w:r>
      <w:r w:rsidRPr="00B029E4">
        <w:t>been</w:t>
      </w:r>
      <w:r>
        <w:t xml:space="preserve"> </w:t>
      </w:r>
      <w:r w:rsidRPr="00B029E4">
        <w:t>a</w:t>
      </w:r>
      <w:r>
        <w:t xml:space="preserve"> </w:t>
      </w:r>
      <w:r w:rsidRPr="00B029E4">
        <w:t>decrease</w:t>
      </w:r>
      <w:r>
        <w:t xml:space="preserve"> </w:t>
      </w:r>
      <w:r w:rsidRPr="00B029E4">
        <w:t>in</w:t>
      </w:r>
      <w:r>
        <w:t xml:space="preserve"> </w:t>
      </w:r>
      <w:r w:rsidRPr="00B029E4">
        <w:t>the</w:t>
      </w:r>
      <w:r>
        <w:t xml:space="preserve"> </w:t>
      </w:r>
      <w:r w:rsidRPr="00B029E4">
        <w:t>rate</w:t>
      </w:r>
      <w:r>
        <w:t xml:space="preserve"> </w:t>
      </w:r>
      <w:r w:rsidRPr="00B029E4">
        <w:t>of</w:t>
      </w:r>
      <w:r>
        <w:t xml:space="preserve"> </w:t>
      </w:r>
      <w:r w:rsidRPr="00B029E4">
        <w:t>economic</w:t>
      </w:r>
      <w:r>
        <w:t xml:space="preserve"> </w:t>
      </w:r>
      <w:r w:rsidRPr="00B029E4">
        <w:t>and</w:t>
      </w:r>
      <w:r>
        <w:t xml:space="preserve"> </w:t>
      </w:r>
      <w:r w:rsidRPr="00B029E4">
        <w:t>social</w:t>
      </w:r>
      <w:r>
        <w:t xml:space="preserve"> </w:t>
      </w:r>
      <w:r w:rsidRPr="00B029E4">
        <w:t>participation</w:t>
      </w:r>
      <w:r>
        <w:t xml:space="preserve"> </w:t>
      </w:r>
      <w:r w:rsidRPr="00B029E4">
        <w:t>for</w:t>
      </w:r>
      <w:r>
        <w:t xml:space="preserve"> </w:t>
      </w:r>
      <w:r w:rsidRPr="00B029E4">
        <w:t>young</w:t>
      </w:r>
      <w:r>
        <w:t xml:space="preserve"> </w:t>
      </w:r>
      <w:r w:rsidRPr="00B029E4">
        <w:t>people</w:t>
      </w:r>
      <w:r>
        <w:t xml:space="preserve"> </w:t>
      </w:r>
      <w:r w:rsidRPr="00B029E4">
        <w:t xml:space="preserve">with </w:t>
      </w:r>
      <w:r w:rsidRPr="00B029E4">
        <w:t>disability.</w:t>
      </w:r>
      <w:r w:rsidRPr="00B029E4">
        <w:t>1</w:t>
      </w:r>
    </w:p>
    <w:p w14:paraId="5546FF1B" w14:textId="77777777" w:rsidR="00DC2449" w:rsidRDefault="00BF173D">
      <w:pPr>
        <w:pStyle w:val="BodyText"/>
        <w:spacing w:before="198" w:line="235" w:lineRule="auto"/>
        <w:ind w:left="850" w:right="2419"/>
      </w:pPr>
      <w:r w:rsidRPr="00B029E4">
        <w:t>It</w:t>
      </w:r>
      <w:r>
        <w:t xml:space="preserve"> </w:t>
      </w:r>
      <w:r w:rsidRPr="00B029E4">
        <w:t>is</w:t>
      </w:r>
      <w:r>
        <w:t xml:space="preserve"> </w:t>
      </w:r>
      <w:r w:rsidRPr="00B029E4">
        <w:t>imperative</w:t>
      </w:r>
      <w:r>
        <w:t xml:space="preserve"> </w:t>
      </w:r>
      <w:r w:rsidRPr="00B029E4">
        <w:t>that</w:t>
      </w:r>
      <w:r>
        <w:t xml:space="preserve"> </w:t>
      </w:r>
      <w:r w:rsidRPr="00B029E4">
        <w:t>these</w:t>
      </w:r>
      <w:r>
        <w:t xml:space="preserve"> </w:t>
      </w:r>
      <w:r w:rsidRPr="00B029E4">
        <w:t>trends</w:t>
      </w:r>
      <w:r>
        <w:t xml:space="preserve"> </w:t>
      </w:r>
      <w:r w:rsidRPr="00B029E4">
        <w:t>are</w:t>
      </w:r>
      <w:r>
        <w:t xml:space="preserve"> </w:t>
      </w:r>
      <w:r w:rsidRPr="00B029E4">
        <w:t>reversed. NDS</w:t>
      </w:r>
      <w:r>
        <w:t xml:space="preserve"> </w:t>
      </w:r>
      <w:r w:rsidRPr="00B029E4">
        <w:t>we</w:t>
      </w:r>
      <w:r w:rsidRPr="00B029E4">
        <w:t>lcomes</w:t>
      </w:r>
      <w:r>
        <w:t xml:space="preserve"> </w:t>
      </w:r>
      <w:r w:rsidRPr="00B029E4">
        <w:t>the</w:t>
      </w:r>
      <w:r>
        <w:t xml:space="preserve"> </w:t>
      </w:r>
      <w:r w:rsidRPr="00B029E4">
        <w:t>NDIA’s</w:t>
      </w:r>
      <w:r>
        <w:t xml:space="preserve"> </w:t>
      </w:r>
      <w:r w:rsidRPr="00B029E4">
        <w:t>focus</w:t>
      </w:r>
      <w:r>
        <w:t xml:space="preserve"> </w:t>
      </w:r>
      <w:r w:rsidRPr="00B029E4">
        <w:t>on</w:t>
      </w:r>
      <w:r>
        <w:t xml:space="preserve"> </w:t>
      </w:r>
      <w:r w:rsidRPr="00B029E4">
        <w:t xml:space="preserve">school-to-work </w:t>
      </w:r>
      <w:r w:rsidRPr="00B029E4">
        <w:t>support,</w:t>
      </w:r>
      <w:r w:rsidRPr="00B029E4">
        <w:t xml:space="preserve"> </w:t>
      </w:r>
      <w:r w:rsidRPr="00B029E4">
        <w:t>particularly as it has been found that if young people with significant disability do not engage in mainstream employment by age 21,</w:t>
      </w:r>
      <w:r w:rsidRPr="00B029E4">
        <w:t xml:space="preserve"> </w:t>
      </w:r>
      <w:r w:rsidRPr="00B029E4">
        <w:t>it is unlikely that they ever will.</w:t>
      </w:r>
      <w:r w:rsidRPr="00B029E4">
        <w:t>2</w:t>
      </w:r>
    </w:p>
    <w:p w14:paraId="5546FF1C" w14:textId="77777777" w:rsidR="00DC2449" w:rsidRDefault="00BF173D">
      <w:pPr>
        <w:pStyle w:val="BodyText"/>
        <w:spacing w:before="195" w:line="261" w:lineRule="auto"/>
        <w:ind w:left="850" w:right="2419"/>
      </w:pPr>
      <w:r w:rsidRPr="00B029E4">
        <w:t>We</w:t>
      </w:r>
      <w:r>
        <w:t xml:space="preserve"> </w:t>
      </w:r>
      <w:r w:rsidRPr="00B029E4">
        <w:t>need</w:t>
      </w:r>
      <w:r>
        <w:t xml:space="preserve"> </w:t>
      </w:r>
      <w:r w:rsidRPr="00B029E4">
        <w:t>to</w:t>
      </w:r>
      <w:r>
        <w:t xml:space="preserve"> </w:t>
      </w:r>
      <w:r w:rsidRPr="00B029E4">
        <w:t>move</w:t>
      </w:r>
      <w:r>
        <w:t xml:space="preserve"> </w:t>
      </w:r>
      <w:r w:rsidRPr="00B029E4">
        <w:t>towards</w:t>
      </w:r>
      <w:r>
        <w:t xml:space="preserve"> </w:t>
      </w:r>
      <w:r w:rsidRPr="00B029E4">
        <w:t>an</w:t>
      </w:r>
      <w:r>
        <w:t xml:space="preserve"> </w:t>
      </w:r>
      <w:r w:rsidRPr="00B029E4">
        <w:t>inclusive</w:t>
      </w:r>
      <w:r>
        <w:t xml:space="preserve"> </w:t>
      </w:r>
      <w:r w:rsidRPr="00B029E4">
        <w:t>approach</w:t>
      </w:r>
      <w:r>
        <w:t xml:space="preserve"> </w:t>
      </w:r>
      <w:r w:rsidRPr="00B029E4">
        <w:t>to</w:t>
      </w:r>
      <w:r>
        <w:t xml:space="preserve"> </w:t>
      </w:r>
      <w:r w:rsidRPr="00B029E4">
        <w:t>improve</w:t>
      </w:r>
      <w:r>
        <w:t xml:space="preserve"> </w:t>
      </w:r>
      <w:r w:rsidRPr="00B029E4">
        <w:t>transition</w:t>
      </w:r>
      <w:r>
        <w:t xml:space="preserve"> </w:t>
      </w:r>
      <w:r w:rsidRPr="00B029E4">
        <w:t>outcomes</w:t>
      </w:r>
      <w:r>
        <w:t xml:space="preserve"> </w:t>
      </w:r>
      <w:r w:rsidRPr="00B029E4">
        <w:t>for</w:t>
      </w:r>
      <w:r>
        <w:t xml:space="preserve"> </w:t>
      </w:r>
      <w:r w:rsidRPr="00B029E4">
        <w:t>young</w:t>
      </w:r>
      <w:r>
        <w:t xml:space="preserve"> </w:t>
      </w:r>
      <w:r w:rsidRPr="00B029E4">
        <w:t xml:space="preserve">people </w:t>
      </w:r>
      <w:r w:rsidRPr="00B029E4">
        <w:t>with disability.</w:t>
      </w:r>
    </w:p>
    <w:p w14:paraId="5546FF1D" w14:textId="77777777" w:rsidR="00DC2449" w:rsidRDefault="00BF173D">
      <w:pPr>
        <w:pStyle w:val="BodyText"/>
        <w:spacing w:before="168"/>
        <w:ind w:left="850"/>
      </w:pPr>
      <w:r w:rsidRPr="00B029E4">
        <w:t>In</w:t>
      </w:r>
      <w:r w:rsidRPr="00B029E4">
        <w:t xml:space="preserve"> </w:t>
      </w:r>
      <w:r w:rsidRPr="00B029E4">
        <w:t>line</w:t>
      </w:r>
      <w:r w:rsidRPr="00B029E4">
        <w:t xml:space="preserve"> </w:t>
      </w:r>
      <w:r w:rsidRPr="00B029E4">
        <w:t>with</w:t>
      </w:r>
      <w:r w:rsidRPr="00B029E4">
        <w:t xml:space="preserve"> </w:t>
      </w:r>
      <w:r w:rsidRPr="00B029E4">
        <w:t>international</w:t>
      </w:r>
      <w:r w:rsidRPr="00B029E4">
        <w:t xml:space="preserve"> </w:t>
      </w:r>
      <w:r w:rsidRPr="00B029E4">
        <w:t>research</w:t>
      </w:r>
      <w:r w:rsidRPr="00B029E4">
        <w:t xml:space="preserve"> </w:t>
      </w:r>
      <w:r w:rsidRPr="00B029E4">
        <w:t>and</w:t>
      </w:r>
      <w:r w:rsidRPr="00B029E4">
        <w:t xml:space="preserve"> </w:t>
      </w:r>
      <w:r w:rsidRPr="00B029E4">
        <w:t>practice,</w:t>
      </w:r>
      <w:r w:rsidRPr="00B029E4">
        <w:t xml:space="preserve"> </w:t>
      </w:r>
      <w:r w:rsidRPr="00B029E4">
        <w:t>NDS</w:t>
      </w:r>
      <w:r w:rsidRPr="00B029E4">
        <w:t xml:space="preserve"> </w:t>
      </w:r>
      <w:r w:rsidRPr="00B029E4">
        <w:t>believes</w:t>
      </w:r>
      <w:r w:rsidRPr="00B029E4">
        <w:t xml:space="preserve"> </w:t>
      </w:r>
      <w:r w:rsidRPr="00B029E4">
        <w:t>that:</w:t>
      </w:r>
    </w:p>
    <w:p w14:paraId="5546FF1E" w14:textId="77777777" w:rsidR="00DC2449" w:rsidRPr="00B029E4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An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early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intervention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‘employment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first’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approach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essential;</w:t>
      </w:r>
    </w:p>
    <w:p w14:paraId="5546FF1F" w14:textId="77777777" w:rsidR="00DC2449" w:rsidRPr="00B029E4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NDIS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supports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need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work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together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mainstream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supports;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and</w:t>
      </w:r>
    </w:p>
    <w:p w14:paraId="5546FF20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 xml:space="preserve">We should create typical transitions for young people with disability similar to other </w:t>
      </w:r>
      <w:r w:rsidRPr="00B029E4">
        <w:rPr>
          <w:rFonts w:ascii="Arial" w:eastAsia="Arial" w:hAnsi="Arial" w:cs="Arial"/>
          <w:sz w:val="24"/>
          <w:szCs w:val="24"/>
        </w:rPr>
        <w:t xml:space="preserve">young people (though we </w:t>
      </w:r>
      <w:proofErr w:type="spellStart"/>
      <w:r w:rsidRPr="00B029E4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Pr="00B029E4">
        <w:rPr>
          <w:rFonts w:ascii="Arial" w:eastAsia="Arial" w:hAnsi="Arial" w:cs="Arial"/>
          <w:sz w:val="24"/>
          <w:szCs w:val="24"/>
        </w:rPr>
        <w:t xml:space="preserve"> the importance for safety nets like School Leaver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Employment Supports (SLES)).</w:t>
      </w:r>
    </w:p>
    <w:p w14:paraId="5546FF21" w14:textId="77777777" w:rsidR="00DC2449" w:rsidRDefault="00DC2449">
      <w:pPr>
        <w:pStyle w:val="BodyText"/>
        <w:spacing w:before="9"/>
        <w:rPr>
          <w:sz w:val="22"/>
        </w:rPr>
      </w:pPr>
    </w:p>
    <w:p w14:paraId="5546FF22" w14:textId="77777777" w:rsidR="00DC2449" w:rsidRPr="00615467" w:rsidRDefault="00BF173D">
      <w:pPr>
        <w:pStyle w:val="Heading2"/>
        <w:rPr>
          <w:color w:val="000000" w:themeColor="text1"/>
        </w:rPr>
      </w:pPr>
      <w:bookmarkStart w:id="1" w:name="_TOC_250012"/>
      <w:r w:rsidRPr="00615467">
        <w:rPr>
          <w:color w:val="000000" w:themeColor="text1"/>
          <w:w w:val="75"/>
        </w:rPr>
        <w:t>Key</w:t>
      </w:r>
      <w:r w:rsidRPr="00615467">
        <w:rPr>
          <w:color w:val="000000" w:themeColor="text1"/>
          <w:spacing w:val="4"/>
        </w:rPr>
        <w:t xml:space="preserve"> </w:t>
      </w:r>
      <w:bookmarkEnd w:id="1"/>
      <w:r w:rsidRPr="00615467">
        <w:rPr>
          <w:color w:val="000000" w:themeColor="text1"/>
          <w:spacing w:val="-2"/>
          <w:w w:val="90"/>
        </w:rPr>
        <w:t>recommendations</w:t>
      </w:r>
    </w:p>
    <w:p w14:paraId="5546FF23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 xml:space="preserve">NDIA </w:t>
      </w:r>
      <w:r w:rsidRPr="00B029E4">
        <w:rPr>
          <w:rFonts w:ascii="Arial" w:eastAsia="Arial" w:hAnsi="Arial" w:cs="Arial"/>
          <w:sz w:val="24"/>
          <w:szCs w:val="24"/>
        </w:rPr>
        <w:t xml:space="preserve">supports the Intermediaries in each region to implement networks similar to the </w:t>
      </w:r>
      <w:r w:rsidRPr="00B029E4">
        <w:rPr>
          <w:rFonts w:ascii="Arial" w:eastAsia="Arial" w:hAnsi="Arial" w:cs="Arial"/>
          <w:sz w:val="24"/>
          <w:szCs w:val="24"/>
        </w:rPr>
        <w:t>Ticket 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Work network to ensure that we work together with mainstream support to create successful pathways to employment for students with disability.</w:t>
      </w:r>
    </w:p>
    <w:p w14:paraId="5546FF24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Ensure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‘employment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firs</w:t>
      </w:r>
      <w:r w:rsidRPr="00B029E4">
        <w:rPr>
          <w:rFonts w:ascii="Arial" w:eastAsia="Arial" w:hAnsi="Arial" w:cs="Arial"/>
          <w:sz w:val="24"/>
          <w:szCs w:val="24"/>
        </w:rPr>
        <w:t>t’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supports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for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all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eligible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students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disability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(from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age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14)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in</w:t>
      </w:r>
    </w:p>
    <w:p w14:paraId="5546FF25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line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NDIA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Transition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Employment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pilot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Western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Australia.</w:t>
      </w:r>
      <w:r w:rsidRPr="00B029E4">
        <w:rPr>
          <w:rFonts w:ascii="Arial" w:eastAsia="Arial" w:hAnsi="Arial" w:cs="Arial"/>
          <w:sz w:val="24"/>
          <w:szCs w:val="24"/>
        </w:rPr>
        <w:t>3</w:t>
      </w:r>
    </w:p>
    <w:p w14:paraId="5546FF26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Ensure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SLES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evidence-based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and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supports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effective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transition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employment.</w:t>
      </w:r>
    </w:p>
    <w:p w14:paraId="5546FF27" w14:textId="77777777" w:rsidR="00DC2449" w:rsidRDefault="00DC2449">
      <w:pPr>
        <w:pStyle w:val="BodyText"/>
        <w:spacing w:before="3"/>
        <w:rPr>
          <w:rFonts w:ascii="Arial Narrow"/>
          <w:sz w:val="25"/>
        </w:rPr>
      </w:pPr>
    </w:p>
    <w:p w14:paraId="5546FF28" w14:textId="77777777" w:rsidR="00DC2449" w:rsidRPr="00B029E4" w:rsidRDefault="00BF173D">
      <w:pPr>
        <w:pStyle w:val="Heading2"/>
        <w:rPr>
          <w:color w:val="000000" w:themeColor="text1"/>
        </w:rPr>
      </w:pPr>
      <w:bookmarkStart w:id="2" w:name="_TOC_250011"/>
      <w:r w:rsidRPr="00B029E4">
        <w:rPr>
          <w:color w:val="000000" w:themeColor="text1"/>
          <w:w w:val="80"/>
        </w:rPr>
        <w:t>NDS</w:t>
      </w:r>
      <w:r w:rsidRPr="00B029E4">
        <w:rPr>
          <w:color w:val="000000" w:themeColor="text1"/>
          <w:spacing w:val="16"/>
        </w:rPr>
        <w:t xml:space="preserve"> </w:t>
      </w:r>
      <w:r w:rsidRPr="00B029E4">
        <w:rPr>
          <w:color w:val="000000" w:themeColor="text1"/>
          <w:w w:val="80"/>
        </w:rPr>
        <w:t>and</w:t>
      </w:r>
      <w:r w:rsidRPr="00B029E4">
        <w:rPr>
          <w:color w:val="000000" w:themeColor="text1"/>
          <w:spacing w:val="16"/>
        </w:rPr>
        <w:t xml:space="preserve"> </w:t>
      </w:r>
      <w:r w:rsidRPr="00B029E4">
        <w:rPr>
          <w:color w:val="000000" w:themeColor="text1"/>
          <w:w w:val="80"/>
        </w:rPr>
        <w:t>our</w:t>
      </w:r>
      <w:r w:rsidRPr="00B029E4">
        <w:rPr>
          <w:color w:val="000000" w:themeColor="text1"/>
          <w:spacing w:val="17"/>
        </w:rPr>
        <w:t xml:space="preserve"> </w:t>
      </w:r>
      <w:r w:rsidRPr="00B029E4">
        <w:rPr>
          <w:color w:val="000000" w:themeColor="text1"/>
          <w:w w:val="80"/>
        </w:rPr>
        <w:t>work</w:t>
      </w:r>
      <w:r w:rsidRPr="00B029E4">
        <w:rPr>
          <w:color w:val="000000" w:themeColor="text1"/>
          <w:spacing w:val="16"/>
        </w:rPr>
        <w:t xml:space="preserve"> </w:t>
      </w:r>
      <w:r w:rsidRPr="00B029E4">
        <w:rPr>
          <w:color w:val="000000" w:themeColor="text1"/>
          <w:w w:val="80"/>
        </w:rPr>
        <w:t>in</w:t>
      </w:r>
      <w:r w:rsidRPr="00B029E4">
        <w:rPr>
          <w:color w:val="000000" w:themeColor="text1"/>
          <w:spacing w:val="17"/>
        </w:rPr>
        <w:t xml:space="preserve"> </w:t>
      </w:r>
      <w:r w:rsidRPr="00B029E4">
        <w:rPr>
          <w:color w:val="000000" w:themeColor="text1"/>
          <w:w w:val="80"/>
        </w:rPr>
        <w:t>school-to-work</w:t>
      </w:r>
      <w:r w:rsidRPr="00B029E4">
        <w:rPr>
          <w:color w:val="000000" w:themeColor="text1"/>
          <w:spacing w:val="16"/>
        </w:rPr>
        <w:t xml:space="preserve"> </w:t>
      </w:r>
      <w:bookmarkEnd w:id="2"/>
      <w:r w:rsidRPr="00B029E4">
        <w:rPr>
          <w:color w:val="000000" w:themeColor="text1"/>
          <w:spacing w:val="-2"/>
          <w:w w:val="80"/>
        </w:rPr>
        <w:t>transition</w:t>
      </w:r>
    </w:p>
    <w:p w14:paraId="5546FF29" w14:textId="77777777" w:rsidR="00DC2449" w:rsidRDefault="00BF173D" w:rsidP="00B029E4">
      <w:pPr>
        <w:pStyle w:val="BodyText"/>
        <w:spacing w:before="168"/>
        <w:ind w:left="850"/>
      </w:pPr>
      <w:r w:rsidRPr="00B029E4">
        <w:t xml:space="preserve">NDS has </w:t>
      </w:r>
      <w:proofErr w:type="spellStart"/>
      <w:r w:rsidRPr="00B029E4">
        <w:t>synthesised</w:t>
      </w:r>
      <w:proofErr w:type="spellEnd"/>
      <w:r w:rsidRPr="00B029E4">
        <w:t xml:space="preserve"> research on successful pathways to determine an approach to improving</w:t>
      </w:r>
      <w:r w:rsidRPr="00B029E4">
        <w:t xml:space="preserve"> </w:t>
      </w:r>
      <w:r w:rsidRPr="00B029E4">
        <w:t>effective school-to-work transition. These are:</w:t>
      </w:r>
    </w:p>
    <w:p w14:paraId="5546FF2A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Building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capacity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of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key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stakeholders;</w:t>
      </w:r>
    </w:p>
    <w:p w14:paraId="5546FF2B" w14:textId="77777777" w:rsidR="00DC2449" w:rsidRPr="00B029E4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Sector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collaboration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mainstream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supports;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and</w:t>
      </w:r>
    </w:p>
    <w:p w14:paraId="5546FF2D" w14:textId="7564FFC9" w:rsidR="00DC2449" w:rsidRPr="000B168F" w:rsidRDefault="00BF173D" w:rsidP="000B168F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  <w:sectPr w:rsidR="00DC2449" w:rsidRPr="000B168F">
          <w:pgSz w:w="11910" w:h="16840"/>
          <w:pgMar w:top="1540" w:right="0" w:bottom="280" w:left="0" w:header="780" w:footer="0" w:gutter="0"/>
          <w:cols w:space="720"/>
        </w:sectPr>
      </w:pPr>
      <w:r w:rsidRPr="00B029E4">
        <w:rPr>
          <w:rFonts w:ascii="Arial" w:eastAsia="Arial" w:hAnsi="Arial" w:cs="Arial"/>
          <w:sz w:val="24"/>
          <w:szCs w:val="24"/>
        </w:rPr>
        <w:t>Provide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opportunities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improve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employability,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including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career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029E4">
        <w:rPr>
          <w:rFonts w:ascii="Arial" w:eastAsia="Arial" w:hAnsi="Arial" w:cs="Arial"/>
          <w:sz w:val="24"/>
          <w:szCs w:val="24"/>
        </w:rPr>
        <w:t>developmen</w:t>
      </w:r>
      <w:proofErr w:type="spellEnd"/>
    </w:p>
    <w:p w14:paraId="5546FF30" w14:textId="77777777" w:rsidR="00DC2449" w:rsidRDefault="00DC2449">
      <w:pPr>
        <w:pStyle w:val="BodyText"/>
        <w:spacing w:before="8"/>
        <w:rPr>
          <w:rFonts w:ascii="Arial Narrow"/>
          <w:sz w:val="23"/>
        </w:rPr>
      </w:pPr>
    </w:p>
    <w:p w14:paraId="5546FF31" w14:textId="77777777" w:rsidR="00DC2449" w:rsidRDefault="00BF173D">
      <w:pPr>
        <w:pStyle w:val="BodyText"/>
        <w:spacing w:before="99"/>
        <w:ind w:left="850"/>
      </w:pPr>
      <w:r w:rsidRPr="00B029E4">
        <w:t>We</w:t>
      </w:r>
      <w:r w:rsidRPr="00B029E4">
        <w:t xml:space="preserve"> </w:t>
      </w:r>
      <w:r w:rsidRPr="00B029E4">
        <w:t>believe</w:t>
      </w:r>
      <w:r w:rsidRPr="00B029E4">
        <w:t xml:space="preserve"> </w:t>
      </w:r>
      <w:r w:rsidRPr="00B029E4">
        <w:t>the</w:t>
      </w:r>
      <w:r w:rsidRPr="00B029E4">
        <w:t xml:space="preserve"> </w:t>
      </w:r>
      <w:r w:rsidRPr="00B029E4">
        <w:t>above</w:t>
      </w:r>
      <w:r w:rsidRPr="00B029E4">
        <w:t xml:space="preserve"> </w:t>
      </w:r>
      <w:r w:rsidRPr="00B029E4">
        <w:t>three</w:t>
      </w:r>
      <w:r w:rsidRPr="00B029E4">
        <w:t xml:space="preserve"> </w:t>
      </w:r>
      <w:r w:rsidRPr="00B029E4">
        <w:t>recommendations</w:t>
      </w:r>
      <w:r w:rsidRPr="00B029E4">
        <w:t xml:space="preserve"> </w:t>
      </w:r>
      <w:r w:rsidRPr="00B029E4">
        <w:t>will</w:t>
      </w:r>
      <w:r w:rsidRPr="00B029E4">
        <w:t xml:space="preserve"> </w:t>
      </w:r>
      <w:r w:rsidRPr="00B029E4">
        <w:t>support</w:t>
      </w:r>
      <w:r w:rsidRPr="00B029E4">
        <w:t xml:space="preserve"> </w:t>
      </w:r>
      <w:r w:rsidRPr="00B029E4">
        <w:t>this</w:t>
      </w:r>
      <w:r w:rsidRPr="00B029E4">
        <w:t xml:space="preserve"> </w:t>
      </w:r>
      <w:r w:rsidRPr="00B029E4">
        <w:t>approach.</w:t>
      </w:r>
    </w:p>
    <w:p w14:paraId="5546FF32" w14:textId="1D8B404F" w:rsidR="00DC2449" w:rsidRDefault="00BF173D">
      <w:pPr>
        <w:pStyle w:val="BodyText"/>
        <w:spacing w:before="194" w:line="261" w:lineRule="auto"/>
        <w:ind w:left="850" w:right="2650"/>
      </w:pPr>
      <w:r w:rsidRPr="00B029E4">
        <w:t>Under</w:t>
      </w:r>
      <w:r>
        <w:t xml:space="preserve"> </w:t>
      </w:r>
      <w:r w:rsidRPr="00B029E4">
        <w:t>each</w:t>
      </w:r>
      <w:r>
        <w:t xml:space="preserve"> </w:t>
      </w:r>
      <w:r w:rsidRPr="00B029E4">
        <w:t>of</w:t>
      </w:r>
      <w:r>
        <w:t xml:space="preserve"> </w:t>
      </w:r>
      <w:r w:rsidRPr="00B029E4">
        <w:t>the</w:t>
      </w:r>
      <w:r>
        <w:t xml:space="preserve"> </w:t>
      </w:r>
      <w:r w:rsidRPr="00B029E4">
        <w:t>three</w:t>
      </w:r>
      <w:r>
        <w:t xml:space="preserve"> </w:t>
      </w:r>
      <w:r w:rsidRPr="00B029E4">
        <w:t>areas, we</w:t>
      </w:r>
      <w:r>
        <w:t xml:space="preserve"> </w:t>
      </w:r>
      <w:r w:rsidRPr="00B029E4">
        <w:t>have</w:t>
      </w:r>
      <w:r>
        <w:t xml:space="preserve"> </w:t>
      </w:r>
      <w:r w:rsidRPr="00B029E4">
        <w:t>four</w:t>
      </w:r>
      <w:r>
        <w:t xml:space="preserve"> </w:t>
      </w:r>
      <w:r w:rsidRPr="00B029E4">
        <w:t>elements</w:t>
      </w:r>
      <w:r>
        <w:t xml:space="preserve"> </w:t>
      </w:r>
      <w:r w:rsidRPr="00B029E4">
        <w:t>that</w:t>
      </w:r>
      <w:r>
        <w:t xml:space="preserve"> </w:t>
      </w:r>
      <w:r w:rsidRPr="00B029E4">
        <w:t>improve</w:t>
      </w:r>
      <w:r>
        <w:t xml:space="preserve"> </w:t>
      </w:r>
      <w:r w:rsidRPr="00B029E4">
        <w:t>school-to-work</w:t>
      </w:r>
      <w:r>
        <w:t xml:space="preserve"> </w:t>
      </w:r>
      <w:r w:rsidRPr="00B029E4">
        <w:t>outcomes.</w:t>
      </w:r>
      <w:r w:rsidRPr="00B029E4">
        <w:t xml:space="preserve"> See</w:t>
      </w:r>
      <w:r w:rsidRPr="00B029E4">
        <w:t xml:space="preserve"> </w:t>
      </w:r>
      <w:r w:rsidRPr="00B029E4">
        <w:t>the</w:t>
      </w:r>
      <w:r w:rsidRPr="00B029E4">
        <w:t xml:space="preserve"> </w:t>
      </w:r>
      <w:r w:rsidR="00151B23">
        <w:t>list</w:t>
      </w:r>
      <w:r w:rsidRPr="00B029E4">
        <w:t xml:space="preserve"> </w:t>
      </w:r>
      <w:r w:rsidRPr="00B029E4">
        <w:t>below:</w:t>
      </w:r>
    </w:p>
    <w:p w14:paraId="022ED784" w14:textId="55A16E5D" w:rsidR="00D94D48" w:rsidRPr="00AF6F05" w:rsidRDefault="00F11451">
      <w:pPr>
        <w:pStyle w:val="BodyText"/>
        <w:spacing w:before="194" w:line="261" w:lineRule="auto"/>
        <w:ind w:left="850" w:right="265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Post school open employment</w:t>
      </w:r>
    </w:p>
    <w:p w14:paraId="5B7686FF" w14:textId="77777777" w:rsidR="00AF6F05" w:rsidRDefault="00AF6F05">
      <w:pPr>
        <w:pStyle w:val="BodyText"/>
        <w:spacing w:before="194" w:line="261" w:lineRule="auto"/>
        <w:ind w:left="850" w:right="2650"/>
        <w:rPr>
          <w:color w:val="000000" w:themeColor="text1"/>
        </w:rPr>
      </w:pPr>
      <w:r w:rsidRPr="00AF6F05">
        <w:rPr>
          <w:color w:val="000000" w:themeColor="text1"/>
        </w:rPr>
        <w:t>Build Capacity</w:t>
      </w:r>
      <w:r>
        <w:rPr>
          <w:color w:val="000000" w:themeColor="text1"/>
        </w:rPr>
        <w:t>:</w:t>
      </w:r>
    </w:p>
    <w:p w14:paraId="144B510B" w14:textId="17343524" w:rsidR="00D94D48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Benchmarked Transition supports in schools</w:t>
      </w:r>
    </w:p>
    <w:p w14:paraId="48E75296" w14:textId="45AF309F" w:rsidR="00AF6F05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proofErr w:type="spellStart"/>
      <w:r>
        <w:rPr>
          <w:color w:val="000000" w:themeColor="text1"/>
        </w:rPr>
        <w:t>Customised</w:t>
      </w:r>
      <w:proofErr w:type="spellEnd"/>
      <w:r>
        <w:rPr>
          <w:color w:val="000000" w:themeColor="text1"/>
        </w:rPr>
        <w:t xml:space="preserve"> employment practices</w:t>
      </w:r>
    </w:p>
    <w:p w14:paraId="6CE917FB" w14:textId="146FE1A9" w:rsidR="00AF6F05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Disability confident employers</w:t>
      </w:r>
    </w:p>
    <w:p w14:paraId="2330DDF3" w14:textId="47512456" w:rsidR="00AF6F05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Family supports and high expectations</w:t>
      </w:r>
    </w:p>
    <w:p w14:paraId="6165529A" w14:textId="45E039FF" w:rsidR="00AF6F05" w:rsidRDefault="00AF6F05" w:rsidP="00AF6F05">
      <w:pPr>
        <w:pStyle w:val="BodyText"/>
        <w:spacing w:before="194" w:line="261" w:lineRule="auto"/>
        <w:ind w:left="850" w:right="2650"/>
        <w:rPr>
          <w:color w:val="000000" w:themeColor="text1"/>
        </w:rPr>
      </w:pPr>
      <w:r>
        <w:rPr>
          <w:color w:val="000000" w:themeColor="text1"/>
        </w:rPr>
        <w:t xml:space="preserve">Supported </w:t>
      </w:r>
      <w:r w:rsidR="008E7F31">
        <w:rPr>
          <w:color w:val="000000" w:themeColor="text1"/>
        </w:rPr>
        <w:t>skill development and activities</w:t>
      </w:r>
      <w:r>
        <w:rPr>
          <w:color w:val="000000" w:themeColor="text1"/>
        </w:rPr>
        <w:t>:</w:t>
      </w:r>
      <w:r w:rsidRPr="00AF6F05">
        <w:rPr>
          <w:color w:val="000000" w:themeColor="text1"/>
        </w:rPr>
        <w:t xml:space="preserve"> </w:t>
      </w:r>
    </w:p>
    <w:p w14:paraId="14F8DFD7" w14:textId="77777777" w:rsidR="00AF6F05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 w:rsidRPr="00AF6F05">
        <w:rPr>
          <w:color w:val="000000" w:themeColor="text1"/>
        </w:rPr>
        <w:t>Vocational education and school based traineeships and apprenticeships</w:t>
      </w:r>
      <w:r>
        <w:rPr>
          <w:color w:val="000000" w:themeColor="text1"/>
        </w:rPr>
        <w:t xml:space="preserve"> </w:t>
      </w:r>
    </w:p>
    <w:p w14:paraId="59EC7517" w14:textId="77777777" w:rsidR="00AF6F05" w:rsidRDefault="00AF6F05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 w:rsidRPr="00AF6F05">
        <w:rPr>
          <w:color w:val="000000" w:themeColor="text1"/>
        </w:rPr>
        <w:t>Career development, discovery process and self determination</w:t>
      </w:r>
      <w:r>
        <w:rPr>
          <w:color w:val="000000" w:themeColor="text1"/>
        </w:rPr>
        <w:t xml:space="preserve"> </w:t>
      </w:r>
    </w:p>
    <w:p w14:paraId="79F23CD9" w14:textId="7C464CA6" w:rsidR="00AF6F05" w:rsidRDefault="007A5B61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Meaningful</w:t>
      </w:r>
      <w:r w:rsidR="00AF6F05">
        <w:rPr>
          <w:color w:val="000000" w:themeColor="text1"/>
        </w:rPr>
        <w:t xml:space="preserve"> work experience</w:t>
      </w:r>
      <w:r w:rsidR="008E7F31">
        <w:rPr>
          <w:color w:val="000000" w:themeColor="text1"/>
        </w:rPr>
        <w:t xml:space="preserve"> and industry awareness </w:t>
      </w:r>
    </w:p>
    <w:p w14:paraId="303F8DD5" w14:textId="284C7317" w:rsidR="00AF6F05" w:rsidRPr="00925A97" w:rsidRDefault="00925A97" w:rsidP="00AF6F05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After- school part time jobs</w:t>
      </w:r>
    </w:p>
    <w:p w14:paraId="47287A4D" w14:textId="096F8FB6" w:rsidR="00925A97" w:rsidRDefault="00925A97" w:rsidP="00925A97">
      <w:pPr>
        <w:pStyle w:val="BodyText"/>
        <w:spacing w:before="194" w:line="261" w:lineRule="auto"/>
        <w:ind w:left="850" w:right="2650"/>
        <w:rPr>
          <w:color w:val="000000" w:themeColor="text1"/>
        </w:rPr>
      </w:pPr>
      <w:r>
        <w:rPr>
          <w:color w:val="000000" w:themeColor="text1"/>
        </w:rPr>
        <w:t>S</w:t>
      </w:r>
      <w:r>
        <w:rPr>
          <w:color w:val="000000" w:themeColor="text1"/>
        </w:rPr>
        <w:t>ector Collaboration</w:t>
      </w:r>
      <w:r>
        <w:rPr>
          <w:color w:val="000000" w:themeColor="text1"/>
        </w:rPr>
        <w:t>:</w:t>
      </w:r>
      <w:r w:rsidRPr="00AF6F05">
        <w:rPr>
          <w:color w:val="000000" w:themeColor="text1"/>
        </w:rPr>
        <w:t xml:space="preserve"> </w:t>
      </w:r>
    </w:p>
    <w:p w14:paraId="76E8A4A6" w14:textId="2EA6B6F8" w:rsidR="00925A97" w:rsidRDefault="00925A97" w:rsidP="00925A97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Share knowledge skills and resources</w:t>
      </w:r>
    </w:p>
    <w:p w14:paraId="56017BD9" w14:textId="4DC6F0D6" w:rsidR="00925A97" w:rsidRDefault="00925A97" w:rsidP="00925A97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 w:rsidRPr="00AF6F05">
        <w:rPr>
          <w:color w:val="000000" w:themeColor="text1"/>
        </w:rPr>
        <w:t>C</w:t>
      </w:r>
      <w:r>
        <w:rPr>
          <w:color w:val="000000" w:themeColor="text1"/>
        </w:rPr>
        <w:t>ommon agenda and partnership governance</w:t>
      </w:r>
      <w:r>
        <w:rPr>
          <w:color w:val="000000" w:themeColor="text1"/>
        </w:rPr>
        <w:t xml:space="preserve"> </w:t>
      </w:r>
    </w:p>
    <w:p w14:paraId="11F9244D" w14:textId="44FA7B0D" w:rsidR="00925A97" w:rsidRDefault="00925A97" w:rsidP="00925A97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 xml:space="preserve">Meaningful </w:t>
      </w:r>
      <w:r>
        <w:rPr>
          <w:color w:val="000000" w:themeColor="text1"/>
        </w:rPr>
        <w:t>collaboration between stakeholders/sectors</w:t>
      </w:r>
    </w:p>
    <w:p w14:paraId="7B268A9A" w14:textId="2AE6F354" w:rsidR="00925A97" w:rsidRDefault="00925A97" w:rsidP="00925A97">
      <w:pPr>
        <w:pStyle w:val="BodyText"/>
        <w:numPr>
          <w:ilvl w:val="0"/>
          <w:numId w:val="4"/>
        </w:numPr>
        <w:spacing w:before="194" w:line="261" w:lineRule="auto"/>
        <w:ind w:right="2650"/>
        <w:rPr>
          <w:color w:val="000000" w:themeColor="text1"/>
        </w:rPr>
      </w:pPr>
      <w:r>
        <w:rPr>
          <w:color w:val="000000" w:themeColor="text1"/>
        </w:rPr>
        <w:t>Clear communication mechanism</w:t>
      </w:r>
    </w:p>
    <w:p w14:paraId="5546FF66" w14:textId="77777777" w:rsidR="00DC2449" w:rsidRDefault="00DC2449">
      <w:pPr>
        <w:pStyle w:val="BodyText"/>
        <w:rPr>
          <w:sz w:val="20"/>
        </w:rPr>
      </w:pPr>
    </w:p>
    <w:p w14:paraId="5546FF67" w14:textId="77777777" w:rsidR="00DC2449" w:rsidRDefault="00DC2449">
      <w:pPr>
        <w:pStyle w:val="BodyText"/>
        <w:rPr>
          <w:sz w:val="20"/>
        </w:rPr>
      </w:pPr>
    </w:p>
    <w:p w14:paraId="5546FF68" w14:textId="77777777" w:rsidR="00DC2449" w:rsidRDefault="00DC2449">
      <w:pPr>
        <w:pStyle w:val="BodyText"/>
        <w:spacing w:before="2"/>
        <w:rPr>
          <w:sz w:val="20"/>
        </w:rPr>
      </w:pPr>
    </w:p>
    <w:p w14:paraId="5546FF69" w14:textId="71AC59EE" w:rsidR="00DC2449" w:rsidRDefault="00BF173D">
      <w:pPr>
        <w:pStyle w:val="BodyText"/>
        <w:spacing w:before="99" w:line="261" w:lineRule="auto"/>
        <w:ind w:left="850" w:right="2650"/>
      </w:pPr>
      <w:r w:rsidRPr="00B029E4">
        <w:t>NDS</w:t>
      </w:r>
      <w:r>
        <w:t xml:space="preserve"> </w:t>
      </w:r>
      <w:r w:rsidRPr="00B029E4">
        <w:t>has</w:t>
      </w:r>
      <w:r>
        <w:t xml:space="preserve"> </w:t>
      </w:r>
      <w:r w:rsidRPr="00B029E4">
        <w:t>been</w:t>
      </w:r>
      <w:r>
        <w:t xml:space="preserve"> </w:t>
      </w:r>
      <w:proofErr w:type="spellStart"/>
      <w:r w:rsidRPr="00B029E4">
        <w:t>trialling</w:t>
      </w:r>
      <w:proofErr w:type="spellEnd"/>
      <w:r>
        <w:t xml:space="preserve"> </w:t>
      </w:r>
      <w:r w:rsidRPr="00B029E4">
        <w:t>effective</w:t>
      </w:r>
      <w:r>
        <w:t xml:space="preserve"> </w:t>
      </w:r>
      <w:r w:rsidRPr="00B029E4">
        <w:t>school-to-work</w:t>
      </w:r>
      <w:r>
        <w:t xml:space="preserve"> </w:t>
      </w:r>
      <w:r w:rsidRPr="00B029E4">
        <w:t>transition</w:t>
      </w:r>
      <w:r>
        <w:t xml:space="preserve"> </w:t>
      </w:r>
      <w:r w:rsidRPr="00B029E4">
        <w:t>initiatives</w:t>
      </w:r>
      <w:r>
        <w:t xml:space="preserve"> </w:t>
      </w:r>
      <w:r w:rsidRPr="00B029E4">
        <w:t>through Ticket</w:t>
      </w:r>
      <w:r>
        <w:t xml:space="preserve"> </w:t>
      </w:r>
      <w:r w:rsidRPr="00B029E4">
        <w:t>to Work</w:t>
      </w:r>
      <w:r>
        <w:t xml:space="preserve"> </w:t>
      </w:r>
      <w:r w:rsidRPr="00B029E4">
        <w:t>and</w:t>
      </w:r>
      <w:r w:rsidRPr="00B029E4">
        <w:t xml:space="preserve"> </w:t>
      </w:r>
      <w:r w:rsidRPr="00B029E4">
        <w:t>the</w:t>
      </w:r>
      <w:r w:rsidRPr="00B029E4">
        <w:t xml:space="preserve"> </w:t>
      </w:r>
      <w:r w:rsidRPr="00B029E4">
        <w:t>WA</w:t>
      </w:r>
      <w:r w:rsidRPr="00B029E4">
        <w:t xml:space="preserve"> </w:t>
      </w:r>
      <w:r w:rsidRPr="00B029E4">
        <w:t>Transition</w:t>
      </w:r>
      <w:r w:rsidRPr="00B029E4">
        <w:t xml:space="preserve"> </w:t>
      </w:r>
      <w:r w:rsidRPr="00B029E4">
        <w:t>to</w:t>
      </w:r>
      <w:r w:rsidRPr="00B029E4">
        <w:t xml:space="preserve"> </w:t>
      </w:r>
      <w:r w:rsidRPr="00B029E4">
        <w:t>Employment</w:t>
      </w:r>
      <w:r w:rsidRPr="00B029E4">
        <w:t xml:space="preserve"> </w:t>
      </w:r>
      <w:r w:rsidRPr="00B029E4">
        <w:t>pilot,</w:t>
      </w:r>
      <w:r w:rsidRPr="00B029E4">
        <w:t xml:space="preserve"> </w:t>
      </w:r>
      <w:r w:rsidRPr="00B029E4">
        <w:t>supported</w:t>
      </w:r>
      <w:r w:rsidRPr="00B029E4">
        <w:t xml:space="preserve"> </w:t>
      </w:r>
      <w:r w:rsidRPr="00B029E4">
        <w:t>by</w:t>
      </w:r>
      <w:r w:rsidRPr="00B029E4">
        <w:t xml:space="preserve"> </w:t>
      </w:r>
      <w:r w:rsidRPr="00B029E4">
        <w:t>the</w:t>
      </w:r>
      <w:r w:rsidRPr="00B029E4">
        <w:t xml:space="preserve"> </w:t>
      </w:r>
      <w:r w:rsidRPr="00B029E4">
        <w:t>NDIA.</w:t>
      </w:r>
    </w:p>
    <w:p w14:paraId="5546FF6A" w14:textId="77777777" w:rsidR="00DC2449" w:rsidRDefault="00BF173D">
      <w:pPr>
        <w:pStyle w:val="BodyText"/>
        <w:spacing w:before="168" w:line="261" w:lineRule="auto"/>
        <w:ind w:left="850" w:right="2650"/>
      </w:pPr>
      <w:r w:rsidRPr="00B029E4">
        <w:t>NDS</w:t>
      </w:r>
      <w:r>
        <w:t xml:space="preserve"> </w:t>
      </w:r>
      <w:r w:rsidRPr="00B029E4">
        <w:t>wants</w:t>
      </w:r>
      <w:r>
        <w:t xml:space="preserve"> </w:t>
      </w:r>
      <w:r w:rsidRPr="00B029E4">
        <w:t>to</w:t>
      </w:r>
      <w:r>
        <w:t xml:space="preserve"> </w:t>
      </w:r>
      <w:r w:rsidRPr="00B029E4">
        <w:t>work</w:t>
      </w:r>
      <w:r>
        <w:t xml:space="preserve"> </w:t>
      </w:r>
      <w:r w:rsidRPr="00B029E4">
        <w:t>with</w:t>
      </w:r>
      <w:r>
        <w:t xml:space="preserve"> </w:t>
      </w:r>
      <w:r w:rsidRPr="00B029E4">
        <w:t>the</w:t>
      </w:r>
      <w:r>
        <w:t xml:space="preserve"> </w:t>
      </w:r>
      <w:r w:rsidRPr="00B029E4">
        <w:t>NDIA</w:t>
      </w:r>
      <w:r>
        <w:t xml:space="preserve"> </w:t>
      </w:r>
      <w:r w:rsidRPr="00B029E4">
        <w:t>to</w:t>
      </w:r>
      <w:r>
        <w:t xml:space="preserve"> </w:t>
      </w:r>
      <w:r w:rsidRPr="00B029E4">
        <w:t>ensure</w:t>
      </w:r>
      <w:r>
        <w:t xml:space="preserve"> </w:t>
      </w:r>
      <w:r w:rsidRPr="00B029E4">
        <w:t>that</w:t>
      </w:r>
      <w:r>
        <w:t xml:space="preserve"> </w:t>
      </w:r>
      <w:r w:rsidRPr="00B029E4">
        <w:t>young Australians</w:t>
      </w:r>
      <w:r>
        <w:t xml:space="preserve"> </w:t>
      </w:r>
      <w:r w:rsidRPr="00B029E4">
        <w:t>with</w:t>
      </w:r>
      <w:r>
        <w:t xml:space="preserve"> </w:t>
      </w:r>
      <w:r w:rsidRPr="00B029E4">
        <w:t>disability</w:t>
      </w:r>
      <w:r>
        <w:t xml:space="preserve"> </w:t>
      </w:r>
      <w:r w:rsidRPr="00B029E4">
        <w:t>are</w:t>
      </w:r>
      <w:r>
        <w:t xml:space="preserve"> </w:t>
      </w:r>
      <w:r w:rsidRPr="00B029E4">
        <w:t xml:space="preserve">provided </w:t>
      </w:r>
      <w:r w:rsidRPr="00B029E4">
        <w:t>with effective evidenced-based supports,</w:t>
      </w:r>
      <w:r w:rsidRPr="00B029E4">
        <w:t xml:space="preserve"> </w:t>
      </w:r>
      <w:r w:rsidRPr="00B029E4">
        <w:t>as we believe this is vital for:</w:t>
      </w:r>
    </w:p>
    <w:p w14:paraId="5546FF6B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financial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sustainability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of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NDIS;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and</w:t>
      </w:r>
    </w:p>
    <w:p w14:paraId="5546FF6C" w14:textId="77777777" w:rsidR="00DC2449" w:rsidRPr="00B029E4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overall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employment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participation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rate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of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people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disability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in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Australia.</w:t>
      </w:r>
    </w:p>
    <w:p w14:paraId="5546FF6E" w14:textId="4C97E5BC" w:rsidR="00F619A9" w:rsidRDefault="00F619A9">
      <w:pPr>
        <w:rPr>
          <w:rFonts w:ascii="Arial Narrow"/>
          <w:sz w:val="20"/>
          <w:szCs w:val="24"/>
        </w:rPr>
      </w:pPr>
      <w:r>
        <w:rPr>
          <w:rFonts w:ascii="Arial Narrow"/>
          <w:sz w:val="20"/>
        </w:rPr>
        <w:br w:type="page"/>
      </w:r>
    </w:p>
    <w:p w14:paraId="5546FF71" w14:textId="77777777" w:rsidR="00DC2449" w:rsidRPr="00B029E4" w:rsidRDefault="00BF173D">
      <w:pPr>
        <w:pStyle w:val="Heading2"/>
        <w:spacing w:before="108"/>
        <w:rPr>
          <w:color w:val="000000" w:themeColor="text1"/>
        </w:rPr>
      </w:pPr>
      <w:bookmarkStart w:id="3" w:name="_TOC_250010"/>
      <w:r w:rsidRPr="00B029E4">
        <w:rPr>
          <w:color w:val="000000" w:themeColor="text1"/>
          <w:w w:val="80"/>
        </w:rPr>
        <w:lastRenderedPageBreak/>
        <w:t>Related</w:t>
      </w:r>
      <w:r w:rsidRPr="00B029E4">
        <w:rPr>
          <w:color w:val="000000" w:themeColor="text1"/>
          <w:spacing w:val="21"/>
        </w:rPr>
        <w:t xml:space="preserve"> </w:t>
      </w:r>
      <w:bookmarkEnd w:id="3"/>
      <w:r w:rsidRPr="00B029E4">
        <w:rPr>
          <w:color w:val="000000" w:themeColor="text1"/>
          <w:spacing w:val="-2"/>
          <w:w w:val="95"/>
        </w:rPr>
        <w:t>research</w:t>
      </w:r>
    </w:p>
    <w:p w14:paraId="5546FF72" w14:textId="77777777" w:rsidR="00DC2449" w:rsidRDefault="00BF173D">
      <w:pPr>
        <w:pStyle w:val="BodyText"/>
        <w:spacing w:before="177" w:line="261" w:lineRule="auto"/>
        <w:ind w:left="850" w:right="2650"/>
      </w:pPr>
      <w:r w:rsidRPr="00B029E4">
        <w:t>NDS and its research arm, the Centre for Applied Disability Research (CADR), have been involved</w:t>
      </w:r>
      <w:r>
        <w:t xml:space="preserve"> </w:t>
      </w:r>
      <w:r w:rsidRPr="00B029E4">
        <w:t>in the following papers examining school-to-work t</w:t>
      </w:r>
      <w:r w:rsidRPr="00B029E4">
        <w:t>ransition for students with disability:</w:t>
      </w:r>
    </w:p>
    <w:p w14:paraId="5546FF73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Centre for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Applied Disability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Research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(2017)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Research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Action: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The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journey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</w:p>
    <w:p w14:paraId="5546FF74" w14:textId="77777777" w:rsidR="00DC2449" w:rsidRPr="00B029E4" w:rsidRDefault="00BF173D" w:rsidP="00B029E4">
      <w:pPr>
        <w:pStyle w:val="ListParagraph"/>
        <w:tabs>
          <w:tab w:val="left" w:pos="1571"/>
        </w:tabs>
        <w:ind w:firstLine="0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employment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for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young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people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with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disability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National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Disability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Services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NSW.</w:t>
      </w:r>
    </w:p>
    <w:p w14:paraId="5546FF75" w14:textId="409A8095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National Disability Services (NDS Vic) (2017) An inquiry into career advice activities in Victorian schools: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Submission 69 to the Economic,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Education,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Jobs and Skills Committee</w:t>
        </w:r>
      </w:hyperlink>
      <w:r w:rsidRPr="00B029E4">
        <w:rPr>
          <w:rFonts w:ascii="Arial" w:eastAsia="Arial" w:hAnsi="Arial" w:cs="Arial"/>
          <w:sz w:val="24"/>
          <w:szCs w:val="24"/>
        </w:rPr>
        <w:t xml:space="preserve">. </w:t>
      </w:r>
    </w:p>
    <w:p w14:paraId="5546FF76" w14:textId="102F638D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National Disability Services (NDS) (2017) Policy Paper:</w:t>
      </w:r>
      <w:hyperlink r:id="rId10" w:history="1"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Enhancing employment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opportunities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for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young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people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with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significant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D217DC">
          <w:rPr>
            <w:rStyle w:val="Hyperlink"/>
            <w:rFonts w:ascii="Arial" w:eastAsia="Arial" w:hAnsi="Arial" w:cs="Arial"/>
            <w:sz w:val="24"/>
            <w:szCs w:val="24"/>
          </w:rPr>
          <w:t>disability.</w:t>
        </w:r>
      </w:hyperlink>
      <w:r w:rsidRPr="00B029E4">
        <w:rPr>
          <w:rFonts w:ascii="Arial" w:eastAsia="Arial" w:hAnsi="Arial" w:cs="Arial"/>
          <w:sz w:val="24"/>
          <w:szCs w:val="24"/>
        </w:rPr>
        <w:t xml:space="preserve"> </w:t>
      </w:r>
    </w:p>
    <w:p w14:paraId="5546FF77" w14:textId="2BB040A6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National Disability Services (NDS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 xml:space="preserve">ACT) (2017) Inquiry into school to work transition: </w:t>
      </w:r>
      <w:hyperlink r:id="rId11" w:history="1"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Submission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to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the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Standing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Committee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on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Employment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Education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Training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ubmission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22</w:t>
        </w:r>
      </w:hyperlink>
      <w:r w:rsidRPr="00B029E4">
        <w:rPr>
          <w:rFonts w:ascii="Arial" w:eastAsia="Arial" w:hAnsi="Arial" w:cs="Arial"/>
          <w:sz w:val="24"/>
          <w:szCs w:val="24"/>
        </w:rPr>
        <w:t>.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</w:p>
    <w:p w14:paraId="5546FF78" w14:textId="1052C0A8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ARTD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Consultants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(2016).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Ticket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to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work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pilot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outcomes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study.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National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Disability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Services, NSW</w:t>
        </w:r>
      </w:hyperlink>
      <w:r w:rsidRPr="00B029E4">
        <w:rPr>
          <w:rFonts w:ascii="Arial" w:eastAsia="Arial" w:hAnsi="Arial" w:cs="Arial"/>
          <w:sz w:val="24"/>
          <w:szCs w:val="24"/>
        </w:rPr>
        <w:t xml:space="preserve">. </w:t>
      </w:r>
    </w:p>
    <w:p w14:paraId="5546FF79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ARTD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Consultants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(2017).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Ticket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Work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Network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Analysis.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National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 xml:space="preserve">Disability </w:t>
      </w:r>
      <w:r w:rsidRPr="00B029E4">
        <w:rPr>
          <w:rFonts w:ascii="Arial" w:eastAsia="Arial" w:hAnsi="Arial" w:cs="Arial"/>
          <w:sz w:val="24"/>
          <w:szCs w:val="24"/>
        </w:rPr>
        <w:t>Services,</w:t>
      </w:r>
    </w:p>
    <w:p w14:paraId="5546FF7A" w14:textId="77777777" w:rsidR="00DC2449" w:rsidRPr="00B029E4" w:rsidRDefault="00BF173D" w:rsidP="00B029E4">
      <w:pPr>
        <w:pStyle w:val="ListParagraph"/>
        <w:tabs>
          <w:tab w:val="left" w:pos="1571"/>
        </w:tabs>
        <w:ind w:firstLine="0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NSW.</w:t>
      </w:r>
    </w:p>
    <w:p w14:paraId="5546FF7B" w14:textId="1D53C31D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2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>Ticket to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 xml:space="preserve">Work and NDS (2016) School to work transition and the National Disability </w:t>
      </w:r>
      <w:r w:rsidRPr="00B029E4">
        <w:rPr>
          <w:rFonts w:ascii="Arial" w:eastAsia="Arial" w:hAnsi="Arial" w:cs="Arial"/>
          <w:sz w:val="24"/>
          <w:szCs w:val="24"/>
        </w:rPr>
        <w:t>Insurance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Scheme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(NDIS):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The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NDIS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the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interface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with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other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service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 xml:space="preserve">systems 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in school to work transition. Parkville</w:t>
        </w:r>
      </w:hyperlink>
      <w:r w:rsidRPr="00B029E4">
        <w:rPr>
          <w:rFonts w:ascii="Arial" w:eastAsia="Arial" w:hAnsi="Arial" w:cs="Arial"/>
          <w:sz w:val="24"/>
          <w:szCs w:val="24"/>
        </w:rPr>
        <w:t xml:space="preserve">. </w:t>
      </w:r>
    </w:p>
    <w:p w14:paraId="5546FF7C" w14:textId="77777777" w:rsidR="00DC2449" w:rsidRPr="00B029E4" w:rsidRDefault="00BF173D" w:rsidP="00B029E4">
      <w:pPr>
        <w:pStyle w:val="ListParagraph"/>
        <w:numPr>
          <w:ilvl w:val="0"/>
          <w:numId w:val="3"/>
        </w:numPr>
        <w:tabs>
          <w:tab w:val="left" w:pos="1572"/>
        </w:tabs>
        <w:ind w:hanging="301"/>
        <w:rPr>
          <w:rFonts w:ascii="Arial" w:eastAsia="Arial" w:hAnsi="Arial" w:cs="Arial"/>
          <w:sz w:val="24"/>
          <w:szCs w:val="24"/>
        </w:rPr>
      </w:pPr>
      <w:r w:rsidRPr="00B029E4">
        <w:rPr>
          <w:rFonts w:ascii="Arial" w:eastAsia="Arial" w:hAnsi="Arial" w:cs="Arial"/>
          <w:sz w:val="24"/>
          <w:szCs w:val="24"/>
        </w:rPr>
        <w:t xml:space="preserve">Miles Morgan (2015) Rapid review of literature on pathway to employment for young </w:t>
      </w:r>
      <w:r w:rsidRPr="00B029E4">
        <w:rPr>
          <w:rFonts w:ascii="Arial" w:eastAsia="Arial" w:hAnsi="Arial" w:cs="Arial"/>
          <w:sz w:val="24"/>
          <w:szCs w:val="24"/>
        </w:rPr>
        <w:t>people with disability. Centre for Applied Disability Research, National Disability Services</w:t>
      </w:r>
      <w:r w:rsidRPr="00B029E4">
        <w:rPr>
          <w:rFonts w:ascii="Arial" w:eastAsia="Arial" w:hAnsi="Arial" w:cs="Arial"/>
          <w:sz w:val="24"/>
          <w:szCs w:val="24"/>
        </w:rPr>
        <w:t xml:space="preserve"> </w:t>
      </w:r>
      <w:r w:rsidRPr="00B029E4">
        <w:rPr>
          <w:rFonts w:ascii="Arial" w:eastAsia="Arial" w:hAnsi="Arial" w:cs="Arial"/>
          <w:sz w:val="24"/>
          <w:szCs w:val="24"/>
        </w:rPr>
        <w:t>(NDS).</w:t>
      </w:r>
    </w:p>
    <w:p w14:paraId="5546FF7F" w14:textId="606C90F0" w:rsidR="00DC2449" w:rsidRPr="00645EA8" w:rsidRDefault="00BF173D" w:rsidP="00584DBD">
      <w:pPr>
        <w:pStyle w:val="ListParagraph"/>
        <w:numPr>
          <w:ilvl w:val="0"/>
          <w:numId w:val="3"/>
        </w:numPr>
        <w:tabs>
          <w:tab w:val="left" w:pos="1572"/>
        </w:tabs>
        <w:spacing w:line="261" w:lineRule="auto"/>
        <w:ind w:hanging="301"/>
        <w:rPr>
          <w:sz w:val="20"/>
        </w:rPr>
      </w:pPr>
      <w:r w:rsidRPr="00645EA8">
        <w:rPr>
          <w:rFonts w:ascii="Arial" w:eastAsia="Arial" w:hAnsi="Arial" w:cs="Arial"/>
          <w:sz w:val="24"/>
          <w:szCs w:val="24"/>
        </w:rPr>
        <w:t>Wakeford, M,</w:t>
      </w:r>
      <w:r w:rsidRPr="00645EA8">
        <w:rPr>
          <w:rFonts w:ascii="Arial" w:eastAsia="Arial" w:hAnsi="Arial" w:cs="Arial"/>
          <w:sz w:val="24"/>
          <w:szCs w:val="24"/>
        </w:rPr>
        <w:t xml:space="preserve"> </w:t>
      </w:r>
      <w:r w:rsidRPr="00645EA8">
        <w:rPr>
          <w:rFonts w:ascii="Arial" w:eastAsia="Arial" w:hAnsi="Arial" w:cs="Arial"/>
          <w:sz w:val="24"/>
          <w:szCs w:val="24"/>
        </w:rPr>
        <w:t>Waugh, F (2014),</w:t>
      </w:r>
      <w:r w:rsidRPr="00645EA8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Transitions to employment of Aus</w:t>
        </w:r>
        <w:r w:rsidRPr="00645EA8">
          <w:rPr>
            <w:rStyle w:val="Hyperlink"/>
            <w:rFonts w:ascii="Arial" w:eastAsia="Arial" w:hAnsi="Arial" w:cs="Arial"/>
            <w:sz w:val="24"/>
            <w:szCs w:val="24"/>
          </w:rPr>
          <w:t>tralian young people with disability and the Ticket to Work initiative, Ticket to Work (Melbourne).</w:t>
        </w:r>
      </w:hyperlink>
      <w:r w:rsidRPr="00645EA8">
        <w:rPr>
          <w:rFonts w:ascii="Arial" w:eastAsia="Arial" w:hAnsi="Arial" w:cs="Arial"/>
          <w:sz w:val="24"/>
          <w:szCs w:val="24"/>
        </w:rPr>
        <w:t xml:space="preserve"> </w:t>
      </w:r>
    </w:p>
    <w:p w14:paraId="5546FF80" w14:textId="77777777" w:rsidR="00DC2449" w:rsidRDefault="00DC2449">
      <w:pPr>
        <w:pStyle w:val="BodyText"/>
        <w:rPr>
          <w:sz w:val="20"/>
        </w:rPr>
      </w:pPr>
    </w:p>
    <w:p w14:paraId="5546FF81" w14:textId="77777777" w:rsidR="00DC2449" w:rsidRDefault="00DC2449">
      <w:pPr>
        <w:pStyle w:val="BodyText"/>
        <w:spacing w:before="4"/>
        <w:rPr>
          <w:sz w:val="18"/>
        </w:rPr>
      </w:pPr>
    </w:p>
    <w:p w14:paraId="5546FF82" w14:textId="77777777" w:rsidR="00DC2449" w:rsidRPr="00B029E4" w:rsidRDefault="00BF173D">
      <w:pPr>
        <w:pStyle w:val="Heading1"/>
        <w:spacing w:before="116"/>
        <w:rPr>
          <w:color w:val="000000" w:themeColor="text1"/>
        </w:rPr>
      </w:pPr>
      <w:bookmarkStart w:id="4" w:name="_TOC_250009"/>
      <w:bookmarkEnd w:id="4"/>
      <w:r w:rsidRPr="00B029E4">
        <w:rPr>
          <w:color w:val="000000" w:themeColor="text1"/>
          <w:spacing w:val="-2"/>
        </w:rPr>
        <w:t>Discussion</w:t>
      </w:r>
    </w:p>
    <w:p w14:paraId="5546FF83" w14:textId="77777777" w:rsidR="00DC2449" w:rsidRPr="00B029E4" w:rsidRDefault="00BF173D">
      <w:pPr>
        <w:pStyle w:val="Heading2"/>
        <w:spacing w:before="399"/>
        <w:rPr>
          <w:color w:val="000000" w:themeColor="text1"/>
        </w:rPr>
      </w:pPr>
      <w:bookmarkStart w:id="5" w:name="_TOC_250008"/>
      <w:r w:rsidRPr="00B029E4">
        <w:rPr>
          <w:color w:val="000000" w:themeColor="text1"/>
          <w:w w:val="80"/>
        </w:rPr>
        <w:t>Supports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should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start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in</w:t>
      </w:r>
      <w:r w:rsidRPr="00B029E4">
        <w:rPr>
          <w:color w:val="000000" w:themeColor="text1"/>
          <w:spacing w:val="6"/>
        </w:rPr>
        <w:t xml:space="preserve"> </w:t>
      </w:r>
      <w:r w:rsidRPr="00B029E4">
        <w:rPr>
          <w:color w:val="000000" w:themeColor="text1"/>
          <w:w w:val="80"/>
        </w:rPr>
        <w:t>middle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school,</w:t>
      </w:r>
      <w:r w:rsidRPr="00B029E4">
        <w:rPr>
          <w:color w:val="000000" w:themeColor="text1"/>
          <w:spacing w:val="-10"/>
        </w:rPr>
        <w:t xml:space="preserve"> </w:t>
      </w:r>
      <w:r w:rsidRPr="00B029E4">
        <w:rPr>
          <w:color w:val="000000" w:themeColor="text1"/>
          <w:w w:val="80"/>
        </w:rPr>
        <w:t>in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line</w:t>
      </w:r>
      <w:r w:rsidRPr="00B029E4">
        <w:rPr>
          <w:color w:val="000000" w:themeColor="text1"/>
          <w:spacing w:val="6"/>
        </w:rPr>
        <w:t xml:space="preserve"> </w:t>
      </w:r>
      <w:r w:rsidRPr="00B029E4">
        <w:rPr>
          <w:color w:val="000000" w:themeColor="text1"/>
          <w:w w:val="80"/>
        </w:rPr>
        <w:t>with</w:t>
      </w:r>
      <w:r w:rsidRPr="00B029E4">
        <w:rPr>
          <w:color w:val="000000" w:themeColor="text1"/>
          <w:spacing w:val="5"/>
        </w:rPr>
        <w:t xml:space="preserve"> </w:t>
      </w:r>
      <w:r w:rsidRPr="00B029E4">
        <w:rPr>
          <w:color w:val="000000" w:themeColor="text1"/>
          <w:w w:val="80"/>
        </w:rPr>
        <w:t>good</w:t>
      </w:r>
      <w:r w:rsidRPr="00B029E4">
        <w:rPr>
          <w:color w:val="000000" w:themeColor="text1"/>
          <w:spacing w:val="5"/>
        </w:rPr>
        <w:t xml:space="preserve"> </w:t>
      </w:r>
      <w:bookmarkEnd w:id="5"/>
      <w:r w:rsidRPr="00B029E4">
        <w:rPr>
          <w:color w:val="000000" w:themeColor="text1"/>
          <w:spacing w:val="-2"/>
          <w:w w:val="80"/>
        </w:rPr>
        <w:t>practice</w:t>
      </w:r>
    </w:p>
    <w:p w14:paraId="5546FF84" w14:textId="77777777" w:rsidR="00DC2449" w:rsidRPr="00CB5A21" w:rsidRDefault="00BF173D">
      <w:pPr>
        <w:pStyle w:val="BodyText"/>
        <w:spacing w:before="163" w:line="300" w:lineRule="exact"/>
        <w:ind w:left="850" w:right="2539"/>
      </w:pPr>
      <w:r w:rsidRPr="00CB5A21">
        <w:t>Early</w:t>
      </w:r>
      <w:r>
        <w:t xml:space="preserve"> </w:t>
      </w:r>
      <w:r w:rsidRPr="00CB5A21">
        <w:t>intervention</w:t>
      </w:r>
      <w:r>
        <w:t xml:space="preserve"> </w:t>
      </w:r>
      <w:r w:rsidRPr="00CB5A21">
        <w:t>is</w:t>
      </w:r>
      <w:r>
        <w:t xml:space="preserve"> </w:t>
      </w:r>
      <w:r w:rsidRPr="00CB5A21">
        <w:t>key. Evidence</w:t>
      </w:r>
      <w:r>
        <w:t xml:space="preserve"> </w:t>
      </w:r>
      <w:r w:rsidRPr="00CB5A21">
        <w:t>demonstrates</w:t>
      </w:r>
      <w:r>
        <w:t xml:space="preserve"> </w:t>
      </w:r>
      <w:r w:rsidRPr="00CB5A21">
        <w:t>that</w:t>
      </w:r>
      <w:r>
        <w:t xml:space="preserve"> </w:t>
      </w:r>
      <w:r w:rsidRPr="00CB5A21">
        <w:t>it</w:t>
      </w:r>
      <w:r>
        <w:t xml:space="preserve"> </w:t>
      </w:r>
      <w:r w:rsidRPr="00CB5A21">
        <w:t>is</w:t>
      </w:r>
      <w:r>
        <w:t xml:space="preserve"> </w:t>
      </w:r>
      <w:r w:rsidRPr="00CB5A21">
        <w:t>crucial</w:t>
      </w:r>
      <w:r>
        <w:t xml:space="preserve"> </w:t>
      </w:r>
      <w:r w:rsidRPr="00CB5A21">
        <w:t>for</w:t>
      </w:r>
      <w:r>
        <w:t xml:space="preserve"> </w:t>
      </w:r>
      <w:r w:rsidRPr="00CB5A21">
        <w:t>young</w:t>
      </w:r>
      <w:r>
        <w:t xml:space="preserve"> </w:t>
      </w:r>
      <w:r w:rsidRPr="00CB5A21">
        <w:t>people</w:t>
      </w:r>
      <w:r>
        <w:t xml:space="preserve"> </w:t>
      </w:r>
      <w:r w:rsidRPr="00CB5A21">
        <w:t>with</w:t>
      </w:r>
      <w:r>
        <w:t xml:space="preserve"> </w:t>
      </w:r>
      <w:r w:rsidRPr="00CB5A21">
        <w:t>disability</w:t>
      </w:r>
      <w:r w:rsidRPr="00CB5A21">
        <w:t xml:space="preserve"> </w:t>
      </w:r>
      <w:r w:rsidRPr="00CB5A21">
        <w:t xml:space="preserve">to receive the support required to participate in the workforce as early as possible to drive </w:t>
      </w:r>
      <w:r w:rsidRPr="00CB5A21">
        <w:t>effective</w:t>
      </w:r>
      <w:r w:rsidRPr="00CB5A21">
        <w:t xml:space="preserve"> </w:t>
      </w:r>
      <w:r w:rsidRPr="00CB5A21">
        <w:t>long-term</w:t>
      </w:r>
      <w:r w:rsidRPr="00CB5A21">
        <w:t xml:space="preserve"> </w:t>
      </w:r>
      <w:r w:rsidRPr="00CB5A21">
        <w:t>employment</w:t>
      </w:r>
      <w:r w:rsidRPr="00CB5A21">
        <w:t xml:space="preserve"> </w:t>
      </w:r>
      <w:r w:rsidRPr="00CB5A21">
        <w:t>outcomes</w:t>
      </w:r>
      <w:r w:rsidRPr="00CB5A21">
        <w:t xml:space="preserve"> </w:t>
      </w:r>
      <w:r w:rsidRPr="00CB5A21">
        <w:t>and</w:t>
      </w:r>
      <w:r w:rsidRPr="00CB5A21">
        <w:t xml:space="preserve"> </w:t>
      </w:r>
      <w:proofErr w:type="spellStart"/>
      <w:r w:rsidRPr="00CB5A21">
        <w:t>maximise</w:t>
      </w:r>
      <w:proofErr w:type="spellEnd"/>
      <w:r w:rsidRPr="00CB5A21">
        <w:t xml:space="preserve"> </w:t>
      </w:r>
      <w:r w:rsidRPr="00CB5A21">
        <w:t>the</w:t>
      </w:r>
      <w:r w:rsidRPr="00CB5A21">
        <w:t xml:space="preserve"> </w:t>
      </w:r>
      <w:r w:rsidRPr="00CB5A21">
        <w:t>benefits</w:t>
      </w:r>
      <w:r w:rsidRPr="00CB5A21">
        <w:t xml:space="preserve"> </w:t>
      </w:r>
      <w:r w:rsidRPr="00CB5A21">
        <w:t>of</w:t>
      </w:r>
      <w:r w:rsidRPr="00CB5A21">
        <w:t xml:space="preserve"> </w:t>
      </w:r>
      <w:r w:rsidRPr="00CB5A21">
        <w:t>improved</w:t>
      </w:r>
      <w:r w:rsidRPr="00CB5A21">
        <w:t xml:space="preserve"> </w:t>
      </w:r>
      <w:r w:rsidRPr="00CB5A21">
        <w:t>standards</w:t>
      </w:r>
      <w:r w:rsidRPr="00CB5A21">
        <w:t xml:space="preserve"> </w:t>
      </w:r>
      <w:r w:rsidRPr="00CB5A21">
        <w:t>of living and social inclusion that come with employment.</w:t>
      </w:r>
      <w:r w:rsidRPr="00CB5A21">
        <w:t>4</w:t>
      </w:r>
    </w:p>
    <w:p w14:paraId="5546FF85" w14:textId="77777777" w:rsidR="00DC2449" w:rsidRDefault="00BF173D">
      <w:pPr>
        <w:pStyle w:val="BodyText"/>
        <w:spacing w:before="170" w:line="300" w:lineRule="exact"/>
        <w:ind w:left="850" w:right="2419"/>
      </w:pPr>
      <w:r w:rsidRPr="000A1215">
        <w:t>Kohler’s</w:t>
      </w:r>
      <w:r w:rsidRPr="000A1215">
        <w:t xml:space="preserve"> </w:t>
      </w:r>
      <w:r w:rsidRPr="000A1215">
        <w:t>Taxonomy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(a</w:t>
      </w:r>
      <w:r w:rsidRPr="000A1215">
        <w:t xml:space="preserve"> </w:t>
      </w:r>
      <w:r w:rsidRPr="000A1215">
        <w:t>scientifically-validated</w:t>
      </w:r>
      <w:r w:rsidRPr="000A1215">
        <w:t xml:space="preserve"> </w:t>
      </w:r>
      <w:r w:rsidRPr="000A1215">
        <w:t>benchmarking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effective</w:t>
      </w:r>
      <w:r w:rsidRPr="000A1215">
        <w:t xml:space="preserve"> </w:t>
      </w:r>
      <w:r w:rsidRPr="000A1215">
        <w:t>transition practice)</w:t>
      </w:r>
      <w:r w:rsidRPr="000A1215">
        <w:t xml:space="preserve"> </w:t>
      </w:r>
      <w:r w:rsidRPr="000A1215">
        <w:t>outlines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importanc</w:t>
      </w:r>
      <w:r w:rsidRPr="000A1215">
        <w:t>e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early</w:t>
      </w:r>
      <w:r w:rsidRPr="000A1215">
        <w:t xml:space="preserve"> </w:t>
      </w:r>
      <w:r w:rsidRPr="000A1215">
        <w:t>intervention,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planning</w:t>
      </w:r>
      <w:r w:rsidRPr="000A1215">
        <w:t xml:space="preserve"> </w:t>
      </w:r>
      <w:r w:rsidRPr="000A1215">
        <w:t>beginning</w:t>
      </w:r>
      <w:r w:rsidRPr="000A1215">
        <w:t xml:space="preserve"> </w:t>
      </w:r>
      <w:r w:rsidRPr="000A1215">
        <w:t>no</w:t>
      </w:r>
      <w:r w:rsidRPr="000A1215">
        <w:t xml:space="preserve"> </w:t>
      </w:r>
      <w:r w:rsidRPr="000A1215">
        <w:t xml:space="preserve">later </w:t>
      </w:r>
      <w:r w:rsidRPr="000A1215">
        <w:t xml:space="preserve">than age 14 - particularly as adolescence is when a person develops their ‘career identity’, which </w:t>
      </w:r>
      <w:r w:rsidRPr="000A1215">
        <w:t>influences their transition into adulthood.</w:t>
      </w:r>
      <w:r w:rsidRPr="000A1215">
        <w:t>5,6,7</w:t>
      </w:r>
    </w:p>
    <w:p w14:paraId="5546FF86" w14:textId="77777777" w:rsidR="00DC2449" w:rsidRDefault="00BF173D">
      <w:pPr>
        <w:pStyle w:val="BodyText"/>
        <w:spacing w:before="185"/>
        <w:ind w:left="850"/>
      </w:pPr>
      <w:r w:rsidRPr="000A1215">
        <w:t>There</w:t>
      </w:r>
      <w:r w:rsidRPr="000A1215">
        <w:t xml:space="preserve"> </w:t>
      </w:r>
      <w:r w:rsidRPr="000A1215">
        <w:t>are</w:t>
      </w:r>
      <w:r w:rsidRPr="000A1215">
        <w:t xml:space="preserve"> </w:t>
      </w:r>
      <w:r w:rsidRPr="000A1215">
        <w:t>three</w:t>
      </w:r>
      <w:r w:rsidRPr="000A1215">
        <w:t xml:space="preserve"> </w:t>
      </w:r>
      <w:r w:rsidRPr="000A1215">
        <w:t>basic</w:t>
      </w:r>
      <w:r w:rsidRPr="000A1215">
        <w:t xml:space="preserve"> </w:t>
      </w:r>
      <w:r w:rsidRPr="000A1215">
        <w:t>aims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effective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all</w:t>
      </w:r>
      <w:r w:rsidRPr="000A1215">
        <w:t xml:space="preserve"> </w:t>
      </w:r>
      <w:r w:rsidRPr="000A1215">
        <w:t>young</w:t>
      </w:r>
      <w:r w:rsidRPr="000A1215">
        <w:t xml:space="preserve"> </w:t>
      </w:r>
      <w:r w:rsidRPr="000A1215">
        <w:t>people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disability:</w:t>
      </w:r>
    </w:p>
    <w:p w14:paraId="5546FF87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Engagement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employment, ongoing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learning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and/or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training;</w:t>
      </w:r>
    </w:p>
    <w:p w14:paraId="5546FF88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Living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participating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your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local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community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ways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similar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to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peers;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</w:p>
    <w:p w14:paraId="5546FF89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spacing w:before="21"/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Having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active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social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networks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with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family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friends.</w:t>
      </w:r>
      <w:r w:rsidRPr="000A1215">
        <w:rPr>
          <w:rFonts w:ascii="Arial" w:eastAsia="Arial" w:hAnsi="Arial" w:cs="Arial"/>
          <w:sz w:val="24"/>
          <w:szCs w:val="24"/>
        </w:rPr>
        <w:t>8</w:t>
      </w:r>
    </w:p>
    <w:p w14:paraId="5546FF8A" w14:textId="77777777" w:rsidR="00DC2449" w:rsidRDefault="00BF173D" w:rsidP="00B029E4">
      <w:pPr>
        <w:pStyle w:val="BodyText"/>
        <w:spacing w:before="304" w:line="261" w:lineRule="auto"/>
        <w:ind w:left="850" w:right="2419"/>
      </w:pPr>
      <w:r w:rsidRPr="000A1215">
        <w:t xml:space="preserve">Currently, many Australian students with disability receive prolonged exposure to </w:t>
      </w:r>
      <w:r w:rsidRPr="000A1215">
        <w:lastRenderedPageBreak/>
        <w:t xml:space="preserve">“horizon-limiting </w:t>
      </w:r>
      <w:r w:rsidRPr="000A1215">
        <w:t>views</w:t>
      </w:r>
      <w:r>
        <w:t xml:space="preserve"> </w:t>
      </w:r>
      <w:r w:rsidRPr="000A1215">
        <w:t>and</w:t>
      </w:r>
      <w:r>
        <w:t xml:space="preserve"> </w:t>
      </w:r>
      <w:r w:rsidRPr="000A1215">
        <w:t>experiences</w:t>
      </w:r>
      <w:r>
        <w:t xml:space="preserve"> </w:t>
      </w:r>
      <w:r w:rsidRPr="000A1215">
        <w:t>which</w:t>
      </w:r>
      <w:r>
        <w:t xml:space="preserve"> </w:t>
      </w:r>
      <w:r w:rsidRPr="000A1215">
        <w:t>can</w:t>
      </w:r>
      <w:r>
        <w:t xml:space="preserve"> </w:t>
      </w:r>
      <w:r w:rsidRPr="000A1215">
        <w:t>see</w:t>
      </w:r>
      <w:r>
        <w:t xml:space="preserve"> </w:t>
      </w:r>
      <w:r w:rsidRPr="000A1215">
        <w:t>these</w:t>
      </w:r>
      <w:r>
        <w:t xml:space="preserve"> </w:t>
      </w:r>
      <w:r w:rsidRPr="000A1215">
        <w:t>beliefs</w:t>
      </w:r>
      <w:r>
        <w:t xml:space="preserve"> </w:t>
      </w:r>
      <w:r w:rsidRPr="000A1215">
        <w:t>become</w:t>
      </w:r>
      <w:r>
        <w:t xml:space="preserve"> </w:t>
      </w:r>
      <w:proofErr w:type="spellStart"/>
      <w:r w:rsidRPr="000A1215">
        <w:t>internalised</w:t>
      </w:r>
      <w:proofErr w:type="spellEnd"/>
      <w:r>
        <w:t xml:space="preserve"> </w:t>
      </w:r>
      <w:r w:rsidRPr="000A1215">
        <w:t>and</w:t>
      </w:r>
      <w:r>
        <w:t xml:space="preserve"> </w:t>
      </w:r>
      <w:r w:rsidRPr="000A1215">
        <w:t>the</w:t>
      </w:r>
      <w:r>
        <w:t xml:space="preserve"> </w:t>
      </w:r>
      <w:r w:rsidRPr="000A1215">
        <w:t>person’s</w:t>
      </w:r>
      <w:r>
        <w:t xml:space="preserve"> </w:t>
      </w:r>
      <w:r w:rsidRPr="000A1215">
        <w:t>capacity</w:t>
      </w:r>
      <w:r>
        <w:t xml:space="preserve"> </w:t>
      </w:r>
      <w:r w:rsidRPr="000A1215">
        <w:t xml:space="preserve">to </w:t>
      </w:r>
      <w:proofErr w:type="spellStart"/>
      <w:r w:rsidRPr="000A1215">
        <w:t>recognise</w:t>
      </w:r>
      <w:proofErr w:type="spellEnd"/>
      <w:r w:rsidRPr="000A1215">
        <w:t xml:space="preserve"> their potential diminished.”</w:t>
      </w:r>
      <w:r w:rsidRPr="000A1215">
        <w:t>9</w:t>
      </w:r>
      <w:r w:rsidRPr="000A1215">
        <w:t xml:space="preserve"> </w:t>
      </w:r>
      <w:r w:rsidRPr="000A1215">
        <w:t>The ear</w:t>
      </w:r>
      <w:r w:rsidRPr="000A1215">
        <w:t>lier young people gain access to experiences and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support</w:t>
      </w:r>
      <w:r w:rsidRPr="000A1215">
        <w:t xml:space="preserve"> </w:t>
      </w:r>
      <w:r w:rsidRPr="000A1215">
        <w:t>networks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>positively</w:t>
      </w:r>
      <w:r w:rsidRPr="000A1215">
        <w:t xml:space="preserve"> </w:t>
      </w:r>
      <w:r w:rsidRPr="000A1215">
        <w:t>influence</w:t>
      </w:r>
      <w:r w:rsidRPr="000A1215">
        <w:t xml:space="preserve"> </w:t>
      </w:r>
      <w:r w:rsidRPr="000A1215">
        <w:t>their</w:t>
      </w:r>
      <w:r w:rsidRPr="000A1215">
        <w:t xml:space="preserve"> </w:t>
      </w:r>
      <w:r w:rsidRPr="000A1215">
        <w:t>views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themselves</w:t>
      </w:r>
      <w:r w:rsidRPr="000A1215">
        <w:t xml:space="preserve"> </w:t>
      </w:r>
      <w:r w:rsidRPr="000A1215">
        <w:t>as</w:t>
      </w:r>
      <w:r w:rsidRPr="000A1215">
        <w:t xml:space="preserve"> </w:t>
      </w:r>
      <w:r w:rsidRPr="000A1215">
        <w:t>workers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active citizens, the better the long-term outcomes will be.</w:t>
      </w:r>
    </w:p>
    <w:p w14:paraId="5546FF8B" w14:textId="77777777" w:rsidR="00DC2449" w:rsidRDefault="00BF173D">
      <w:pPr>
        <w:pStyle w:val="BodyText"/>
        <w:spacing w:before="185" w:line="261" w:lineRule="auto"/>
        <w:ind w:left="850" w:right="2419"/>
      </w:pPr>
      <w:r w:rsidRPr="000A1215">
        <w:t>Longitudinal</w:t>
      </w:r>
      <w:r>
        <w:t xml:space="preserve"> </w:t>
      </w:r>
      <w:r w:rsidRPr="000A1215">
        <w:t>studies</w:t>
      </w:r>
      <w:r>
        <w:t xml:space="preserve"> </w:t>
      </w:r>
      <w:r w:rsidRPr="000A1215">
        <w:t>and</w:t>
      </w:r>
      <w:r>
        <w:t xml:space="preserve"> </w:t>
      </w:r>
      <w:r w:rsidRPr="000A1215">
        <w:t>research</w:t>
      </w:r>
      <w:r>
        <w:t xml:space="preserve"> </w:t>
      </w:r>
      <w:r w:rsidRPr="000A1215">
        <w:t>on</w:t>
      </w:r>
      <w:r>
        <w:t xml:space="preserve"> </w:t>
      </w:r>
      <w:r w:rsidRPr="000A1215">
        <w:t>employment</w:t>
      </w:r>
      <w:r>
        <w:t xml:space="preserve"> </w:t>
      </w:r>
      <w:r w:rsidRPr="000A1215">
        <w:t>success</w:t>
      </w:r>
      <w:r>
        <w:t xml:space="preserve"> </w:t>
      </w:r>
      <w:r w:rsidRPr="000A1215">
        <w:t>for</w:t>
      </w:r>
      <w:r>
        <w:t xml:space="preserve"> </w:t>
      </w:r>
      <w:r w:rsidRPr="000A1215">
        <w:t>youth</w:t>
      </w:r>
      <w:r>
        <w:t xml:space="preserve"> </w:t>
      </w:r>
      <w:r w:rsidRPr="000A1215">
        <w:t>with</w:t>
      </w:r>
      <w:r>
        <w:t xml:space="preserve"> </w:t>
      </w:r>
      <w:r w:rsidRPr="000A1215">
        <w:t>disability</w:t>
      </w:r>
      <w:r>
        <w:t xml:space="preserve"> </w:t>
      </w:r>
      <w:r w:rsidRPr="000A1215">
        <w:t>have</w:t>
      </w:r>
      <w:r>
        <w:t xml:space="preserve"> </w:t>
      </w:r>
      <w:r w:rsidRPr="000A1215">
        <w:t>identified</w:t>
      </w:r>
      <w:r w:rsidRPr="000A1215">
        <w:t xml:space="preserve"> </w:t>
      </w:r>
      <w:r w:rsidRPr="000A1215">
        <w:t>two key factors associated with employment success after school:</w:t>
      </w:r>
    </w:p>
    <w:p w14:paraId="5546FF8C" w14:textId="77777777" w:rsidR="00DC2449" w:rsidRPr="000A1215" w:rsidRDefault="00BF173D">
      <w:pPr>
        <w:pStyle w:val="ListParagraph"/>
        <w:numPr>
          <w:ilvl w:val="0"/>
          <w:numId w:val="2"/>
        </w:numPr>
        <w:tabs>
          <w:tab w:val="left" w:pos="1571"/>
        </w:tabs>
        <w:spacing w:before="55"/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Hands-on,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authentic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work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experiences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during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school*;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</w:p>
    <w:p w14:paraId="5546FF8D" w14:textId="77777777" w:rsidR="00DC2449" w:rsidRDefault="00BF173D">
      <w:pPr>
        <w:pStyle w:val="ListParagraph"/>
        <w:numPr>
          <w:ilvl w:val="0"/>
          <w:numId w:val="2"/>
        </w:numPr>
        <w:tabs>
          <w:tab w:val="left" w:pos="1571"/>
        </w:tabs>
        <w:spacing w:before="21"/>
        <w:ind w:hanging="301"/>
        <w:rPr>
          <w:sz w:val="24"/>
        </w:rPr>
      </w:pPr>
      <w:r w:rsidRPr="000A1215">
        <w:rPr>
          <w:rFonts w:ascii="Arial" w:eastAsia="Arial" w:hAnsi="Arial" w:cs="Arial"/>
          <w:sz w:val="24"/>
          <w:szCs w:val="24"/>
        </w:rPr>
        <w:t>High parent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expectations.</w:t>
      </w:r>
      <w:r w:rsidRPr="000A1215">
        <w:rPr>
          <w:rFonts w:ascii="Arial" w:eastAsia="Arial" w:hAnsi="Arial" w:cs="Arial"/>
          <w:sz w:val="24"/>
          <w:szCs w:val="24"/>
        </w:rPr>
        <w:t>10</w:t>
      </w:r>
    </w:p>
    <w:p w14:paraId="5546FF8E" w14:textId="77777777" w:rsidR="00DC2449" w:rsidRDefault="00BF173D" w:rsidP="000A1215">
      <w:pPr>
        <w:pStyle w:val="BodyText"/>
        <w:spacing w:before="180" w:line="300" w:lineRule="exact"/>
        <w:ind w:left="850" w:right="2353"/>
      </w:pPr>
      <w:r w:rsidRPr="000A1215">
        <w:t>Data</w:t>
      </w:r>
      <w:r w:rsidRPr="000A1215">
        <w:t xml:space="preserve"> </w:t>
      </w:r>
      <w:r w:rsidRPr="000A1215">
        <w:t>has</w:t>
      </w:r>
      <w:r w:rsidRPr="000A1215">
        <w:t xml:space="preserve"> </w:t>
      </w:r>
      <w:r w:rsidRPr="000A1215">
        <w:t>revealed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>only</w:t>
      </w:r>
      <w:r w:rsidRPr="000A1215">
        <w:t xml:space="preserve"> </w:t>
      </w:r>
      <w:r w:rsidRPr="000A1215">
        <w:t>56</w:t>
      </w:r>
      <w:r w:rsidRPr="000A1215">
        <w:t xml:space="preserve"> </w:t>
      </w:r>
      <w:r w:rsidRPr="000A1215">
        <w:t>per</w:t>
      </w:r>
      <w:r w:rsidRPr="000A1215">
        <w:t xml:space="preserve"> </w:t>
      </w:r>
      <w:r w:rsidRPr="000A1215">
        <w:t>cent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young</w:t>
      </w:r>
      <w:r w:rsidRPr="000A1215">
        <w:t xml:space="preserve"> </w:t>
      </w:r>
      <w:r w:rsidRPr="000A1215">
        <w:t>people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cognitive</w:t>
      </w:r>
      <w:r w:rsidRPr="000A1215">
        <w:t xml:space="preserve"> </w:t>
      </w:r>
      <w:r w:rsidRPr="000A1215">
        <w:t>disability</w:t>
      </w:r>
      <w:r w:rsidRPr="000A1215">
        <w:t xml:space="preserve"> </w:t>
      </w:r>
      <w:r w:rsidRPr="000A1215">
        <w:t>complete</w:t>
      </w:r>
      <w:r w:rsidRPr="000A1215">
        <w:t xml:space="preserve"> </w:t>
      </w:r>
      <w:r w:rsidRPr="000A1215">
        <w:t xml:space="preserve">Year </w:t>
      </w:r>
      <w:r w:rsidRPr="000A1215">
        <w:t>12 or its equivalent. Early engagement with work positively effects school completion, with 50 per</w:t>
      </w:r>
      <w:r w:rsidRPr="000A1215">
        <w:t xml:space="preserve"> </w:t>
      </w:r>
      <w:r w:rsidRPr="000A1215">
        <w:t>cent of students with disability being more likely to complete their education.</w:t>
      </w:r>
      <w:r w:rsidRPr="000A1215">
        <w:t>11</w:t>
      </w:r>
    </w:p>
    <w:p w14:paraId="5546FF8F" w14:textId="77777777" w:rsidR="00DC2449" w:rsidRDefault="00BF173D">
      <w:pPr>
        <w:pStyle w:val="BodyText"/>
        <w:spacing w:before="195" w:line="261" w:lineRule="auto"/>
        <w:ind w:left="850" w:right="2663"/>
        <w:jc w:val="both"/>
      </w:pPr>
      <w:r w:rsidRPr="000A1215">
        <w:t>Currently, SLES is only available to Year 12 leavers.</w:t>
      </w:r>
      <w:r w:rsidRPr="000A1215">
        <w:t xml:space="preserve"> </w:t>
      </w:r>
      <w:r w:rsidRPr="000A1215">
        <w:t xml:space="preserve">This is concerning, given that nearly half of young people with cognitive disability leave school early. NDIS employment supports should be </w:t>
      </w:r>
      <w:r w:rsidRPr="000A1215">
        <w:t>offered to eligible young people that have left the school sys</w:t>
      </w:r>
      <w:r w:rsidRPr="000A1215">
        <w:t>tem early.</w:t>
      </w:r>
    </w:p>
    <w:p w14:paraId="5546FF90" w14:textId="77777777" w:rsidR="00DC2449" w:rsidRDefault="00BF173D" w:rsidP="000A1215">
      <w:pPr>
        <w:pStyle w:val="BodyText"/>
        <w:spacing w:before="195" w:line="261" w:lineRule="auto"/>
        <w:ind w:left="850" w:right="2663"/>
        <w:jc w:val="both"/>
      </w:pPr>
      <w:r w:rsidRPr="000A1215">
        <w:t>Ticket</w:t>
      </w:r>
      <w:r w:rsidRPr="000A1215">
        <w:t xml:space="preserve"> </w:t>
      </w:r>
      <w:r w:rsidRPr="000A1215">
        <w:t>to Work</w:t>
      </w:r>
      <w:r w:rsidRPr="000A1215">
        <w:t xml:space="preserve"> </w:t>
      </w:r>
      <w:r w:rsidRPr="000A1215">
        <w:t>participants</w:t>
      </w:r>
      <w:r w:rsidRPr="000A1215">
        <w:t xml:space="preserve"> </w:t>
      </w:r>
      <w:r w:rsidRPr="000A1215">
        <w:t>are</w:t>
      </w:r>
      <w:r w:rsidRPr="000A1215">
        <w:t xml:space="preserve"> </w:t>
      </w:r>
      <w:r w:rsidRPr="000A1215">
        <w:t>almost</w:t>
      </w:r>
      <w:r w:rsidRPr="000A1215">
        <w:t xml:space="preserve"> </w:t>
      </w:r>
      <w:r w:rsidRPr="000A1215">
        <w:t>50</w:t>
      </w:r>
      <w:r w:rsidRPr="000A1215">
        <w:t xml:space="preserve"> </w:t>
      </w:r>
      <w:r w:rsidRPr="000A1215">
        <w:t>per</w:t>
      </w:r>
      <w:r w:rsidRPr="000A1215">
        <w:t xml:space="preserve"> </w:t>
      </w:r>
      <w:r w:rsidRPr="000A1215">
        <w:t>cent</w:t>
      </w:r>
      <w:r w:rsidRPr="000A1215">
        <w:t xml:space="preserve"> </w:t>
      </w:r>
      <w:r w:rsidRPr="000A1215">
        <w:t>more</w:t>
      </w:r>
      <w:r w:rsidRPr="000A1215">
        <w:t xml:space="preserve"> </w:t>
      </w:r>
      <w:r w:rsidRPr="000A1215">
        <w:t>likely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complete Year</w:t>
      </w:r>
      <w:r w:rsidRPr="000A1215">
        <w:t xml:space="preserve"> </w:t>
      </w:r>
      <w:r w:rsidRPr="000A1215">
        <w:t>12.</w:t>
      </w:r>
      <w:r w:rsidRPr="000A1215">
        <w:t xml:space="preserve"> </w:t>
      </w:r>
      <w:r w:rsidRPr="000A1215">
        <w:t xml:space="preserve">This </w:t>
      </w:r>
      <w:r w:rsidRPr="000A1215">
        <w:t>indicates</w:t>
      </w:r>
      <w:r>
        <w:t xml:space="preserve"> </w:t>
      </w:r>
      <w:r w:rsidRPr="000A1215">
        <w:t>that</w:t>
      </w:r>
      <w:r>
        <w:t xml:space="preserve"> </w:t>
      </w:r>
      <w:r w:rsidRPr="000A1215">
        <w:t>support</w:t>
      </w:r>
      <w:r>
        <w:t xml:space="preserve"> </w:t>
      </w:r>
      <w:r w:rsidRPr="000A1215">
        <w:t>to</w:t>
      </w:r>
      <w:r>
        <w:t xml:space="preserve"> </w:t>
      </w:r>
      <w:r w:rsidRPr="000A1215">
        <w:t>create</w:t>
      </w:r>
      <w:r>
        <w:t xml:space="preserve"> </w:t>
      </w:r>
      <w:r w:rsidRPr="000A1215">
        <w:t>pathways</w:t>
      </w:r>
      <w:r>
        <w:t xml:space="preserve"> </w:t>
      </w:r>
      <w:r w:rsidRPr="000A1215">
        <w:t>while</w:t>
      </w:r>
      <w:r>
        <w:t xml:space="preserve"> </w:t>
      </w:r>
      <w:r w:rsidRPr="000A1215">
        <w:t>in</w:t>
      </w:r>
      <w:r>
        <w:t xml:space="preserve"> </w:t>
      </w:r>
      <w:r w:rsidRPr="000A1215">
        <w:t>school</w:t>
      </w:r>
      <w:r>
        <w:t xml:space="preserve"> </w:t>
      </w:r>
      <w:r w:rsidRPr="000A1215">
        <w:t>actually</w:t>
      </w:r>
      <w:r>
        <w:t xml:space="preserve"> </w:t>
      </w:r>
      <w:r w:rsidRPr="000A1215">
        <w:t>assists</w:t>
      </w:r>
      <w:r>
        <w:t xml:space="preserve"> </w:t>
      </w:r>
      <w:r w:rsidRPr="000A1215">
        <w:t>with</w:t>
      </w:r>
      <w:r>
        <w:t xml:space="preserve"> </w:t>
      </w:r>
      <w:r w:rsidRPr="000A1215">
        <w:t>secondary</w:t>
      </w:r>
      <w:r>
        <w:t xml:space="preserve"> </w:t>
      </w:r>
      <w:r w:rsidRPr="000A1215">
        <w:t>school</w:t>
      </w:r>
      <w:r w:rsidRPr="000A1215">
        <w:t xml:space="preserve"> </w:t>
      </w:r>
      <w:r w:rsidRPr="000A1215">
        <w:t>completion.</w:t>
      </w:r>
    </w:p>
    <w:p w14:paraId="5546FF91" w14:textId="77777777" w:rsidR="00DC2449" w:rsidRDefault="00DC2449">
      <w:pPr>
        <w:pStyle w:val="BodyText"/>
        <w:rPr>
          <w:sz w:val="20"/>
        </w:rPr>
      </w:pPr>
    </w:p>
    <w:p w14:paraId="5546FF92" w14:textId="77777777" w:rsidR="00DC2449" w:rsidRDefault="00DC2449">
      <w:pPr>
        <w:pStyle w:val="BodyText"/>
        <w:rPr>
          <w:sz w:val="20"/>
        </w:rPr>
      </w:pPr>
    </w:p>
    <w:p w14:paraId="5546FF93" w14:textId="1EA83D82" w:rsidR="00DC2449" w:rsidRDefault="00DC2449">
      <w:pPr>
        <w:pStyle w:val="BodyText"/>
        <w:spacing w:before="10"/>
        <w:rPr>
          <w:sz w:val="12"/>
        </w:rPr>
      </w:pPr>
    </w:p>
    <w:p w14:paraId="5546FF94" w14:textId="77777777" w:rsidR="00DC2449" w:rsidRPr="000A1215" w:rsidRDefault="00BF173D">
      <w:pPr>
        <w:pStyle w:val="BodyText"/>
        <w:spacing w:before="135" w:line="261" w:lineRule="auto"/>
        <w:ind w:left="850" w:right="2419"/>
      </w:pPr>
      <w:r w:rsidRPr="000A1215">
        <w:t>*</w:t>
      </w:r>
      <w:r w:rsidRPr="000A1215">
        <w:t>Note:</w:t>
      </w:r>
      <w:r w:rsidRPr="000A1215">
        <w:t xml:space="preserve"> </w:t>
      </w:r>
      <w:r w:rsidRPr="000A1215">
        <w:t xml:space="preserve">Work experiences created jointly by </w:t>
      </w:r>
      <w:r w:rsidRPr="000A1215">
        <w:t xml:space="preserve">schools and adult disability providers show success in </w:t>
      </w:r>
      <w:r w:rsidRPr="000A1215">
        <w:t>helping youth gain employment and make smooth transitions into adulthood (</w:t>
      </w:r>
      <w:proofErr w:type="spellStart"/>
      <w:r w:rsidRPr="000A1215">
        <w:t>Certo</w:t>
      </w:r>
      <w:proofErr w:type="spellEnd"/>
      <w:r w:rsidRPr="000A1215">
        <w:t xml:space="preserve"> &amp; </w:t>
      </w:r>
      <w:proofErr w:type="spellStart"/>
      <w:r w:rsidRPr="000A1215">
        <w:t>Luecking</w:t>
      </w:r>
      <w:proofErr w:type="spellEnd"/>
      <w:r w:rsidRPr="000A1215">
        <w:t xml:space="preserve">, </w:t>
      </w:r>
      <w:r w:rsidRPr="000A1215">
        <w:t>2006).</w:t>
      </w:r>
    </w:p>
    <w:p w14:paraId="5546FF96" w14:textId="77777777" w:rsidR="00DC2449" w:rsidRDefault="00DC2449">
      <w:pPr>
        <w:pStyle w:val="BodyText"/>
        <w:rPr>
          <w:rFonts w:ascii="Arial Narrow"/>
          <w:sz w:val="20"/>
        </w:rPr>
      </w:pPr>
    </w:p>
    <w:p w14:paraId="5546FF97" w14:textId="77777777" w:rsidR="00DC2449" w:rsidRDefault="00DC2449">
      <w:pPr>
        <w:pStyle w:val="BodyText"/>
        <w:rPr>
          <w:rFonts w:ascii="Arial Narrow"/>
          <w:sz w:val="20"/>
        </w:rPr>
      </w:pPr>
    </w:p>
    <w:p w14:paraId="5546FF98" w14:textId="77777777" w:rsidR="00DC2449" w:rsidRDefault="00DC2449">
      <w:pPr>
        <w:pStyle w:val="BodyText"/>
        <w:spacing w:before="6"/>
        <w:rPr>
          <w:rFonts w:ascii="Arial Narrow"/>
          <w:sz w:val="21"/>
        </w:rPr>
      </w:pPr>
    </w:p>
    <w:p w14:paraId="5546FF99" w14:textId="77777777" w:rsidR="00DC2449" w:rsidRPr="000A1215" w:rsidRDefault="00BF173D">
      <w:pPr>
        <w:pStyle w:val="Heading2"/>
        <w:spacing w:before="108"/>
        <w:rPr>
          <w:color w:val="000000" w:themeColor="text1"/>
        </w:rPr>
      </w:pPr>
      <w:bookmarkStart w:id="6" w:name="_TOC_250007"/>
      <w:r w:rsidRPr="000A1215">
        <w:rPr>
          <w:color w:val="000000" w:themeColor="text1"/>
          <w:w w:val="80"/>
        </w:rPr>
        <w:t>Employment</w:t>
      </w:r>
      <w:r w:rsidRPr="000A1215">
        <w:rPr>
          <w:color w:val="000000" w:themeColor="text1"/>
          <w:spacing w:val="10"/>
        </w:rPr>
        <w:t xml:space="preserve"> </w:t>
      </w:r>
      <w:r w:rsidRPr="000A1215">
        <w:rPr>
          <w:color w:val="000000" w:themeColor="text1"/>
          <w:w w:val="80"/>
        </w:rPr>
        <w:t>first</w:t>
      </w:r>
      <w:r w:rsidRPr="000A1215">
        <w:rPr>
          <w:color w:val="000000" w:themeColor="text1"/>
          <w:spacing w:val="10"/>
        </w:rPr>
        <w:t xml:space="preserve"> </w:t>
      </w:r>
      <w:r w:rsidRPr="000A1215">
        <w:rPr>
          <w:color w:val="000000" w:themeColor="text1"/>
          <w:w w:val="80"/>
        </w:rPr>
        <w:t>supports</w:t>
      </w:r>
      <w:r w:rsidRPr="000A1215">
        <w:rPr>
          <w:color w:val="000000" w:themeColor="text1"/>
          <w:spacing w:val="10"/>
        </w:rPr>
        <w:t xml:space="preserve"> </w:t>
      </w:r>
      <w:r w:rsidRPr="000A1215">
        <w:rPr>
          <w:color w:val="000000" w:themeColor="text1"/>
          <w:w w:val="80"/>
        </w:rPr>
        <w:t>that</w:t>
      </w:r>
      <w:r w:rsidRPr="000A1215">
        <w:rPr>
          <w:color w:val="000000" w:themeColor="text1"/>
          <w:spacing w:val="11"/>
        </w:rPr>
        <w:t xml:space="preserve"> </w:t>
      </w:r>
      <w:r w:rsidRPr="000A1215">
        <w:rPr>
          <w:color w:val="000000" w:themeColor="text1"/>
          <w:w w:val="80"/>
        </w:rPr>
        <w:t>are</w:t>
      </w:r>
      <w:r w:rsidRPr="000A1215">
        <w:rPr>
          <w:color w:val="000000" w:themeColor="text1"/>
          <w:spacing w:val="10"/>
        </w:rPr>
        <w:t xml:space="preserve"> </w:t>
      </w:r>
      <w:bookmarkEnd w:id="6"/>
      <w:proofErr w:type="spellStart"/>
      <w:r w:rsidRPr="000A1215">
        <w:rPr>
          <w:color w:val="000000" w:themeColor="text1"/>
          <w:spacing w:val="-2"/>
          <w:w w:val="80"/>
        </w:rPr>
        <w:t>individualised</w:t>
      </w:r>
      <w:proofErr w:type="spellEnd"/>
    </w:p>
    <w:p w14:paraId="5546FF9A" w14:textId="77777777" w:rsidR="00DC2449" w:rsidRDefault="00BF173D">
      <w:pPr>
        <w:pStyle w:val="BodyText"/>
        <w:spacing w:before="177" w:line="261" w:lineRule="auto"/>
        <w:ind w:left="850" w:right="2579" w:hanging="1"/>
      </w:pPr>
      <w:r w:rsidRPr="000A1215">
        <w:t xml:space="preserve">Young people (aged 14) accessing NDIS supports should have an ‘employment first’ approach. </w:t>
      </w:r>
      <w:r w:rsidRPr="000A1215">
        <w:t>Employment should be the priority support option for young people with disability,</w:t>
      </w:r>
      <w:r w:rsidRPr="000A1215">
        <w:t xml:space="preserve"> </w:t>
      </w:r>
      <w:r w:rsidRPr="000A1215">
        <w:t xml:space="preserve">no matter the </w:t>
      </w:r>
      <w:r w:rsidRPr="000A1215">
        <w:t>severity of the disability. ‘Employment first’ is the preeminent voc</w:t>
      </w:r>
      <w:r w:rsidRPr="000A1215">
        <w:t xml:space="preserve">ational disability practice in </w:t>
      </w:r>
      <w:r w:rsidRPr="000A1215">
        <w:t>many</w:t>
      </w:r>
      <w:r w:rsidRPr="000A1215">
        <w:t xml:space="preserve"> </w:t>
      </w:r>
      <w:r w:rsidRPr="000A1215">
        <w:t>overseas</w:t>
      </w:r>
      <w:r w:rsidRPr="000A1215">
        <w:t xml:space="preserve"> </w:t>
      </w:r>
      <w:r w:rsidRPr="000A1215">
        <w:t>countries.</w:t>
      </w:r>
    </w:p>
    <w:p w14:paraId="5546FF9B" w14:textId="77777777" w:rsidR="00DC2449" w:rsidRPr="000A1215" w:rsidRDefault="00BF173D" w:rsidP="000A1215">
      <w:pPr>
        <w:pStyle w:val="BodyText"/>
        <w:spacing w:before="177" w:line="261" w:lineRule="auto"/>
        <w:ind w:left="850" w:right="2579" w:hanging="1"/>
      </w:pPr>
      <w:r w:rsidRPr="000A1215">
        <w:t>School-to-work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supports</w:t>
      </w:r>
      <w:r w:rsidRPr="000A1215">
        <w:t xml:space="preserve"> </w:t>
      </w:r>
      <w:r w:rsidRPr="000A1215">
        <w:t>should</w:t>
      </w:r>
      <w:r w:rsidRPr="000A1215">
        <w:t xml:space="preserve"> </w:t>
      </w:r>
      <w:r w:rsidRPr="000A1215">
        <w:t>be</w:t>
      </w:r>
      <w:r w:rsidRPr="000A1215">
        <w:t xml:space="preserve"> </w:t>
      </w:r>
      <w:r w:rsidRPr="000A1215">
        <w:t>offered</w:t>
      </w:r>
      <w:r w:rsidRPr="000A1215">
        <w:t xml:space="preserve"> </w:t>
      </w:r>
      <w:r w:rsidRPr="000A1215">
        <w:t>on</w:t>
      </w:r>
      <w:r w:rsidRPr="000A1215">
        <w:t xml:space="preserve"> </w:t>
      </w:r>
      <w:r w:rsidRPr="000A1215">
        <w:t>an</w:t>
      </w:r>
      <w:r w:rsidRPr="000A1215">
        <w:t xml:space="preserve"> </w:t>
      </w:r>
      <w:r w:rsidRPr="000A1215">
        <w:t>automatic</w:t>
      </w:r>
      <w:r w:rsidRPr="000A1215">
        <w:t xml:space="preserve"> </w:t>
      </w:r>
      <w:r w:rsidRPr="000A1215">
        <w:t>basis,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an</w:t>
      </w:r>
      <w:r w:rsidRPr="000A1215">
        <w:t xml:space="preserve"> </w:t>
      </w:r>
      <w:r w:rsidRPr="000A1215">
        <w:t>‘opt-</w:t>
      </w:r>
      <w:r w:rsidRPr="000A1215">
        <w:t>out’</w:t>
      </w:r>
    </w:p>
    <w:p w14:paraId="5546FF9C" w14:textId="77777777" w:rsidR="00DC2449" w:rsidRDefault="00BF173D" w:rsidP="000A1215">
      <w:pPr>
        <w:pStyle w:val="BodyText"/>
        <w:spacing w:before="177" w:line="261" w:lineRule="auto"/>
        <w:ind w:left="850" w:right="2579" w:hanging="1"/>
      </w:pPr>
      <w:r w:rsidRPr="000A1215">
        <w:t>clause</w:t>
      </w:r>
      <w:r w:rsidRPr="000A1215">
        <w:t xml:space="preserve"> </w:t>
      </w:r>
      <w:r w:rsidRPr="000A1215">
        <w:t>dependent</w:t>
      </w:r>
      <w:r w:rsidRPr="000A1215">
        <w:t xml:space="preserve"> </w:t>
      </w:r>
      <w:r w:rsidRPr="000A1215">
        <w:t>on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individual’s</w:t>
      </w:r>
      <w:r w:rsidRPr="000A1215">
        <w:t xml:space="preserve"> </w:t>
      </w:r>
      <w:r w:rsidRPr="000A1215">
        <w:t>circumstances.</w:t>
      </w:r>
      <w:r w:rsidRPr="000A1215">
        <w:t xml:space="preserve"> </w:t>
      </w:r>
      <w:r w:rsidRPr="000A1215">
        <w:t>This</w:t>
      </w:r>
      <w:r w:rsidRPr="000A1215">
        <w:t xml:space="preserve"> </w:t>
      </w:r>
      <w:r w:rsidRPr="000A1215">
        <w:t>approach</w:t>
      </w:r>
      <w:r w:rsidRPr="000A1215">
        <w:t xml:space="preserve"> </w:t>
      </w:r>
      <w:r w:rsidRPr="000A1215">
        <w:t>will</w:t>
      </w:r>
      <w:r w:rsidRPr="000A1215">
        <w:t xml:space="preserve"> </w:t>
      </w:r>
      <w:r w:rsidRPr="000A1215">
        <w:t>result</w:t>
      </w:r>
      <w:r w:rsidRPr="000A1215">
        <w:t xml:space="preserve"> </w:t>
      </w:r>
      <w:r w:rsidRPr="000A1215">
        <w:t>in:</w:t>
      </w:r>
    </w:p>
    <w:p w14:paraId="5546FF9D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Increased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vocational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work-related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supports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participants’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plans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focused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on</w:t>
      </w:r>
    </w:p>
    <w:p w14:paraId="5546FF9E" w14:textId="77777777" w:rsidR="00DC2449" w:rsidRPr="000A1215" w:rsidRDefault="00BF173D" w:rsidP="000A1215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economic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participation</w:t>
      </w:r>
    </w:p>
    <w:p w14:paraId="5546FF9F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Better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employment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outcomes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for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participants</w:t>
      </w:r>
    </w:p>
    <w:p w14:paraId="5546FFA0" w14:textId="77777777" w:rsidR="00DC2449" w:rsidRPr="000A1215" w:rsidRDefault="00BF173D" w:rsidP="000A1215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Increase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employment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supports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NDIS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plans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(currently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only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2.5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per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cent</w:t>
      </w:r>
      <w:r w:rsidRPr="000A1215">
        <w:rPr>
          <w:rFonts w:ascii="Arial" w:eastAsia="Arial" w:hAnsi="Arial" w:cs="Arial"/>
          <w:sz w:val="24"/>
          <w:szCs w:val="24"/>
        </w:rPr>
        <w:t>12</w:t>
      </w:r>
      <w:r w:rsidRPr="000A1215">
        <w:rPr>
          <w:rFonts w:ascii="Arial" w:eastAsia="Arial" w:hAnsi="Arial" w:cs="Arial"/>
          <w:sz w:val="24"/>
          <w:szCs w:val="24"/>
        </w:rPr>
        <w:t>)</w:t>
      </w:r>
    </w:p>
    <w:p w14:paraId="5546FFA1" w14:textId="77777777" w:rsidR="00DC2449" w:rsidRPr="000A1215" w:rsidRDefault="00BF173D" w:rsidP="000A1215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 xml:space="preserve">A decrease in community participation supports that are likely to become an ongoing </w:t>
      </w:r>
      <w:proofErr w:type="spellStart"/>
      <w:r w:rsidRPr="000A1215">
        <w:rPr>
          <w:rFonts w:ascii="Arial" w:eastAsia="Arial" w:hAnsi="Arial" w:cs="Arial"/>
          <w:sz w:val="24"/>
          <w:szCs w:val="24"/>
        </w:rPr>
        <w:t>annualised</w:t>
      </w:r>
      <w:proofErr w:type="spellEnd"/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cost.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(Currently,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less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than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5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per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cent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transition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to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open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employment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 xml:space="preserve">from community supports </w:t>
      </w:r>
      <w:r w:rsidRPr="000A1215">
        <w:rPr>
          <w:rFonts w:ascii="Arial" w:eastAsia="Arial" w:hAnsi="Arial" w:cs="Arial"/>
          <w:sz w:val="24"/>
          <w:szCs w:val="24"/>
        </w:rPr>
        <w:lastRenderedPageBreak/>
        <w:t>and supported employment.)</w:t>
      </w:r>
    </w:p>
    <w:p w14:paraId="5546FFA2" w14:textId="77777777" w:rsidR="00DC2449" w:rsidRPr="000A1215" w:rsidRDefault="00BF173D" w:rsidP="000A1215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A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more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financially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sustainable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NDIS</w:t>
      </w:r>
    </w:p>
    <w:p w14:paraId="5546FFA3" w14:textId="77777777" w:rsidR="00DC2449" w:rsidRPr="000A1215" w:rsidRDefault="00BF173D">
      <w:pPr>
        <w:pStyle w:val="ListParagraph"/>
        <w:numPr>
          <w:ilvl w:val="0"/>
          <w:numId w:val="3"/>
        </w:numPr>
        <w:tabs>
          <w:tab w:val="left" w:pos="1571"/>
        </w:tabs>
        <w:ind w:hanging="301"/>
        <w:rPr>
          <w:rFonts w:ascii="Arial" w:eastAsia="Arial" w:hAnsi="Arial" w:cs="Arial"/>
          <w:sz w:val="24"/>
          <w:szCs w:val="24"/>
        </w:rPr>
      </w:pPr>
      <w:r w:rsidRPr="000A1215">
        <w:rPr>
          <w:rFonts w:ascii="Arial" w:eastAsia="Arial" w:hAnsi="Arial" w:cs="Arial"/>
          <w:sz w:val="24"/>
          <w:szCs w:val="24"/>
        </w:rPr>
        <w:t>Increased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independence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employment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outcomes,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and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the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commensurate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benefit</w:t>
      </w:r>
      <w:r w:rsidRPr="000A1215">
        <w:rPr>
          <w:rFonts w:ascii="Arial" w:eastAsia="Arial" w:hAnsi="Arial" w:cs="Arial"/>
          <w:sz w:val="24"/>
          <w:szCs w:val="24"/>
        </w:rPr>
        <w:t xml:space="preserve"> </w:t>
      </w:r>
      <w:r w:rsidRPr="000A1215">
        <w:rPr>
          <w:rFonts w:ascii="Arial" w:eastAsia="Arial" w:hAnsi="Arial" w:cs="Arial"/>
          <w:sz w:val="24"/>
          <w:szCs w:val="24"/>
        </w:rPr>
        <w:t>of</w:t>
      </w:r>
    </w:p>
    <w:p w14:paraId="5546FFA4" w14:textId="77777777" w:rsidR="00DC2449" w:rsidRPr="00BF173D" w:rsidRDefault="00BF173D" w:rsidP="00BF173D">
      <w:pPr>
        <w:pStyle w:val="ListParagraph"/>
        <w:tabs>
          <w:tab w:val="left" w:pos="1571"/>
        </w:tabs>
        <w:ind w:firstLine="0"/>
        <w:rPr>
          <w:rFonts w:ascii="Arial" w:eastAsia="Arial" w:hAnsi="Arial" w:cs="Arial"/>
          <w:sz w:val="24"/>
          <w:szCs w:val="24"/>
        </w:rPr>
      </w:pPr>
      <w:r w:rsidRPr="00BF173D">
        <w:rPr>
          <w:rFonts w:ascii="Arial" w:eastAsia="Arial" w:hAnsi="Arial" w:cs="Arial"/>
          <w:sz w:val="24"/>
          <w:szCs w:val="24"/>
        </w:rPr>
        <w:t>stronger</w:t>
      </w:r>
      <w:r w:rsidRPr="00BF173D">
        <w:rPr>
          <w:rFonts w:ascii="Arial" w:eastAsia="Arial" w:hAnsi="Arial" w:cs="Arial"/>
          <w:sz w:val="24"/>
          <w:szCs w:val="24"/>
        </w:rPr>
        <w:t xml:space="preserve"> </w:t>
      </w:r>
      <w:r w:rsidRPr="00BF173D">
        <w:rPr>
          <w:rFonts w:ascii="Arial" w:eastAsia="Arial" w:hAnsi="Arial" w:cs="Arial"/>
          <w:sz w:val="24"/>
          <w:szCs w:val="24"/>
        </w:rPr>
        <w:t>natural</w:t>
      </w:r>
      <w:r w:rsidRPr="00BF173D">
        <w:rPr>
          <w:rFonts w:ascii="Arial" w:eastAsia="Arial" w:hAnsi="Arial" w:cs="Arial"/>
          <w:sz w:val="24"/>
          <w:szCs w:val="24"/>
        </w:rPr>
        <w:t xml:space="preserve"> </w:t>
      </w:r>
      <w:r w:rsidRPr="00BF173D">
        <w:rPr>
          <w:rFonts w:ascii="Arial" w:eastAsia="Arial" w:hAnsi="Arial" w:cs="Arial"/>
          <w:sz w:val="24"/>
          <w:szCs w:val="24"/>
        </w:rPr>
        <w:t>supports</w:t>
      </w:r>
      <w:r w:rsidRPr="00BF173D">
        <w:rPr>
          <w:rFonts w:ascii="Arial" w:eastAsia="Arial" w:hAnsi="Arial" w:cs="Arial"/>
          <w:sz w:val="24"/>
          <w:szCs w:val="24"/>
        </w:rPr>
        <w:t xml:space="preserve"> </w:t>
      </w:r>
      <w:r w:rsidRPr="00BF173D">
        <w:rPr>
          <w:rFonts w:ascii="Arial" w:eastAsia="Arial" w:hAnsi="Arial" w:cs="Arial"/>
          <w:sz w:val="24"/>
          <w:szCs w:val="24"/>
        </w:rPr>
        <w:t>for</w:t>
      </w:r>
      <w:r w:rsidRPr="00BF173D">
        <w:rPr>
          <w:rFonts w:ascii="Arial" w:eastAsia="Arial" w:hAnsi="Arial" w:cs="Arial"/>
          <w:sz w:val="24"/>
          <w:szCs w:val="24"/>
        </w:rPr>
        <w:t xml:space="preserve"> </w:t>
      </w:r>
      <w:r w:rsidRPr="00BF173D">
        <w:rPr>
          <w:rFonts w:ascii="Arial" w:eastAsia="Arial" w:hAnsi="Arial" w:cs="Arial"/>
          <w:sz w:val="24"/>
          <w:szCs w:val="24"/>
        </w:rPr>
        <w:t>participants</w:t>
      </w:r>
    </w:p>
    <w:p w14:paraId="5546FFA5" w14:textId="77777777" w:rsidR="00DC2449" w:rsidRDefault="00BF173D">
      <w:pPr>
        <w:pStyle w:val="BodyText"/>
        <w:spacing w:before="180" w:line="300" w:lineRule="exact"/>
        <w:ind w:left="850" w:right="2579"/>
      </w:pPr>
      <w:r w:rsidRPr="000A1215">
        <w:t xml:space="preserve">Any school-to-work supports should be based on </w:t>
      </w:r>
      <w:proofErr w:type="spellStart"/>
      <w:r w:rsidRPr="000A1215">
        <w:t>individualised</w:t>
      </w:r>
      <w:proofErr w:type="spellEnd"/>
      <w:r w:rsidRPr="000A1215">
        <w:t xml:space="preserve"> support; not group support - in</w:t>
      </w:r>
      <w:r w:rsidRPr="000A1215">
        <w:t xml:space="preserve"> </w:t>
      </w:r>
      <w:r w:rsidRPr="000A1215">
        <w:t>line with evidence-based practice.</w:t>
      </w:r>
      <w:r w:rsidRPr="000A1215">
        <w:t xml:space="preserve"> </w:t>
      </w:r>
      <w:r w:rsidRPr="000A1215">
        <w:t>‘Tra</w:t>
      </w:r>
      <w:r w:rsidRPr="000A1215">
        <w:t xml:space="preserve">in and place’ techniques have long been found ineffective, </w:t>
      </w:r>
      <w:r w:rsidRPr="000A1215">
        <w:t>particularly for people with cognitive disability.</w:t>
      </w:r>
      <w:r w:rsidRPr="000A1215">
        <w:t>13</w:t>
      </w:r>
    </w:p>
    <w:p w14:paraId="5546FFA6" w14:textId="77777777" w:rsidR="00DC2449" w:rsidRDefault="00BF173D">
      <w:pPr>
        <w:pStyle w:val="Heading2"/>
        <w:spacing w:before="280"/>
      </w:pPr>
      <w:bookmarkStart w:id="7" w:name="_TOC_250006"/>
      <w:r w:rsidRPr="000A1215">
        <w:rPr>
          <w:color w:val="000000" w:themeColor="text1"/>
          <w:w w:val="80"/>
        </w:rPr>
        <w:t>Building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the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capacity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of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the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mainstream,</w:t>
      </w:r>
      <w:r w:rsidRPr="000A1215">
        <w:rPr>
          <w:color w:val="000000" w:themeColor="text1"/>
          <w:spacing w:val="-1"/>
        </w:rPr>
        <w:t xml:space="preserve"> </w:t>
      </w:r>
      <w:r w:rsidRPr="000A1215">
        <w:rPr>
          <w:color w:val="000000" w:themeColor="text1"/>
          <w:w w:val="80"/>
        </w:rPr>
        <w:t>and</w:t>
      </w:r>
      <w:r w:rsidRPr="000A1215">
        <w:rPr>
          <w:color w:val="000000" w:themeColor="text1"/>
          <w:spacing w:val="16"/>
        </w:rPr>
        <w:t xml:space="preserve"> </w:t>
      </w:r>
      <w:r w:rsidRPr="000A1215">
        <w:rPr>
          <w:color w:val="000000" w:themeColor="text1"/>
          <w:w w:val="80"/>
        </w:rPr>
        <w:t>coordinated</w:t>
      </w:r>
      <w:r w:rsidRPr="000A1215">
        <w:rPr>
          <w:color w:val="000000" w:themeColor="text1"/>
          <w:spacing w:val="16"/>
        </w:rPr>
        <w:t xml:space="preserve"> </w:t>
      </w:r>
      <w:bookmarkEnd w:id="7"/>
      <w:r w:rsidRPr="000A1215">
        <w:rPr>
          <w:color w:val="000000" w:themeColor="text1"/>
          <w:spacing w:val="-2"/>
          <w:w w:val="80"/>
        </w:rPr>
        <w:t>approach</w:t>
      </w:r>
    </w:p>
    <w:p w14:paraId="5546FFA7" w14:textId="77777777" w:rsidR="00DC2449" w:rsidRDefault="00BF173D">
      <w:pPr>
        <w:pStyle w:val="BodyText"/>
        <w:spacing w:before="177" w:line="261" w:lineRule="auto"/>
        <w:ind w:left="850" w:right="2419"/>
      </w:pPr>
      <w:r w:rsidRPr="000A1215">
        <w:t>In Australia, there</w:t>
      </w:r>
      <w:r>
        <w:t xml:space="preserve"> </w:t>
      </w:r>
      <w:r w:rsidRPr="000A1215">
        <w:t>is</w:t>
      </w:r>
      <w:r>
        <w:t xml:space="preserve"> </w:t>
      </w:r>
      <w:r w:rsidRPr="000A1215">
        <w:t>a</w:t>
      </w:r>
      <w:r>
        <w:t xml:space="preserve"> </w:t>
      </w:r>
      <w:r w:rsidRPr="000A1215">
        <w:t>pervasive</w:t>
      </w:r>
      <w:r>
        <w:t xml:space="preserve"> </w:t>
      </w:r>
      <w:r w:rsidRPr="000A1215">
        <w:t>culture</w:t>
      </w:r>
      <w:r>
        <w:t xml:space="preserve"> </w:t>
      </w:r>
      <w:r w:rsidRPr="000A1215">
        <w:t>of</w:t>
      </w:r>
      <w:r>
        <w:t xml:space="preserve"> </w:t>
      </w:r>
      <w:r w:rsidRPr="000A1215">
        <w:t>low</w:t>
      </w:r>
      <w:r>
        <w:t xml:space="preserve"> </w:t>
      </w:r>
      <w:r w:rsidRPr="000A1215">
        <w:t>expectation, resulting</w:t>
      </w:r>
      <w:r>
        <w:t xml:space="preserve"> </w:t>
      </w:r>
      <w:r w:rsidRPr="000A1215">
        <w:t>in</w:t>
      </w:r>
      <w:r>
        <w:t xml:space="preserve"> </w:t>
      </w:r>
      <w:r w:rsidRPr="000A1215">
        <w:t>a</w:t>
      </w:r>
      <w:r>
        <w:t xml:space="preserve"> </w:t>
      </w:r>
      <w:r w:rsidRPr="000A1215">
        <w:t>lack</w:t>
      </w:r>
      <w:r>
        <w:t xml:space="preserve"> </w:t>
      </w:r>
      <w:r w:rsidRPr="000A1215">
        <w:t>of</w:t>
      </w:r>
      <w:r>
        <w:t xml:space="preserve"> </w:t>
      </w:r>
      <w:r w:rsidRPr="000A1215">
        <w:t>opportunities</w:t>
      </w:r>
      <w:r>
        <w:t xml:space="preserve"> </w:t>
      </w:r>
      <w:r w:rsidRPr="000A1215">
        <w:t xml:space="preserve">for </w:t>
      </w:r>
      <w:r w:rsidRPr="000A1215">
        <w:t>students with disability - particularly in relation to genuine,</w:t>
      </w:r>
      <w:r w:rsidRPr="000A1215">
        <w:t xml:space="preserve"> </w:t>
      </w:r>
      <w:r w:rsidRPr="000A1215">
        <w:t>sustainable employment.</w:t>
      </w:r>
      <w:r w:rsidRPr="000A1215">
        <w:t xml:space="preserve"> </w:t>
      </w:r>
      <w:r w:rsidRPr="000A1215">
        <w:t>This view</w:t>
      </w:r>
    </w:p>
    <w:p w14:paraId="5546FFA8" w14:textId="77777777" w:rsidR="00DC2449" w:rsidRDefault="00BF173D">
      <w:pPr>
        <w:pStyle w:val="BodyText"/>
        <w:spacing w:line="261" w:lineRule="auto"/>
        <w:ind w:left="850" w:right="2419"/>
      </w:pPr>
      <w:r w:rsidRPr="000A1215">
        <w:t>is sometimes held by the young people themselves,</w:t>
      </w:r>
      <w:r w:rsidRPr="000A1215">
        <w:t xml:space="preserve"> </w:t>
      </w:r>
      <w:r w:rsidRPr="000A1215">
        <w:t>as well as parents,</w:t>
      </w:r>
      <w:r w:rsidRPr="000A1215">
        <w:t xml:space="preserve"> </w:t>
      </w:r>
      <w:r w:rsidRPr="000A1215">
        <w:t>employers,</w:t>
      </w:r>
      <w:r w:rsidRPr="000A1215">
        <w:t xml:space="preserve"> </w:t>
      </w:r>
      <w:r w:rsidRPr="000A1215">
        <w:t xml:space="preserve">disability </w:t>
      </w:r>
      <w:r w:rsidRPr="000A1215">
        <w:t>providers, e</w:t>
      </w:r>
      <w:r w:rsidRPr="000A1215">
        <w:t>ducators</w:t>
      </w:r>
      <w:r>
        <w:t xml:space="preserve"> </w:t>
      </w:r>
      <w:r w:rsidRPr="000A1215">
        <w:t>and</w:t>
      </w:r>
      <w:r>
        <w:t xml:space="preserve"> </w:t>
      </w:r>
      <w:r w:rsidRPr="000A1215">
        <w:t>government. To</w:t>
      </w:r>
      <w:r>
        <w:t xml:space="preserve"> </w:t>
      </w:r>
      <w:r w:rsidRPr="000A1215">
        <w:t>make</w:t>
      </w:r>
      <w:r>
        <w:t xml:space="preserve"> </w:t>
      </w:r>
      <w:r w:rsidRPr="000A1215">
        <w:t>a</w:t>
      </w:r>
      <w:r>
        <w:t xml:space="preserve"> </w:t>
      </w:r>
      <w:r w:rsidRPr="000A1215">
        <w:t>significant</w:t>
      </w:r>
      <w:r>
        <w:t xml:space="preserve"> </w:t>
      </w:r>
      <w:r w:rsidRPr="000A1215">
        <w:t>difference</w:t>
      </w:r>
      <w:r>
        <w:t xml:space="preserve"> </w:t>
      </w:r>
      <w:r w:rsidRPr="000A1215">
        <w:t>in</w:t>
      </w:r>
      <w:r>
        <w:t xml:space="preserve"> </w:t>
      </w:r>
      <w:r w:rsidRPr="000A1215">
        <w:t>employment</w:t>
      </w:r>
      <w:r>
        <w:t xml:space="preserve"> </w:t>
      </w:r>
      <w:r w:rsidRPr="000A1215">
        <w:t>for</w:t>
      </w:r>
      <w:r>
        <w:t xml:space="preserve"> </w:t>
      </w:r>
      <w:r w:rsidRPr="000A1215">
        <w:t xml:space="preserve">people </w:t>
      </w:r>
      <w:r w:rsidRPr="000A1215">
        <w:t>with disability,</w:t>
      </w:r>
      <w:r w:rsidRPr="000A1215">
        <w:t xml:space="preserve"> </w:t>
      </w:r>
      <w:r w:rsidRPr="000A1215">
        <w:t>we need to build the capacity of key stakeholders and mainstream services.</w:t>
      </w:r>
    </w:p>
    <w:p w14:paraId="5546FFA9" w14:textId="77777777" w:rsidR="00DC2449" w:rsidRPr="000A1215" w:rsidRDefault="00BF173D">
      <w:pPr>
        <w:pStyle w:val="BodyText"/>
        <w:spacing w:before="151" w:line="300" w:lineRule="exact"/>
        <w:ind w:left="850" w:right="2650" w:hanging="1"/>
      </w:pPr>
      <w:r w:rsidRPr="000A1215">
        <w:t xml:space="preserve">In Australia, programs have been ‘siloed’, either in schools or adult disability services, pre- </w:t>
      </w:r>
      <w:r w:rsidRPr="000A1215">
        <w:t>employment</w:t>
      </w:r>
      <w:r>
        <w:t xml:space="preserve"> </w:t>
      </w:r>
      <w:r w:rsidRPr="000A1215">
        <w:t>and</w:t>
      </w:r>
      <w:r>
        <w:t xml:space="preserve"> </w:t>
      </w:r>
      <w:r w:rsidRPr="000A1215">
        <w:t>employment</w:t>
      </w:r>
      <w:r>
        <w:t xml:space="preserve"> </w:t>
      </w:r>
      <w:r w:rsidRPr="000A1215">
        <w:t>services.</w:t>
      </w:r>
      <w:r>
        <w:t xml:space="preserve"> </w:t>
      </w:r>
      <w:r w:rsidRPr="000A1215">
        <w:t>Early</w:t>
      </w:r>
      <w:r>
        <w:t xml:space="preserve"> </w:t>
      </w:r>
      <w:r w:rsidRPr="000A1215">
        <w:t>intervention</w:t>
      </w:r>
      <w:r>
        <w:t xml:space="preserve"> </w:t>
      </w:r>
      <w:r w:rsidRPr="000A1215">
        <w:t>has</w:t>
      </w:r>
      <w:r>
        <w:t xml:space="preserve"> </w:t>
      </w:r>
      <w:r w:rsidRPr="000A1215">
        <w:t>often</w:t>
      </w:r>
      <w:r>
        <w:t xml:space="preserve"> </w:t>
      </w:r>
      <w:r w:rsidRPr="000A1215">
        <w:t>been</w:t>
      </w:r>
      <w:r>
        <w:t xml:space="preserve"> </w:t>
      </w:r>
      <w:r w:rsidRPr="000A1215">
        <w:t>the</w:t>
      </w:r>
      <w:r>
        <w:t xml:space="preserve"> </w:t>
      </w:r>
      <w:r w:rsidRPr="000A1215">
        <w:t>main</w:t>
      </w:r>
      <w:r>
        <w:t xml:space="preserve"> </w:t>
      </w:r>
      <w:r w:rsidRPr="000A1215">
        <w:t>responsibility</w:t>
      </w:r>
      <w:r w:rsidRPr="000A1215">
        <w:t xml:space="preserve"> </w:t>
      </w:r>
      <w:r w:rsidRPr="000A1215">
        <w:t>of allied health professionals.</w:t>
      </w:r>
      <w:r w:rsidRPr="000A1215">
        <w:t xml:space="preserve"> </w:t>
      </w:r>
      <w:r w:rsidRPr="000A1215">
        <w:t>In general terms,</w:t>
      </w:r>
      <w:r w:rsidRPr="000A1215">
        <w:t xml:space="preserve"> </w:t>
      </w:r>
      <w:r w:rsidRPr="000A1215">
        <w:t>this has created a dichotomous model whose division of services reflects traditional funding arrangements by governments.</w:t>
      </w:r>
      <w:r w:rsidRPr="000A1215">
        <w:t>14</w:t>
      </w:r>
    </w:p>
    <w:p w14:paraId="5546FFAA" w14:textId="77777777" w:rsidR="00DC2449" w:rsidRPr="000A1215" w:rsidRDefault="00BF173D">
      <w:pPr>
        <w:pStyle w:val="BodyText"/>
        <w:spacing w:before="185"/>
        <w:ind w:left="850"/>
      </w:pPr>
      <w:r w:rsidRPr="000A1215">
        <w:t>Disability</w:t>
      </w:r>
      <w:r w:rsidRPr="000A1215">
        <w:t xml:space="preserve"> </w:t>
      </w:r>
      <w:r w:rsidRPr="000A1215">
        <w:t>exists</w:t>
      </w:r>
      <w:r w:rsidRPr="000A1215">
        <w:t xml:space="preserve"> </w:t>
      </w:r>
      <w:r w:rsidRPr="000A1215">
        <w:t>on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continuum,</w:t>
      </w:r>
      <w:r w:rsidRPr="000A1215">
        <w:t xml:space="preserve"> </w:t>
      </w:r>
      <w:r w:rsidRPr="000A1215">
        <w:t>however,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there</w:t>
      </w:r>
      <w:r w:rsidRPr="000A1215">
        <w:t xml:space="preserve"> </w:t>
      </w:r>
      <w:r w:rsidRPr="000A1215">
        <w:t>needs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be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continuum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services.</w:t>
      </w:r>
      <w:r w:rsidRPr="000A1215">
        <w:t xml:space="preserve"> Post-</w:t>
      </w:r>
    </w:p>
    <w:p w14:paraId="5546FFAB" w14:textId="77777777" w:rsidR="00DC2449" w:rsidRDefault="00BF173D">
      <w:pPr>
        <w:pStyle w:val="BodyText"/>
        <w:spacing w:before="25"/>
        <w:ind w:left="850"/>
      </w:pPr>
      <w:r w:rsidRPr="000A1215">
        <w:t>school</w:t>
      </w:r>
      <w:r w:rsidRPr="000A1215">
        <w:t xml:space="preserve"> </w:t>
      </w:r>
      <w:r w:rsidRPr="000A1215">
        <w:t>services</w:t>
      </w:r>
      <w:r w:rsidRPr="000A1215">
        <w:t xml:space="preserve"> </w:t>
      </w:r>
      <w:r w:rsidRPr="000A1215">
        <w:t>need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connect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individuals</w:t>
      </w:r>
      <w:r w:rsidRPr="000A1215">
        <w:t xml:space="preserve"> </w:t>
      </w:r>
      <w:r w:rsidRPr="000A1215">
        <w:t>while</w:t>
      </w:r>
      <w:r w:rsidRPr="000A1215">
        <w:t xml:space="preserve"> </w:t>
      </w:r>
      <w:r w:rsidRPr="000A1215">
        <w:t>at</w:t>
      </w:r>
      <w:r w:rsidRPr="000A1215">
        <w:t xml:space="preserve"> </w:t>
      </w:r>
      <w:r w:rsidRPr="000A1215">
        <w:t>school,</w:t>
      </w:r>
      <w:r>
        <w:t xml:space="preserve"> </w:t>
      </w:r>
      <w:r w:rsidRPr="000A1215">
        <w:t>and</w:t>
      </w:r>
      <w:r w:rsidRPr="000A1215">
        <w:t xml:space="preserve"> </w:t>
      </w:r>
      <w:r w:rsidRPr="000A1215">
        <w:t>career</w:t>
      </w:r>
      <w:r w:rsidRPr="000A1215">
        <w:t xml:space="preserve"> </w:t>
      </w:r>
      <w:r w:rsidRPr="000A1215">
        <w:t>development</w:t>
      </w:r>
      <w:r w:rsidRPr="000A1215">
        <w:t xml:space="preserve"> </w:t>
      </w:r>
      <w:r w:rsidRPr="000A1215">
        <w:t>and</w:t>
      </w:r>
    </w:p>
    <w:p w14:paraId="5546FFAC" w14:textId="77777777" w:rsidR="00DC2449" w:rsidRDefault="00BF173D">
      <w:pPr>
        <w:pStyle w:val="BodyText"/>
        <w:spacing w:before="53" w:line="208" w:lineRule="auto"/>
        <w:ind w:left="850" w:right="2419"/>
      </w:pPr>
      <w:r w:rsidRPr="000A1215">
        <w:t xml:space="preserve">pre-employment skills training need to be initiated before a student reaches school-leaving </w:t>
      </w:r>
      <w:r>
        <w:rPr>
          <w:spacing w:val="-2"/>
          <w:w w:val="95"/>
          <w:position w:val="-5"/>
        </w:rPr>
        <w:t>age.</w:t>
      </w:r>
      <w:r>
        <w:rPr>
          <w:spacing w:val="-2"/>
          <w:w w:val="95"/>
        </w:rPr>
        <w:t>15,16</w:t>
      </w:r>
    </w:p>
    <w:p w14:paraId="5546FFAD" w14:textId="77777777" w:rsidR="00DC2449" w:rsidRDefault="00BF173D" w:rsidP="000A1215">
      <w:pPr>
        <w:pStyle w:val="BodyText"/>
        <w:spacing w:before="185"/>
        <w:ind w:left="850"/>
      </w:pPr>
      <w:r w:rsidRPr="000A1215">
        <w:t xml:space="preserve">The transition from school to adulthood is identified as a time of particular vulnerability. </w:t>
      </w:r>
      <w:r w:rsidRPr="000A1215">
        <w:t>Intervention</w:t>
      </w:r>
      <w:r>
        <w:t xml:space="preserve"> </w:t>
      </w:r>
      <w:r w:rsidRPr="000A1215">
        <w:t>should</w:t>
      </w:r>
      <w:r>
        <w:t xml:space="preserve"> </w:t>
      </w:r>
      <w:r w:rsidRPr="000A1215">
        <w:t>be</w:t>
      </w:r>
      <w:r>
        <w:t xml:space="preserve"> </w:t>
      </w:r>
      <w:r w:rsidRPr="000A1215">
        <w:t>directed</w:t>
      </w:r>
      <w:r>
        <w:t xml:space="preserve"> </w:t>
      </w:r>
      <w:r w:rsidRPr="000A1215">
        <w:t>at</w:t>
      </w:r>
      <w:r>
        <w:t xml:space="preserve"> </w:t>
      </w:r>
      <w:r w:rsidRPr="000A1215">
        <w:t>preventive, collaborative</w:t>
      </w:r>
      <w:r>
        <w:t xml:space="preserve"> </w:t>
      </w:r>
      <w:r w:rsidRPr="000A1215">
        <w:t>approaches</w:t>
      </w:r>
      <w:r>
        <w:t xml:space="preserve"> </w:t>
      </w:r>
      <w:r w:rsidRPr="000A1215">
        <w:t>that</w:t>
      </w:r>
      <w:r>
        <w:t xml:space="preserve"> </w:t>
      </w:r>
      <w:r w:rsidRPr="000A1215">
        <w:t>address</w:t>
      </w:r>
      <w:r>
        <w:t xml:space="preserve"> </w:t>
      </w:r>
      <w:r w:rsidRPr="000A1215">
        <w:t>the</w:t>
      </w:r>
      <w:r>
        <w:t xml:space="preserve"> </w:t>
      </w:r>
      <w:r w:rsidRPr="000A1215">
        <w:t>multiple</w:t>
      </w:r>
      <w:r w:rsidRPr="000A1215">
        <w:t xml:space="preserve"> </w:t>
      </w:r>
      <w:r w:rsidRPr="000A1215">
        <w:t>causes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exclusion.</w:t>
      </w:r>
      <w:r w:rsidRPr="000A1215">
        <w:t>17</w:t>
      </w:r>
    </w:p>
    <w:p w14:paraId="5546FFB3" w14:textId="4E67C690" w:rsidR="00DC2449" w:rsidRDefault="00BF173D" w:rsidP="000A1215">
      <w:pPr>
        <w:pStyle w:val="BodyText"/>
        <w:spacing w:before="185"/>
        <w:ind w:left="850"/>
      </w:pPr>
      <w:r w:rsidRPr="000A1215">
        <w:t>To</w:t>
      </w:r>
      <w:r w:rsidRPr="000A1215">
        <w:t xml:space="preserve"> </w:t>
      </w:r>
      <w:r w:rsidRPr="000A1215">
        <w:t>achieve</w:t>
      </w:r>
      <w:r w:rsidRPr="000A1215">
        <w:t xml:space="preserve"> </w:t>
      </w:r>
      <w:r w:rsidRPr="000A1215">
        <w:t>this,</w:t>
      </w:r>
      <w:r w:rsidRPr="000A1215">
        <w:t xml:space="preserve"> </w:t>
      </w:r>
      <w:r w:rsidRPr="000A1215">
        <w:t>other</w:t>
      </w:r>
      <w:r w:rsidRPr="000A1215">
        <w:t xml:space="preserve"> </w:t>
      </w:r>
      <w:r w:rsidRPr="000A1215">
        <w:t>jurisdictions</w:t>
      </w:r>
      <w:r w:rsidRPr="000A1215">
        <w:t xml:space="preserve"> </w:t>
      </w:r>
      <w:r w:rsidRPr="000A1215">
        <w:t>have</w:t>
      </w:r>
      <w:r w:rsidRPr="000A1215">
        <w:t xml:space="preserve"> </w:t>
      </w:r>
      <w:r w:rsidRPr="000A1215">
        <w:t>implemented</w:t>
      </w:r>
      <w:r w:rsidRPr="000A1215">
        <w:t xml:space="preserve"> </w:t>
      </w:r>
      <w:r w:rsidRPr="000A1215">
        <w:t>‘intermediaries’</w:t>
      </w:r>
      <w:r w:rsidRPr="000A1215">
        <w:t xml:space="preserve"> </w:t>
      </w:r>
      <w:r w:rsidRPr="000A1215">
        <w:t>as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mechanism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create</w:t>
      </w:r>
      <w:r w:rsidR="000A1215">
        <w:t xml:space="preserve"> </w:t>
      </w:r>
      <w:r w:rsidRPr="000A1215">
        <w:t>more</w:t>
      </w:r>
      <w:r>
        <w:t xml:space="preserve"> </w:t>
      </w:r>
      <w:r w:rsidRPr="000A1215">
        <w:t>effective</w:t>
      </w:r>
      <w:r>
        <w:t xml:space="preserve"> </w:t>
      </w:r>
      <w:r w:rsidRPr="000A1215">
        <w:t>linkages</w:t>
      </w:r>
      <w:r>
        <w:t xml:space="preserve"> </w:t>
      </w:r>
      <w:r w:rsidRPr="000A1215">
        <w:t>between</w:t>
      </w:r>
      <w:r>
        <w:t xml:space="preserve"> </w:t>
      </w:r>
      <w:r w:rsidRPr="000A1215">
        <w:t>the</w:t>
      </w:r>
      <w:r>
        <w:t xml:space="preserve"> </w:t>
      </w:r>
      <w:r w:rsidRPr="000A1215">
        <w:t>supply</w:t>
      </w:r>
      <w:r>
        <w:t xml:space="preserve"> </w:t>
      </w:r>
      <w:r w:rsidRPr="000A1215">
        <w:t>and</w:t>
      </w:r>
      <w:r>
        <w:t xml:space="preserve"> </w:t>
      </w:r>
      <w:r w:rsidRPr="000A1215">
        <w:t>demand</w:t>
      </w:r>
      <w:r>
        <w:t xml:space="preserve"> </w:t>
      </w:r>
      <w:r w:rsidRPr="000A1215">
        <w:t>sides</w:t>
      </w:r>
      <w:r>
        <w:t xml:space="preserve"> </w:t>
      </w:r>
      <w:r w:rsidRPr="000A1215">
        <w:t>of</w:t>
      </w:r>
      <w:r>
        <w:t xml:space="preserve"> </w:t>
      </w:r>
      <w:r w:rsidRPr="000A1215">
        <w:t>workforce</w:t>
      </w:r>
      <w:r>
        <w:t xml:space="preserve"> </w:t>
      </w:r>
      <w:r w:rsidRPr="000A1215">
        <w:t>development. It has</w:t>
      </w:r>
      <w:r w:rsidRPr="000A1215">
        <w:t xml:space="preserve"> </w:t>
      </w:r>
      <w:r w:rsidRPr="000A1215">
        <w:t>been</w:t>
      </w:r>
      <w:r w:rsidRPr="000A1215">
        <w:t xml:space="preserve"> </w:t>
      </w:r>
      <w:r w:rsidRPr="000A1215">
        <w:t>identified</w:t>
      </w:r>
      <w:r w:rsidRPr="000A1215">
        <w:t xml:space="preserve"> </w:t>
      </w:r>
      <w:r w:rsidRPr="000A1215">
        <w:t>that,</w:t>
      </w:r>
      <w:r w:rsidRPr="000A1215">
        <w:t xml:space="preserve"> </w:t>
      </w:r>
      <w:r w:rsidRPr="000A1215">
        <w:t>by</w:t>
      </w:r>
      <w:r w:rsidRPr="000A1215">
        <w:t xml:space="preserve"> </w:t>
      </w:r>
      <w:r w:rsidRPr="000A1215">
        <w:t>aligning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brokering</w:t>
      </w:r>
      <w:r w:rsidRPr="000A1215">
        <w:t xml:space="preserve"> </w:t>
      </w:r>
      <w:r w:rsidRPr="000A1215">
        <w:t>multiple</w:t>
      </w:r>
      <w:r w:rsidRPr="000A1215">
        <w:t xml:space="preserve"> </w:t>
      </w:r>
      <w:r w:rsidRPr="000A1215">
        <w:t>services</w:t>
      </w:r>
      <w:r w:rsidRPr="000A1215">
        <w:t xml:space="preserve"> </w:t>
      </w:r>
      <w:r w:rsidRPr="000A1215">
        <w:t>across</w:t>
      </w:r>
      <w:r w:rsidRPr="000A1215">
        <w:t xml:space="preserve"> </w:t>
      </w:r>
      <w:r w:rsidRPr="000A1215">
        <w:t>institutional</w:t>
      </w:r>
      <w:r w:rsidRPr="000A1215">
        <w:t xml:space="preserve"> </w:t>
      </w:r>
      <w:r w:rsidRPr="000A1215">
        <w:t>and</w:t>
      </w:r>
    </w:p>
    <w:p w14:paraId="5546FFB4" w14:textId="77777777" w:rsidR="00DC2449" w:rsidRDefault="00BF173D">
      <w:pPr>
        <w:pStyle w:val="BodyText"/>
        <w:spacing w:before="23" w:line="213" w:lineRule="auto"/>
        <w:ind w:left="850" w:right="2419"/>
      </w:pPr>
      <w:r w:rsidRPr="000A1215">
        <w:t>funding</w:t>
      </w:r>
      <w:r>
        <w:t xml:space="preserve"> </w:t>
      </w:r>
      <w:r w:rsidRPr="000A1215">
        <w:t>sources, intermediary</w:t>
      </w:r>
      <w:r>
        <w:t xml:space="preserve"> </w:t>
      </w:r>
      <w:proofErr w:type="spellStart"/>
      <w:r w:rsidRPr="000A1215">
        <w:t>organisations</w:t>
      </w:r>
      <w:proofErr w:type="spellEnd"/>
      <w:r>
        <w:t xml:space="preserve"> </w:t>
      </w:r>
      <w:r w:rsidRPr="000A1215">
        <w:t>can</w:t>
      </w:r>
      <w:r>
        <w:t xml:space="preserve"> </w:t>
      </w:r>
      <w:r w:rsidRPr="000A1215">
        <w:t>play</w:t>
      </w:r>
      <w:r>
        <w:t xml:space="preserve"> </w:t>
      </w:r>
      <w:r w:rsidRPr="000A1215">
        <w:t>an</w:t>
      </w:r>
      <w:r>
        <w:t xml:space="preserve"> </w:t>
      </w:r>
      <w:r w:rsidRPr="000A1215">
        <w:t>important</w:t>
      </w:r>
      <w:r>
        <w:t xml:space="preserve"> </w:t>
      </w:r>
      <w:r w:rsidRPr="000A1215">
        <w:t>role</w:t>
      </w:r>
      <w:r>
        <w:t xml:space="preserve"> </w:t>
      </w:r>
      <w:r w:rsidRPr="000A1215">
        <w:t>in</w:t>
      </w:r>
      <w:r>
        <w:t xml:space="preserve"> </w:t>
      </w:r>
      <w:r w:rsidRPr="000A1215">
        <w:t>improving</w:t>
      </w:r>
      <w:r>
        <w:t xml:space="preserve"> </w:t>
      </w:r>
      <w:r w:rsidRPr="000A1215">
        <w:t>employment</w:t>
      </w:r>
      <w:r w:rsidRPr="000A1215">
        <w:t xml:space="preserve"> </w:t>
      </w:r>
      <w:r w:rsidRPr="000A1215">
        <w:t>outcomes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youth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disability.</w:t>
      </w:r>
      <w:r w:rsidRPr="000A1215">
        <w:t>18</w:t>
      </w:r>
    </w:p>
    <w:p w14:paraId="5546FFB5" w14:textId="77777777" w:rsidR="00DC2449" w:rsidRDefault="00BF173D" w:rsidP="000A1215">
      <w:pPr>
        <w:pStyle w:val="BodyText"/>
        <w:spacing w:before="185"/>
        <w:ind w:left="850"/>
      </w:pPr>
      <w:r w:rsidRPr="000A1215">
        <w:t>This</w:t>
      </w:r>
      <w:r>
        <w:t xml:space="preserve"> </w:t>
      </w:r>
      <w:r w:rsidRPr="000A1215">
        <w:t>coordination</w:t>
      </w:r>
      <w:r>
        <w:t xml:space="preserve"> </w:t>
      </w:r>
      <w:r w:rsidRPr="000A1215">
        <w:t>is</w:t>
      </w:r>
      <w:r>
        <w:t xml:space="preserve"> </w:t>
      </w:r>
      <w:r w:rsidRPr="000A1215">
        <w:t>essential</w:t>
      </w:r>
      <w:r>
        <w:t xml:space="preserve"> </w:t>
      </w:r>
      <w:r w:rsidRPr="000A1215">
        <w:t>as</w:t>
      </w:r>
      <w:r>
        <w:t xml:space="preserve"> </w:t>
      </w:r>
      <w:r w:rsidRPr="000A1215">
        <w:t>no</w:t>
      </w:r>
      <w:r>
        <w:t xml:space="preserve"> </w:t>
      </w:r>
      <w:r w:rsidRPr="000A1215">
        <w:t>single</w:t>
      </w:r>
      <w:r>
        <w:t xml:space="preserve"> </w:t>
      </w:r>
      <w:r w:rsidRPr="000A1215">
        <w:t>system</w:t>
      </w:r>
      <w:r>
        <w:t xml:space="preserve"> </w:t>
      </w:r>
      <w:r w:rsidRPr="000A1215">
        <w:t>or</w:t>
      </w:r>
      <w:r>
        <w:t xml:space="preserve"> </w:t>
      </w:r>
      <w:r w:rsidRPr="000A1215">
        <w:t>agency</w:t>
      </w:r>
      <w:r>
        <w:t xml:space="preserve"> </w:t>
      </w:r>
      <w:r w:rsidRPr="000A1215">
        <w:t>is</w:t>
      </w:r>
      <w:r>
        <w:t xml:space="preserve"> </w:t>
      </w:r>
      <w:r w:rsidRPr="000A1215">
        <w:t>responsible</w:t>
      </w:r>
      <w:r>
        <w:t xml:space="preserve"> </w:t>
      </w:r>
      <w:r w:rsidRPr="000A1215">
        <w:t>or</w:t>
      </w:r>
      <w:r>
        <w:t xml:space="preserve"> </w:t>
      </w:r>
      <w:r w:rsidRPr="000A1215">
        <w:t>able</w:t>
      </w:r>
      <w:r>
        <w:t xml:space="preserve"> </w:t>
      </w:r>
      <w:r w:rsidRPr="000A1215">
        <w:t>to</w:t>
      </w:r>
      <w:r>
        <w:t xml:space="preserve"> </w:t>
      </w:r>
      <w:r w:rsidRPr="000A1215">
        <w:t>provide</w:t>
      </w:r>
      <w:r>
        <w:t xml:space="preserve"> </w:t>
      </w:r>
      <w:r w:rsidRPr="000A1215">
        <w:t xml:space="preserve">all </w:t>
      </w:r>
      <w:r w:rsidRPr="000A1215">
        <w:t xml:space="preserve">the necessary supports required. Rather, as youth move from the classroom into the workplace </w:t>
      </w:r>
      <w:r w:rsidRPr="000A1215">
        <w:t>and</w:t>
      </w:r>
      <w:r w:rsidRPr="000A1215">
        <w:t xml:space="preserve"> </w:t>
      </w:r>
      <w:r w:rsidRPr="000A1215">
        <w:t>adulthood,</w:t>
      </w:r>
      <w:r w:rsidRPr="000A1215">
        <w:t xml:space="preserve"> </w:t>
      </w:r>
      <w:r w:rsidRPr="000A1215">
        <w:t>they</w:t>
      </w:r>
      <w:r w:rsidRPr="000A1215">
        <w:t xml:space="preserve"> </w:t>
      </w:r>
      <w:r w:rsidRPr="000A1215">
        <w:t>often</w:t>
      </w:r>
      <w:r w:rsidRPr="000A1215">
        <w:t xml:space="preserve"> </w:t>
      </w:r>
      <w:r w:rsidRPr="000A1215">
        <w:t>need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access</w:t>
      </w:r>
      <w:r w:rsidRPr="000A1215">
        <w:t xml:space="preserve"> </w:t>
      </w:r>
      <w:r w:rsidRPr="000A1215">
        <w:t>services</w:t>
      </w:r>
      <w:r w:rsidRPr="000A1215">
        <w:t xml:space="preserve"> </w:t>
      </w:r>
      <w:r w:rsidRPr="000A1215">
        <w:t>from</w:t>
      </w:r>
      <w:r w:rsidRPr="000A1215">
        <w:t xml:space="preserve"> </w:t>
      </w:r>
      <w:r w:rsidRPr="000A1215">
        <w:t>several</w:t>
      </w:r>
      <w:r w:rsidRPr="000A1215">
        <w:t xml:space="preserve"> </w:t>
      </w:r>
      <w:r w:rsidRPr="000A1215">
        <w:t>different</w:t>
      </w:r>
      <w:r w:rsidRPr="000A1215">
        <w:t xml:space="preserve"> </w:t>
      </w:r>
      <w:r w:rsidRPr="000A1215">
        <w:t>agencies</w:t>
      </w:r>
      <w:r w:rsidRPr="000A1215">
        <w:t xml:space="preserve"> </w:t>
      </w:r>
      <w:r w:rsidRPr="000A1215">
        <w:t>at</w:t>
      </w:r>
      <w:r w:rsidRPr="000A1215">
        <w:t xml:space="preserve"> </w:t>
      </w:r>
      <w:r w:rsidRPr="000A1215">
        <w:t>one</w:t>
      </w:r>
      <w:r w:rsidRPr="000A1215">
        <w:t xml:space="preserve"> </w:t>
      </w:r>
      <w:r w:rsidRPr="000A1215">
        <w:t xml:space="preserve">time </w:t>
      </w:r>
      <w:r w:rsidRPr="000A1215">
        <w:t>in</w:t>
      </w:r>
      <w:r w:rsidRPr="000A1215">
        <w:t xml:space="preserve"> </w:t>
      </w:r>
      <w:r w:rsidRPr="000A1215">
        <w:t>order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have</w:t>
      </w:r>
      <w:r w:rsidRPr="000A1215">
        <w:t xml:space="preserve"> </w:t>
      </w:r>
      <w:r w:rsidRPr="000A1215">
        <w:t>their</w:t>
      </w:r>
      <w:r w:rsidRPr="000A1215">
        <w:t xml:space="preserve"> </w:t>
      </w:r>
      <w:r w:rsidRPr="000A1215">
        <w:t>needs</w:t>
      </w:r>
      <w:r w:rsidRPr="000A1215">
        <w:t xml:space="preserve"> </w:t>
      </w:r>
      <w:r w:rsidRPr="000A1215">
        <w:t>met.</w:t>
      </w:r>
      <w:r w:rsidRPr="000A1215">
        <w:t>19</w:t>
      </w:r>
      <w:r w:rsidRPr="000A1215">
        <w:t xml:space="preserve"> </w:t>
      </w:r>
      <w:r w:rsidRPr="000A1215">
        <w:t>Therefore,</w:t>
      </w:r>
      <w:r w:rsidRPr="000A1215">
        <w:t xml:space="preserve"> </w:t>
      </w:r>
      <w:r w:rsidRPr="000A1215">
        <w:t>we</w:t>
      </w:r>
      <w:r w:rsidRPr="000A1215">
        <w:t xml:space="preserve"> </w:t>
      </w:r>
      <w:r w:rsidRPr="000A1215">
        <w:t>require</w:t>
      </w:r>
      <w:r w:rsidRPr="000A1215">
        <w:t xml:space="preserve"> </w:t>
      </w:r>
      <w:r w:rsidRPr="000A1215">
        <w:t>cross-agency</w:t>
      </w:r>
      <w:r w:rsidRPr="000A1215">
        <w:t xml:space="preserve"> </w:t>
      </w:r>
      <w:r w:rsidRPr="000A1215">
        <w:t>coordination</w:t>
      </w:r>
      <w:r w:rsidRPr="000A1215">
        <w:t xml:space="preserve"> </w:t>
      </w:r>
      <w:r w:rsidRPr="000A1215">
        <w:t xml:space="preserve">and </w:t>
      </w:r>
      <w:r w:rsidRPr="000A1215">
        <w:t>collaboration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order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effectively</w:t>
      </w:r>
      <w:r w:rsidRPr="000A1215">
        <w:t xml:space="preserve"> </w:t>
      </w:r>
      <w:r w:rsidRPr="000A1215">
        <w:t>meet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diverse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complex</w:t>
      </w:r>
      <w:r w:rsidRPr="000A1215">
        <w:t xml:space="preserve"> </w:t>
      </w:r>
      <w:r w:rsidRPr="000A1215">
        <w:t>needs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transitioning</w:t>
      </w:r>
      <w:r w:rsidRPr="000A1215">
        <w:t xml:space="preserve"> </w:t>
      </w:r>
      <w:r w:rsidRPr="000A1215">
        <w:t xml:space="preserve">youth </w:t>
      </w:r>
      <w:r w:rsidRPr="000A1215">
        <w:t>with</w:t>
      </w:r>
      <w:r w:rsidRPr="000A1215">
        <w:t xml:space="preserve"> </w:t>
      </w:r>
      <w:r w:rsidRPr="000A1215">
        <w:t>disability.</w:t>
      </w:r>
    </w:p>
    <w:p w14:paraId="5546FFB6" w14:textId="77777777" w:rsidR="00DC2449" w:rsidRDefault="00BF173D" w:rsidP="000A1215">
      <w:pPr>
        <w:pStyle w:val="BodyText"/>
        <w:spacing w:before="185"/>
        <w:ind w:left="850"/>
      </w:pPr>
      <w:r w:rsidRPr="000A1215">
        <w:t>NDS</w:t>
      </w:r>
      <w:r w:rsidRPr="000A1215">
        <w:t xml:space="preserve"> </w:t>
      </w:r>
      <w:r w:rsidRPr="000A1215">
        <w:t>has</w:t>
      </w:r>
      <w:r w:rsidRPr="000A1215">
        <w:t xml:space="preserve"> </w:t>
      </w:r>
      <w:r w:rsidRPr="000A1215">
        <w:t>been</w:t>
      </w:r>
      <w:r w:rsidRPr="000A1215">
        <w:t xml:space="preserve"> </w:t>
      </w:r>
      <w:proofErr w:type="spellStart"/>
      <w:r w:rsidRPr="000A1215">
        <w:t>trialling</w:t>
      </w:r>
      <w:proofErr w:type="spellEnd"/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network</w:t>
      </w:r>
      <w:r w:rsidRPr="000A1215">
        <w:t xml:space="preserve"> </w:t>
      </w:r>
      <w:r w:rsidRPr="000A1215">
        <w:t>approach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school-to-work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using</w:t>
      </w:r>
      <w:r w:rsidRPr="000A1215">
        <w:t xml:space="preserve"> </w:t>
      </w:r>
      <w:r w:rsidRPr="000A1215">
        <w:t>collective</w:t>
      </w:r>
      <w:r w:rsidRPr="000A1215">
        <w:t xml:space="preserve"> </w:t>
      </w:r>
      <w:r w:rsidRPr="000A1215">
        <w:t>impact. This approach is called</w:t>
      </w:r>
      <w:r w:rsidRPr="000A1215">
        <w:t xml:space="preserve"> </w:t>
      </w:r>
      <w:r w:rsidRPr="000A1215">
        <w:t>Ticket to</w:t>
      </w:r>
      <w:r w:rsidRPr="000A1215">
        <w:t xml:space="preserve"> </w:t>
      </w:r>
      <w:r w:rsidRPr="000A1215">
        <w:t>Work.</w:t>
      </w:r>
      <w:r w:rsidRPr="000A1215">
        <w:t xml:space="preserve"> </w:t>
      </w:r>
      <w:r w:rsidRPr="000A1215">
        <w:t>It uses intermediaries to support school transition.</w:t>
      </w:r>
    </w:p>
    <w:p w14:paraId="5546FFB7" w14:textId="77777777" w:rsidR="00DC2449" w:rsidRPr="000A1215" w:rsidRDefault="00BF173D" w:rsidP="000A1215">
      <w:pPr>
        <w:pStyle w:val="BodyText"/>
        <w:spacing w:before="185"/>
        <w:ind w:left="850"/>
      </w:pPr>
      <w:r w:rsidRPr="000A1215">
        <w:t>Ticket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Work</w:t>
      </w:r>
      <w:r w:rsidRPr="000A1215">
        <w:t xml:space="preserve"> </w:t>
      </w:r>
      <w:r w:rsidRPr="000A1215">
        <w:t>has</w:t>
      </w:r>
      <w:r w:rsidRPr="000A1215">
        <w:t xml:space="preserve"> </w:t>
      </w:r>
      <w:r w:rsidRPr="000A1215">
        <w:t>been</w:t>
      </w:r>
      <w:r w:rsidRPr="000A1215">
        <w:t xml:space="preserve"> </w:t>
      </w:r>
      <w:r w:rsidRPr="000A1215">
        <w:t>independently</w:t>
      </w:r>
      <w:r w:rsidRPr="000A1215">
        <w:t xml:space="preserve"> </w:t>
      </w:r>
      <w:r w:rsidRPr="000A1215">
        <w:t>evaluated.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evaluation</w:t>
      </w:r>
      <w:r w:rsidRPr="000A1215">
        <w:t xml:space="preserve"> </w:t>
      </w:r>
      <w:r w:rsidRPr="000A1215">
        <w:t>found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 xml:space="preserve">network </w:t>
      </w:r>
      <w:proofErr w:type="spellStart"/>
      <w:r w:rsidRPr="000A1215">
        <w:t>organisational</w:t>
      </w:r>
      <w:proofErr w:type="spellEnd"/>
      <w:r w:rsidRPr="000A1215">
        <w:t xml:space="preserve"> members felt they achieved better outcomes for young people with disability together than they could on their own.</w:t>
      </w:r>
      <w:r w:rsidRPr="000A1215">
        <w:t xml:space="preserve"> </w:t>
      </w:r>
      <w:r w:rsidRPr="000A1215">
        <w:t xml:space="preserve">They noted that the network does not duplicate existing </w:t>
      </w:r>
      <w:r w:rsidRPr="000A1215">
        <w:t>processes. Practices are coordinated and built on the expertis</w:t>
      </w:r>
      <w:r w:rsidRPr="000A1215">
        <w:t xml:space="preserve">e of network members, supporting </w:t>
      </w:r>
      <w:r w:rsidRPr="000A1215">
        <w:t>smooth transition from school-to-work for young people with disability.</w:t>
      </w:r>
      <w:r w:rsidRPr="000A1215">
        <w:t>20,21</w:t>
      </w:r>
    </w:p>
    <w:p w14:paraId="5546FFB8" w14:textId="77777777" w:rsidR="00DC2449" w:rsidRDefault="00BF173D" w:rsidP="000A1215">
      <w:pPr>
        <w:pStyle w:val="BodyText"/>
        <w:spacing w:before="185"/>
        <w:ind w:left="850"/>
      </w:pPr>
      <w:r w:rsidRPr="000A1215">
        <w:lastRenderedPageBreak/>
        <w:t>The intermediaries in</w:t>
      </w:r>
      <w:r w:rsidRPr="000A1215">
        <w:t xml:space="preserve"> </w:t>
      </w:r>
      <w:r w:rsidRPr="000A1215">
        <w:t>Ticket to</w:t>
      </w:r>
      <w:r w:rsidRPr="000A1215">
        <w:t xml:space="preserve"> </w:t>
      </w:r>
      <w:r w:rsidRPr="000A1215">
        <w:t xml:space="preserve">Work have a significant role in building the capacity of key </w:t>
      </w:r>
      <w:r w:rsidRPr="000A1215">
        <w:t>stakeholders</w:t>
      </w:r>
      <w:r>
        <w:t xml:space="preserve"> </w:t>
      </w:r>
      <w:r w:rsidRPr="000A1215">
        <w:t>in</w:t>
      </w:r>
      <w:r>
        <w:t xml:space="preserve"> </w:t>
      </w:r>
      <w:r w:rsidRPr="000A1215">
        <w:t>the</w:t>
      </w:r>
      <w:r>
        <w:t xml:space="preserve"> </w:t>
      </w:r>
      <w:r w:rsidRPr="000A1215">
        <w:t>local</w:t>
      </w:r>
      <w:r>
        <w:t xml:space="preserve"> </w:t>
      </w:r>
      <w:r w:rsidRPr="000A1215">
        <w:t>region, including</w:t>
      </w:r>
      <w:r>
        <w:t xml:space="preserve"> </w:t>
      </w:r>
      <w:r w:rsidRPr="000A1215">
        <w:t>local</w:t>
      </w:r>
      <w:r>
        <w:t xml:space="preserve"> </w:t>
      </w:r>
      <w:r w:rsidRPr="000A1215">
        <w:t>sch</w:t>
      </w:r>
      <w:r w:rsidRPr="000A1215">
        <w:t>ools, employers, employment</w:t>
      </w:r>
      <w:r>
        <w:t xml:space="preserve"> </w:t>
      </w:r>
      <w:r w:rsidRPr="000A1215">
        <w:t>and</w:t>
      </w:r>
      <w:r>
        <w:t xml:space="preserve"> </w:t>
      </w:r>
      <w:r w:rsidRPr="000A1215">
        <w:t>training</w:t>
      </w:r>
      <w:r w:rsidRPr="000A1215">
        <w:t xml:space="preserve"> </w:t>
      </w:r>
      <w:r w:rsidRPr="000A1215">
        <w:t>services,</w:t>
      </w:r>
      <w:r w:rsidRPr="000A1215">
        <w:t xml:space="preserve"> </w:t>
      </w:r>
      <w:r w:rsidRPr="000A1215">
        <w:t>parents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families.</w:t>
      </w:r>
    </w:p>
    <w:p w14:paraId="5546FFB9" w14:textId="77777777" w:rsidR="00DC2449" w:rsidRDefault="00BF173D" w:rsidP="000A1215">
      <w:pPr>
        <w:pStyle w:val="BodyText"/>
        <w:spacing w:before="185"/>
        <w:ind w:left="850"/>
      </w:pPr>
      <w:r w:rsidRPr="000A1215">
        <w:t>We</w:t>
      </w:r>
      <w:r w:rsidRPr="000A1215">
        <w:t xml:space="preserve"> </w:t>
      </w:r>
      <w:r w:rsidRPr="000A1215">
        <w:t>believe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NDIA</w:t>
      </w:r>
      <w:r w:rsidRPr="000A1215">
        <w:t xml:space="preserve"> </w:t>
      </w:r>
      <w:r w:rsidRPr="000A1215">
        <w:t>should</w:t>
      </w:r>
      <w:r w:rsidRPr="000A1215">
        <w:t xml:space="preserve"> </w:t>
      </w:r>
      <w:r w:rsidRPr="000A1215">
        <w:t>support</w:t>
      </w:r>
      <w:r w:rsidRPr="000A1215">
        <w:t xml:space="preserve"> </w:t>
      </w:r>
      <w:proofErr w:type="spellStart"/>
      <w:r w:rsidRPr="000A1215">
        <w:t>organisations</w:t>
      </w:r>
      <w:proofErr w:type="spellEnd"/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take</w:t>
      </w:r>
      <w:r w:rsidRPr="000A1215">
        <w:t xml:space="preserve"> </w:t>
      </w:r>
      <w:r w:rsidRPr="000A1215">
        <w:t>on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role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Ticket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Work intermediaries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creating</w:t>
      </w:r>
      <w:r w:rsidRPr="000A1215">
        <w:t xml:space="preserve"> </w:t>
      </w:r>
      <w:r w:rsidRPr="000A1215">
        <w:t>more</w:t>
      </w:r>
      <w:r w:rsidRPr="000A1215">
        <w:t xml:space="preserve"> </w:t>
      </w:r>
      <w:r w:rsidRPr="000A1215">
        <w:t>effective</w:t>
      </w:r>
      <w:r w:rsidRPr="000A1215">
        <w:t xml:space="preserve"> </w:t>
      </w:r>
      <w:r w:rsidRPr="000A1215">
        <w:t>outcomes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young</w:t>
      </w:r>
      <w:r w:rsidRPr="000A1215">
        <w:t xml:space="preserve"> </w:t>
      </w:r>
      <w:r w:rsidRPr="000A1215">
        <w:t>people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disability,</w:t>
      </w:r>
      <w:r w:rsidRPr="000A1215">
        <w:t xml:space="preserve"> </w:t>
      </w:r>
      <w:r w:rsidRPr="000A1215">
        <w:t>which</w:t>
      </w:r>
      <w:r w:rsidRPr="000A1215">
        <w:t xml:space="preserve"> </w:t>
      </w:r>
      <w:r w:rsidRPr="000A1215">
        <w:t>will lead to significant cost benefits for the NDIA.</w:t>
      </w:r>
    </w:p>
    <w:p w14:paraId="5546FFBA" w14:textId="77777777" w:rsidR="00DC2449" w:rsidRDefault="00BF173D" w:rsidP="000A1215">
      <w:pPr>
        <w:pStyle w:val="BodyText"/>
        <w:spacing w:before="185"/>
        <w:ind w:left="850"/>
      </w:pPr>
      <w:r w:rsidRPr="000A1215">
        <w:t xml:space="preserve">We recommend investigation of the NDIA pilot in Tasmania of joint planning meeting between </w:t>
      </w:r>
      <w:r w:rsidRPr="000A1215">
        <w:t>LACs and schools (if the young person chooses).</w:t>
      </w:r>
      <w:r w:rsidRPr="000A1215">
        <w:t xml:space="preserve"> </w:t>
      </w:r>
      <w:r w:rsidRPr="000A1215">
        <w:t>This will stop duplication, as, currently, stu</w:t>
      </w:r>
      <w:r w:rsidRPr="000A1215">
        <w:t>dents</w:t>
      </w:r>
      <w:r w:rsidRPr="000A1215">
        <w:t xml:space="preserve"> </w:t>
      </w:r>
      <w:r w:rsidRPr="000A1215">
        <w:t xml:space="preserve">and their families are likely to go through three to five different planning process in a 12-month </w:t>
      </w:r>
      <w:r w:rsidRPr="000A1215">
        <w:t>period.</w:t>
      </w:r>
      <w:r w:rsidRPr="000A1215">
        <w:t>22</w:t>
      </w:r>
    </w:p>
    <w:p w14:paraId="5546FFBB" w14:textId="77777777" w:rsidR="00DC2449" w:rsidRDefault="00BF173D" w:rsidP="000A1215">
      <w:pPr>
        <w:pStyle w:val="BodyText"/>
        <w:spacing w:before="185"/>
        <w:ind w:left="850"/>
      </w:pPr>
      <w:r w:rsidRPr="000A1215">
        <w:t>Multiple assessment and planning processes can lead to disengagement of the family and wasted resources because of duplication and fragmented</w:t>
      </w:r>
      <w:r w:rsidRPr="000A1215">
        <w:t xml:space="preserve"> processes.</w:t>
      </w:r>
      <w:r w:rsidRPr="000A1215">
        <w:t xml:space="preserve"> </w:t>
      </w:r>
      <w:r w:rsidRPr="000A1215">
        <w:t xml:space="preserve">Families and young people are often </w:t>
      </w:r>
      <w:r w:rsidRPr="000A1215">
        <w:t>left with the task of trying to connect and coordinate the plans.</w:t>
      </w:r>
    </w:p>
    <w:p w14:paraId="5546FFBC" w14:textId="77777777" w:rsidR="00DC2449" w:rsidRDefault="00DC2449">
      <w:pPr>
        <w:pStyle w:val="BodyText"/>
        <w:spacing w:before="10"/>
        <w:rPr>
          <w:sz w:val="22"/>
        </w:rPr>
      </w:pPr>
    </w:p>
    <w:p w14:paraId="5546FFBD" w14:textId="77777777" w:rsidR="00DC2449" w:rsidRPr="000A1215" w:rsidRDefault="00BF173D">
      <w:pPr>
        <w:pStyle w:val="Heading2"/>
        <w:jc w:val="both"/>
        <w:rPr>
          <w:color w:val="000000" w:themeColor="text1"/>
        </w:rPr>
      </w:pPr>
      <w:bookmarkStart w:id="8" w:name="_TOC_250005"/>
      <w:r w:rsidRPr="000A1215">
        <w:rPr>
          <w:color w:val="000000" w:themeColor="text1"/>
          <w:w w:val="80"/>
        </w:rPr>
        <w:t>Ensure</w:t>
      </w:r>
      <w:r w:rsidRPr="000A1215">
        <w:rPr>
          <w:color w:val="000000" w:themeColor="text1"/>
          <w:spacing w:val="29"/>
        </w:rPr>
        <w:t xml:space="preserve"> </w:t>
      </w:r>
      <w:r w:rsidRPr="000A1215">
        <w:rPr>
          <w:color w:val="000000" w:themeColor="text1"/>
          <w:w w:val="80"/>
        </w:rPr>
        <w:t>evidence-based</w:t>
      </w:r>
      <w:r w:rsidRPr="000A1215">
        <w:rPr>
          <w:color w:val="000000" w:themeColor="text1"/>
          <w:spacing w:val="30"/>
        </w:rPr>
        <w:t xml:space="preserve"> </w:t>
      </w:r>
      <w:r w:rsidRPr="000A1215">
        <w:rPr>
          <w:color w:val="000000" w:themeColor="text1"/>
          <w:w w:val="80"/>
        </w:rPr>
        <w:t>supports</w:t>
      </w:r>
      <w:r w:rsidRPr="000A1215">
        <w:rPr>
          <w:color w:val="000000" w:themeColor="text1"/>
          <w:spacing w:val="29"/>
        </w:rPr>
        <w:t xml:space="preserve"> </w:t>
      </w:r>
      <w:r w:rsidRPr="000A1215">
        <w:rPr>
          <w:color w:val="000000" w:themeColor="text1"/>
          <w:w w:val="80"/>
        </w:rPr>
        <w:t>for</w:t>
      </w:r>
      <w:r w:rsidRPr="000A1215">
        <w:rPr>
          <w:color w:val="000000" w:themeColor="text1"/>
          <w:spacing w:val="30"/>
        </w:rPr>
        <w:t xml:space="preserve"> </w:t>
      </w:r>
      <w:r w:rsidRPr="000A1215">
        <w:rPr>
          <w:color w:val="000000" w:themeColor="text1"/>
          <w:w w:val="80"/>
        </w:rPr>
        <w:t>school-to-work</w:t>
      </w:r>
      <w:r w:rsidRPr="000A1215">
        <w:rPr>
          <w:color w:val="000000" w:themeColor="text1"/>
          <w:spacing w:val="30"/>
        </w:rPr>
        <w:t xml:space="preserve"> </w:t>
      </w:r>
      <w:bookmarkEnd w:id="8"/>
      <w:r w:rsidRPr="000A1215">
        <w:rPr>
          <w:color w:val="000000" w:themeColor="text1"/>
          <w:spacing w:val="-2"/>
          <w:w w:val="80"/>
        </w:rPr>
        <w:t>transition</w:t>
      </w:r>
    </w:p>
    <w:p w14:paraId="5546FFBE" w14:textId="77777777" w:rsidR="00DC2449" w:rsidRDefault="00BF173D" w:rsidP="000A1215">
      <w:pPr>
        <w:pStyle w:val="BodyText"/>
        <w:spacing w:before="185"/>
        <w:ind w:left="850"/>
      </w:pPr>
      <w:r w:rsidRPr="000A1215">
        <w:t>There</w:t>
      </w:r>
      <w:r w:rsidRPr="000A1215">
        <w:t xml:space="preserve"> </w:t>
      </w:r>
      <w:r w:rsidRPr="000A1215">
        <w:t>has</w:t>
      </w:r>
      <w:r w:rsidRPr="000A1215">
        <w:t xml:space="preserve"> </w:t>
      </w:r>
      <w:r w:rsidRPr="000A1215">
        <w:t>been</w:t>
      </w:r>
      <w:r w:rsidRPr="000A1215">
        <w:t xml:space="preserve"> </w:t>
      </w:r>
      <w:r w:rsidRPr="000A1215">
        <w:t>significant</w:t>
      </w:r>
      <w:r w:rsidRPr="000A1215">
        <w:t xml:space="preserve"> </w:t>
      </w:r>
      <w:r w:rsidRPr="000A1215">
        <w:t>evidence</w:t>
      </w:r>
      <w:r w:rsidRPr="000A1215">
        <w:t xml:space="preserve"> </w:t>
      </w:r>
      <w:r w:rsidRPr="000A1215">
        <w:t>-</w:t>
      </w:r>
      <w:r w:rsidRPr="000A1215">
        <w:t xml:space="preserve"> </w:t>
      </w:r>
      <w:r w:rsidRPr="000A1215">
        <w:t>including</w:t>
      </w:r>
      <w:r w:rsidRPr="000A1215">
        <w:t xml:space="preserve"> </w:t>
      </w:r>
      <w:r w:rsidRPr="000A1215">
        <w:t>longitudinal</w:t>
      </w:r>
      <w:r w:rsidRPr="000A1215">
        <w:t xml:space="preserve"> </w:t>
      </w:r>
      <w:r w:rsidRPr="000A1215">
        <w:t>studies</w:t>
      </w:r>
      <w:r w:rsidRPr="000A1215">
        <w:t xml:space="preserve"> </w:t>
      </w:r>
      <w:r w:rsidRPr="000A1215">
        <w:t>-</w:t>
      </w:r>
      <w:r w:rsidRPr="000A1215">
        <w:t xml:space="preserve"> </w:t>
      </w:r>
      <w:r w:rsidRPr="000A1215">
        <w:t>gathered</w:t>
      </w:r>
      <w:r w:rsidRPr="000A1215">
        <w:t xml:space="preserve"> </w:t>
      </w:r>
      <w:r w:rsidRPr="000A1215">
        <w:t>over</w:t>
      </w:r>
      <w:r w:rsidRPr="000A1215">
        <w:t xml:space="preserve"> </w:t>
      </w:r>
      <w:r w:rsidRPr="000A1215">
        <w:t>several</w:t>
      </w:r>
    </w:p>
    <w:p w14:paraId="5546FFBF" w14:textId="77777777" w:rsidR="00DC2449" w:rsidRPr="000A1215" w:rsidRDefault="00BF173D" w:rsidP="000A1215">
      <w:pPr>
        <w:pStyle w:val="BodyText"/>
        <w:spacing w:before="185"/>
        <w:ind w:left="850"/>
      </w:pPr>
      <w:r w:rsidRPr="000A1215">
        <w:t>decades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successful</w:t>
      </w:r>
      <w:r w:rsidRPr="000A1215">
        <w:t xml:space="preserve"> </w:t>
      </w:r>
      <w:r w:rsidRPr="000A1215">
        <w:t>school-to-work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projects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other</w:t>
      </w:r>
      <w:r w:rsidRPr="000A1215">
        <w:t xml:space="preserve"> </w:t>
      </w:r>
      <w:r w:rsidRPr="000A1215">
        <w:t>countries.</w:t>
      </w:r>
    </w:p>
    <w:p w14:paraId="5546FFC0" w14:textId="77777777" w:rsidR="00DC2449" w:rsidRDefault="00BF173D" w:rsidP="000A1215">
      <w:pPr>
        <w:pStyle w:val="BodyText"/>
        <w:spacing w:before="185"/>
        <w:ind w:left="850"/>
      </w:pPr>
      <w:r w:rsidRPr="000A1215">
        <w:t>The Ticket to Work approach was developed through the synthesis of evidence-based practice</w:t>
      </w:r>
      <w:r w:rsidRPr="000A1215">
        <w:t xml:space="preserve"> </w:t>
      </w:r>
      <w:r w:rsidRPr="000A1215">
        <w:t>from abroad (mainly the USA).</w:t>
      </w:r>
      <w:r w:rsidRPr="000A1215">
        <w:t xml:space="preserve"> </w:t>
      </w:r>
      <w:r w:rsidRPr="000A1215">
        <w:t>The Ticket to Work initiative is man</w:t>
      </w:r>
      <w:r w:rsidRPr="000A1215">
        <w:t>aged by NDS, funded through</w:t>
      </w:r>
      <w:r w:rsidRPr="000A1215">
        <w:t xml:space="preserve"> </w:t>
      </w:r>
      <w:r w:rsidRPr="000A1215">
        <w:t>philanthropic</w:t>
      </w:r>
      <w:r w:rsidRPr="000A1215">
        <w:t xml:space="preserve"> </w:t>
      </w:r>
      <w:r w:rsidRPr="000A1215">
        <w:t>trusts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good</w:t>
      </w:r>
      <w:r w:rsidRPr="000A1215">
        <w:t xml:space="preserve"> </w:t>
      </w:r>
      <w:r w:rsidRPr="000A1215">
        <w:t>will.</w:t>
      </w:r>
    </w:p>
    <w:p w14:paraId="5546FFC6" w14:textId="09D507ED" w:rsidR="00DC2449" w:rsidRDefault="00BF173D" w:rsidP="000A1215">
      <w:pPr>
        <w:pStyle w:val="BodyText"/>
        <w:spacing w:before="185"/>
        <w:ind w:left="850"/>
      </w:pPr>
      <w:r w:rsidRPr="000A1215">
        <w:t>The</w:t>
      </w:r>
      <w:r w:rsidRPr="000A1215">
        <w:t xml:space="preserve"> </w:t>
      </w:r>
      <w:r w:rsidRPr="000A1215">
        <w:t>outcomes</w:t>
      </w:r>
      <w:r w:rsidRPr="000A1215">
        <w:t xml:space="preserve"> </w:t>
      </w:r>
      <w:r w:rsidRPr="000A1215">
        <w:t>from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Employment</w:t>
      </w:r>
      <w:r w:rsidRPr="000A1215">
        <w:t xml:space="preserve"> </w:t>
      </w:r>
      <w:r w:rsidRPr="000A1215">
        <w:t>pilot</w:t>
      </w:r>
      <w:r w:rsidRPr="000A1215">
        <w:t xml:space="preserve"> </w:t>
      </w:r>
      <w:r w:rsidRPr="000A1215">
        <w:t>-</w:t>
      </w:r>
      <w:r w:rsidRPr="000A1215">
        <w:t xml:space="preserve"> </w:t>
      </w:r>
      <w:r w:rsidRPr="000A1215">
        <w:t>also</w:t>
      </w:r>
      <w:r w:rsidRPr="000A1215">
        <w:t xml:space="preserve"> </w:t>
      </w:r>
      <w:r w:rsidRPr="000A1215">
        <w:t>supported</w:t>
      </w:r>
      <w:r w:rsidRPr="000A1215">
        <w:t xml:space="preserve"> </w:t>
      </w:r>
      <w:r w:rsidRPr="000A1215">
        <w:t>by</w:t>
      </w:r>
      <w:r w:rsidRPr="000A1215">
        <w:t xml:space="preserve"> </w:t>
      </w:r>
      <w:r w:rsidRPr="000A1215">
        <w:t>NDS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 xml:space="preserve">funded </w:t>
      </w:r>
      <w:r w:rsidRPr="000A1215">
        <w:t>through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NDIA</w:t>
      </w:r>
      <w:r w:rsidRPr="000A1215">
        <w:t xml:space="preserve"> </w:t>
      </w:r>
      <w:r w:rsidRPr="000A1215">
        <w:t>-</w:t>
      </w:r>
      <w:r w:rsidRPr="000A1215">
        <w:t xml:space="preserve"> </w:t>
      </w:r>
      <w:r w:rsidRPr="000A1215">
        <w:t>should</w:t>
      </w:r>
      <w:r w:rsidRPr="000A1215">
        <w:t xml:space="preserve"> </w:t>
      </w:r>
      <w:r w:rsidRPr="000A1215">
        <w:t>also</w:t>
      </w:r>
      <w:r w:rsidRPr="000A1215">
        <w:t xml:space="preserve"> </w:t>
      </w:r>
      <w:r w:rsidRPr="000A1215">
        <w:t>be</w:t>
      </w:r>
      <w:r w:rsidRPr="000A1215">
        <w:t xml:space="preserve"> </w:t>
      </w:r>
      <w:r w:rsidRPr="000A1215">
        <w:t>examined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findings</w:t>
      </w:r>
      <w:r w:rsidRPr="000A1215">
        <w:t xml:space="preserve"> </w:t>
      </w:r>
      <w:r w:rsidRPr="000A1215">
        <w:t>incorporated</w:t>
      </w:r>
      <w:r w:rsidRPr="000A1215">
        <w:t xml:space="preserve"> </w:t>
      </w:r>
      <w:r w:rsidRPr="000A1215">
        <w:t>into</w:t>
      </w:r>
      <w:r w:rsidRPr="000A1215">
        <w:t xml:space="preserve"> </w:t>
      </w:r>
      <w:r w:rsidRPr="000A1215">
        <w:t>school-to-work</w:t>
      </w:r>
      <w:r w:rsidR="00033878">
        <w:t xml:space="preserve"> </w:t>
      </w:r>
      <w:r w:rsidRPr="000A1215">
        <w:t>supports.</w:t>
      </w:r>
      <w:r w:rsidRPr="000A1215">
        <w:t xml:space="preserve"> </w:t>
      </w:r>
      <w:r w:rsidRPr="000A1215">
        <w:t xml:space="preserve">This model places a strong emphasis on </w:t>
      </w:r>
      <w:proofErr w:type="spellStart"/>
      <w:r w:rsidRPr="000A1215">
        <w:t>customising</w:t>
      </w:r>
      <w:proofErr w:type="spellEnd"/>
      <w:r w:rsidRPr="000A1215">
        <w:t xml:space="preserve"> employment for participants </w:t>
      </w:r>
      <w:r w:rsidRPr="000A1215">
        <w:t>through a heavily-</w:t>
      </w:r>
      <w:proofErr w:type="spellStart"/>
      <w:r w:rsidRPr="000A1215">
        <w:t>individualised</w:t>
      </w:r>
      <w:proofErr w:type="spellEnd"/>
      <w:r w:rsidRPr="000A1215">
        <w:t xml:space="preserve"> focus, including developing a ‘Discovery Record’ that showcases </w:t>
      </w:r>
      <w:r w:rsidRPr="000A1215">
        <w:t xml:space="preserve">competencies and interests and </w:t>
      </w:r>
      <w:proofErr w:type="spellStart"/>
      <w:r w:rsidRPr="000A1215">
        <w:t>utilises</w:t>
      </w:r>
      <w:proofErr w:type="spellEnd"/>
      <w:r w:rsidRPr="000A1215">
        <w:t xml:space="preserve"> circles of support.</w:t>
      </w:r>
    </w:p>
    <w:p w14:paraId="5546FFC7" w14:textId="77777777" w:rsidR="00DC2449" w:rsidRDefault="00BF173D" w:rsidP="000A1215">
      <w:pPr>
        <w:pStyle w:val="BodyText"/>
        <w:spacing w:before="185"/>
        <w:ind w:left="850"/>
      </w:pPr>
      <w:r w:rsidRPr="000A1215">
        <w:t>SLES</w:t>
      </w:r>
      <w:r>
        <w:t xml:space="preserve"> </w:t>
      </w:r>
      <w:r w:rsidRPr="000A1215">
        <w:t>is</w:t>
      </w:r>
      <w:r>
        <w:t xml:space="preserve"> </w:t>
      </w:r>
      <w:r w:rsidRPr="000A1215">
        <w:t>based</w:t>
      </w:r>
      <w:r>
        <w:t xml:space="preserve"> </w:t>
      </w:r>
      <w:r w:rsidRPr="000A1215">
        <w:t>on</w:t>
      </w:r>
      <w:r>
        <w:t xml:space="preserve"> </w:t>
      </w:r>
      <w:r w:rsidRPr="000A1215">
        <w:t>the</w:t>
      </w:r>
      <w:r>
        <w:t xml:space="preserve"> </w:t>
      </w:r>
      <w:r w:rsidRPr="000A1215">
        <w:t>NSW Transition</w:t>
      </w:r>
      <w:r>
        <w:t xml:space="preserve"> </w:t>
      </w:r>
      <w:r w:rsidRPr="000A1215">
        <w:t>to Work</w:t>
      </w:r>
      <w:r>
        <w:t xml:space="preserve"> </w:t>
      </w:r>
      <w:r w:rsidRPr="000A1215">
        <w:t>(TTW)</w:t>
      </w:r>
      <w:r>
        <w:t xml:space="preserve"> </w:t>
      </w:r>
      <w:r w:rsidRPr="000A1215">
        <w:t>program. A</w:t>
      </w:r>
      <w:r>
        <w:t xml:space="preserve"> </w:t>
      </w:r>
      <w:r w:rsidRPr="000A1215">
        <w:t>recent</w:t>
      </w:r>
      <w:r>
        <w:t xml:space="preserve"> </w:t>
      </w:r>
      <w:r w:rsidRPr="000A1215">
        <w:t>evaluation</w:t>
      </w:r>
      <w:r w:rsidRPr="000A1215">
        <w:t>23</w:t>
      </w:r>
      <w:r w:rsidRPr="000A1215">
        <w:t xml:space="preserve"> </w:t>
      </w:r>
      <w:r w:rsidRPr="000A1215">
        <w:t>found</w:t>
      </w:r>
      <w:r>
        <w:t xml:space="preserve"> </w:t>
      </w:r>
      <w:r w:rsidRPr="000A1215">
        <w:t>that</w:t>
      </w:r>
      <w:r w:rsidRPr="000A1215">
        <w:t xml:space="preserve"> </w:t>
      </w:r>
      <w:r w:rsidRPr="000A1215">
        <w:t>the</w:t>
      </w:r>
      <w:r>
        <w:t xml:space="preserve"> </w:t>
      </w:r>
      <w:r w:rsidRPr="000A1215">
        <w:t>NSW TTW</w:t>
      </w:r>
      <w:r>
        <w:t xml:space="preserve"> </w:t>
      </w:r>
      <w:r w:rsidRPr="000A1215">
        <w:t>had</w:t>
      </w:r>
      <w:r>
        <w:t xml:space="preserve"> </w:t>
      </w:r>
      <w:r w:rsidRPr="000A1215">
        <w:t>not</w:t>
      </w:r>
      <w:r>
        <w:t xml:space="preserve"> </w:t>
      </w:r>
      <w:r w:rsidRPr="000A1215">
        <w:t>been</w:t>
      </w:r>
      <w:r>
        <w:t xml:space="preserve"> </w:t>
      </w:r>
      <w:r w:rsidRPr="000A1215">
        <w:t>a</w:t>
      </w:r>
      <w:r>
        <w:t xml:space="preserve"> </w:t>
      </w:r>
      <w:r w:rsidRPr="000A1215">
        <w:t>successful</w:t>
      </w:r>
      <w:r>
        <w:t xml:space="preserve"> </w:t>
      </w:r>
      <w:r w:rsidRPr="000A1215">
        <w:t>model</w:t>
      </w:r>
      <w:r>
        <w:t xml:space="preserve"> </w:t>
      </w:r>
      <w:r w:rsidRPr="000A1215">
        <w:t>in</w:t>
      </w:r>
      <w:r>
        <w:t xml:space="preserve"> </w:t>
      </w:r>
      <w:r w:rsidRPr="000A1215">
        <w:t>gaining</w:t>
      </w:r>
      <w:r>
        <w:t xml:space="preserve"> </w:t>
      </w:r>
      <w:r w:rsidRPr="000A1215">
        <w:t>employment</w:t>
      </w:r>
      <w:r>
        <w:t xml:space="preserve"> </w:t>
      </w:r>
      <w:r w:rsidRPr="000A1215">
        <w:t>outcomes</w:t>
      </w:r>
      <w:r>
        <w:t xml:space="preserve"> </w:t>
      </w:r>
      <w:r w:rsidRPr="000A1215">
        <w:t>for</w:t>
      </w:r>
      <w:r>
        <w:t xml:space="preserve"> </w:t>
      </w:r>
      <w:r w:rsidRPr="000A1215">
        <w:t>participants:</w:t>
      </w:r>
    </w:p>
    <w:p w14:paraId="5546FFC8" w14:textId="77777777" w:rsidR="00DC2449" w:rsidRDefault="00BF173D" w:rsidP="000A1215">
      <w:pPr>
        <w:pStyle w:val="BodyText"/>
        <w:spacing w:before="185"/>
        <w:ind w:left="850"/>
      </w:pPr>
      <w:r w:rsidRPr="000A1215">
        <w:t>21.8</w:t>
      </w:r>
      <w:r w:rsidRPr="000A1215">
        <w:t xml:space="preserve"> </w:t>
      </w:r>
      <w:r w:rsidRPr="000A1215">
        <w:t>per</w:t>
      </w:r>
      <w:r w:rsidRPr="000A1215">
        <w:t xml:space="preserve"> </w:t>
      </w:r>
      <w:r w:rsidRPr="000A1215">
        <w:t>cent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all</w:t>
      </w:r>
      <w:r w:rsidRPr="000A1215">
        <w:t xml:space="preserve"> </w:t>
      </w:r>
      <w:r w:rsidRPr="000A1215">
        <w:t>providers</w:t>
      </w:r>
      <w:r w:rsidRPr="000A1215">
        <w:t xml:space="preserve"> </w:t>
      </w:r>
      <w:r w:rsidRPr="000A1215">
        <w:t>never</w:t>
      </w:r>
      <w:r w:rsidRPr="000A1215">
        <w:t xml:space="preserve"> </w:t>
      </w:r>
      <w:r w:rsidRPr="000A1215">
        <w:t>obtained</w:t>
      </w:r>
      <w:r w:rsidRPr="000A1215">
        <w:t xml:space="preserve"> </w:t>
      </w:r>
      <w:r w:rsidRPr="000A1215">
        <w:t>an</w:t>
      </w:r>
      <w:r w:rsidRPr="000A1215">
        <w:t xml:space="preserve"> </w:t>
      </w:r>
      <w:r w:rsidRPr="000A1215">
        <w:t>open</w:t>
      </w:r>
      <w:r w:rsidRPr="000A1215">
        <w:t xml:space="preserve"> </w:t>
      </w:r>
      <w:r w:rsidRPr="000A1215">
        <w:t>employment</w:t>
      </w:r>
      <w:r w:rsidRPr="000A1215">
        <w:t xml:space="preserve"> </w:t>
      </w:r>
      <w:r w:rsidRPr="000A1215">
        <w:t>outcome.</w:t>
      </w:r>
    </w:p>
    <w:p w14:paraId="5546FFC9" w14:textId="77777777" w:rsidR="00DC2449" w:rsidRPr="000A1215" w:rsidRDefault="00BF173D" w:rsidP="000A1215">
      <w:pPr>
        <w:pStyle w:val="BodyText"/>
        <w:spacing w:before="185"/>
        <w:ind w:left="850"/>
      </w:pPr>
      <w:r w:rsidRPr="000A1215">
        <w:t>NDS’s Ticket</w:t>
      </w:r>
      <w:r>
        <w:t xml:space="preserve"> </w:t>
      </w:r>
      <w:r w:rsidRPr="000A1215">
        <w:t>to Work</w:t>
      </w:r>
      <w:r>
        <w:t xml:space="preserve"> </w:t>
      </w:r>
      <w:r w:rsidRPr="000A1215">
        <w:t>initiative</w:t>
      </w:r>
      <w:r>
        <w:t xml:space="preserve"> </w:t>
      </w:r>
      <w:r w:rsidRPr="000A1215">
        <w:t>currently</w:t>
      </w:r>
      <w:r>
        <w:t xml:space="preserve"> </w:t>
      </w:r>
      <w:r w:rsidRPr="000A1215">
        <w:t>places</w:t>
      </w:r>
      <w:r>
        <w:t xml:space="preserve"> </w:t>
      </w:r>
      <w:r w:rsidRPr="000A1215">
        <w:t>more</w:t>
      </w:r>
      <w:r>
        <w:t xml:space="preserve"> </w:t>
      </w:r>
      <w:r w:rsidRPr="000A1215">
        <w:t>young</w:t>
      </w:r>
      <w:r>
        <w:t xml:space="preserve"> </w:t>
      </w:r>
      <w:r w:rsidRPr="000A1215">
        <w:t>people</w:t>
      </w:r>
      <w:r>
        <w:t xml:space="preserve"> </w:t>
      </w:r>
      <w:r w:rsidRPr="000A1215">
        <w:t>in</w:t>
      </w:r>
      <w:r>
        <w:t xml:space="preserve"> </w:t>
      </w:r>
      <w:r w:rsidRPr="000A1215">
        <w:t>open</w:t>
      </w:r>
      <w:r>
        <w:t xml:space="preserve"> </w:t>
      </w:r>
      <w:r w:rsidRPr="000A1215">
        <w:t>employment</w:t>
      </w:r>
      <w:r>
        <w:t xml:space="preserve"> </w:t>
      </w:r>
      <w:r w:rsidRPr="000A1215">
        <w:t>(317</w:t>
      </w:r>
      <w:r>
        <w:t xml:space="preserve"> </w:t>
      </w:r>
      <w:r w:rsidRPr="000A1215">
        <w:t xml:space="preserve">open </w:t>
      </w:r>
      <w:r w:rsidRPr="000A1215">
        <w:t>employment placements in 2016) than TTW (who made 245 open employment placements in</w:t>
      </w:r>
      <w:r w:rsidRPr="000A1215">
        <w:t xml:space="preserve"> </w:t>
      </w:r>
      <w:r w:rsidRPr="000A1215">
        <w:t>2016).</w:t>
      </w:r>
    </w:p>
    <w:p w14:paraId="5546FFCA" w14:textId="77777777" w:rsidR="00DC2449" w:rsidRDefault="00BF173D" w:rsidP="000A1215">
      <w:pPr>
        <w:pStyle w:val="BodyText"/>
        <w:spacing w:before="185"/>
        <w:ind w:left="850"/>
      </w:pPr>
      <w:r w:rsidRPr="000A1215">
        <w:t>It</w:t>
      </w:r>
      <w:r>
        <w:t xml:space="preserve"> </w:t>
      </w:r>
      <w:r w:rsidRPr="000A1215">
        <w:t>is</w:t>
      </w:r>
      <w:r>
        <w:t xml:space="preserve"> </w:t>
      </w:r>
      <w:r w:rsidRPr="000A1215">
        <w:t>vital</w:t>
      </w:r>
      <w:r>
        <w:t xml:space="preserve"> </w:t>
      </w:r>
      <w:r w:rsidRPr="000A1215">
        <w:t>that</w:t>
      </w:r>
      <w:r>
        <w:t xml:space="preserve"> </w:t>
      </w:r>
      <w:r w:rsidRPr="000A1215">
        <w:t>any</w:t>
      </w:r>
      <w:r>
        <w:t xml:space="preserve"> </w:t>
      </w:r>
      <w:r w:rsidRPr="000A1215">
        <w:t>initiative</w:t>
      </w:r>
      <w:r>
        <w:t xml:space="preserve"> </w:t>
      </w:r>
      <w:r w:rsidRPr="000A1215">
        <w:t>or</w:t>
      </w:r>
      <w:r>
        <w:t xml:space="preserve"> </w:t>
      </w:r>
      <w:r w:rsidRPr="000A1215">
        <w:t>supports</w:t>
      </w:r>
      <w:r>
        <w:t xml:space="preserve"> </w:t>
      </w:r>
      <w:r w:rsidRPr="000A1215">
        <w:t>are</w:t>
      </w:r>
      <w:r>
        <w:t xml:space="preserve"> </w:t>
      </w:r>
      <w:r w:rsidRPr="000A1215">
        <w:t>evidence-based.</w:t>
      </w:r>
      <w:r w:rsidRPr="000A1215">
        <w:t xml:space="preserve"> </w:t>
      </w:r>
      <w:r w:rsidRPr="000A1215">
        <w:t>As</w:t>
      </w:r>
      <w:r>
        <w:t xml:space="preserve"> </w:t>
      </w:r>
      <w:r w:rsidRPr="000A1215">
        <w:t>many</w:t>
      </w:r>
      <w:r>
        <w:t xml:space="preserve"> </w:t>
      </w:r>
      <w:r w:rsidRPr="000A1215">
        <w:t>NDIS</w:t>
      </w:r>
      <w:r>
        <w:t xml:space="preserve"> </w:t>
      </w:r>
      <w:r w:rsidRPr="000A1215">
        <w:t>providers</w:t>
      </w:r>
      <w:r>
        <w:t xml:space="preserve"> </w:t>
      </w:r>
      <w:r w:rsidRPr="000A1215">
        <w:t>have</w:t>
      </w:r>
      <w:r>
        <w:t xml:space="preserve"> </w:t>
      </w:r>
      <w:r w:rsidRPr="000A1215">
        <w:t xml:space="preserve">limited </w:t>
      </w:r>
      <w:r w:rsidRPr="000A1215">
        <w:t>experience in supporting employment for youn</w:t>
      </w:r>
      <w:r w:rsidRPr="000A1215">
        <w:t>g people with significant disability,</w:t>
      </w:r>
      <w:r w:rsidRPr="000A1215">
        <w:t xml:space="preserve"> </w:t>
      </w:r>
      <w:r w:rsidRPr="000A1215">
        <w:t xml:space="preserve">we suggest looking at training in </w:t>
      </w:r>
      <w:proofErr w:type="spellStart"/>
      <w:r w:rsidRPr="000A1215">
        <w:t>customised</w:t>
      </w:r>
      <w:proofErr w:type="spellEnd"/>
      <w:r w:rsidRPr="000A1215">
        <w:t xml:space="preserve"> employment supports to ensure evidenced-based supports.</w:t>
      </w:r>
    </w:p>
    <w:p w14:paraId="5546FFCB" w14:textId="77777777" w:rsidR="00DC2449" w:rsidRDefault="00DC2449">
      <w:pPr>
        <w:pStyle w:val="BodyText"/>
        <w:spacing w:before="9"/>
        <w:rPr>
          <w:sz w:val="22"/>
        </w:rPr>
      </w:pPr>
    </w:p>
    <w:p w14:paraId="5546FFCC" w14:textId="77777777" w:rsidR="00DC2449" w:rsidRPr="000A1215" w:rsidRDefault="00BF173D">
      <w:pPr>
        <w:pStyle w:val="Heading2"/>
        <w:rPr>
          <w:color w:val="000000" w:themeColor="text1"/>
        </w:rPr>
      </w:pPr>
      <w:bookmarkStart w:id="9" w:name="_TOC_250004"/>
      <w:r w:rsidRPr="000A1215">
        <w:rPr>
          <w:color w:val="000000" w:themeColor="text1"/>
          <w:w w:val="80"/>
        </w:rPr>
        <w:t>Incentives</w:t>
      </w:r>
      <w:r w:rsidRPr="000A1215">
        <w:rPr>
          <w:color w:val="000000" w:themeColor="text1"/>
          <w:spacing w:val="43"/>
        </w:rPr>
        <w:t xml:space="preserve"> </w:t>
      </w:r>
      <w:r w:rsidRPr="000A1215">
        <w:rPr>
          <w:color w:val="000000" w:themeColor="text1"/>
          <w:w w:val="80"/>
        </w:rPr>
        <w:t>for</w:t>
      </w:r>
      <w:r w:rsidRPr="000A1215">
        <w:rPr>
          <w:color w:val="000000" w:themeColor="text1"/>
          <w:spacing w:val="43"/>
        </w:rPr>
        <w:t xml:space="preserve"> </w:t>
      </w:r>
      <w:proofErr w:type="spellStart"/>
      <w:r w:rsidRPr="000A1215">
        <w:rPr>
          <w:color w:val="000000" w:themeColor="text1"/>
          <w:w w:val="80"/>
        </w:rPr>
        <w:t>normalised</w:t>
      </w:r>
      <w:proofErr w:type="spellEnd"/>
      <w:r w:rsidRPr="000A1215">
        <w:rPr>
          <w:color w:val="000000" w:themeColor="text1"/>
          <w:spacing w:val="44"/>
        </w:rPr>
        <w:t xml:space="preserve"> </w:t>
      </w:r>
      <w:r w:rsidRPr="000A1215">
        <w:rPr>
          <w:color w:val="000000" w:themeColor="text1"/>
          <w:w w:val="80"/>
        </w:rPr>
        <w:t>school-to-work</w:t>
      </w:r>
      <w:r w:rsidRPr="000A1215">
        <w:rPr>
          <w:color w:val="000000" w:themeColor="text1"/>
          <w:spacing w:val="43"/>
        </w:rPr>
        <w:t xml:space="preserve"> </w:t>
      </w:r>
      <w:bookmarkEnd w:id="9"/>
      <w:r w:rsidRPr="000A1215">
        <w:rPr>
          <w:color w:val="000000" w:themeColor="text1"/>
          <w:spacing w:val="-2"/>
          <w:w w:val="80"/>
        </w:rPr>
        <w:t>pathways</w:t>
      </w:r>
    </w:p>
    <w:p w14:paraId="5546FFCD" w14:textId="77777777" w:rsidR="00DC2449" w:rsidRDefault="00BF173D" w:rsidP="000A1215">
      <w:pPr>
        <w:pStyle w:val="BodyText"/>
        <w:spacing w:before="185"/>
        <w:ind w:left="850"/>
      </w:pPr>
      <w:r w:rsidRPr="000A1215">
        <w:t>It</w:t>
      </w:r>
      <w:r>
        <w:t xml:space="preserve"> </w:t>
      </w:r>
      <w:r w:rsidRPr="000A1215">
        <w:t>is</w:t>
      </w:r>
      <w:r>
        <w:t xml:space="preserve"> </w:t>
      </w:r>
      <w:r w:rsidRPr="000A1215">
        <w:t>important</w:t>
      </w:r>
      <w:r>
        <w:t xml:space="preserve"> </w:t>
      </w:r>
      <w:r w:rsidRPr="000A1215">
        <w:t>that</w:t>
      </w:r>
      <w:r>
        <w:t xml:space="preserve"> </w:t>
      </w:r>
      <w:r w:rsidRPr="000A1215">
        <w:t>the</w:t>
      </w:r>
      <w:r>
        <w:t xml:space="preserve"> </w:t>
      </w:r>
      <w:r w:rsidRPr="000A1215">
        <w:t>NDIS</w:t>
      </w:r>
      <w:r>
        <w:t xml:space="preserve"> </w:t>
      </w:r>
      <w:r w:rsidRPr="000A1215">
        <w:t>supports</w:t>
      </w:r>
      <w:r>
        <w:t xml:space="preserve"> </w:t>
      </w:r>
      <w:r w:rsidRPr="000A1215">
        <w:t>effective</w:t>
      </w:r>
      <w:r>
        <w:t xml:space="preserve"> </w:t>
      </w:r>
      <w:r w:rsidRPr="000A1215">
        <w:t>and</w:t>
      </w:r>
      <w:r>
        <w:t xml:space="preserve"> </w:t>
      </w:r>
      <w:r w:rsidRPr="000A1215">
        <w:t>timely</w:t>
      </w:r>
      <w:r>
        <w:t xml:space="preserve"> </w:t>
      </w:r>
      <w:r w:rsidRPr="000A1215">
        <w:t>employment</w:t>
      </w:r>
      <w:r>
        <w:t xml:space="preserve"> </w:t>
      </w:r>
      <w:r w:rsidRPr="000A1215">
        <w:t>placement</w:t>
      </w:r>
      <w:r>
        <w:t xml:space="preserve"> </w:t>
      </w:r>
      <w:r w:rsidRPr="000A1215">
        <w:t>for</w:t>
      </w:r>
      <w:r>
        <w:t xml:space="preserve"> </w:t>
      </w:r>
      <w:r w:rsidRPr="000A1215">
        <w:t xml:space="preserve">young </w:t>
      </w:r>
      <w:r w:rsidRPr="000A1215">
        <w:t>people with disability that is typical of other young people.</w:t>
      </w:r>
    </w:p>
    <w:p w14:paraId="5546FFCE" w14:textId="77777777" w:rsidR="00DC2449" w:rsidRDefault="00BF173D" w:rsidP="000A1215">
      <w:pPr>
        <w:pStyle w:val="BodyText"/>
        <w:spacing w:before="185"/>
        <w:ind w:left="850"/>
      </w:pPr>
      <w:r w:rsidRPr="000A1215">
        <w:t>NDS</w:t>
      </w:r>
      <w:r>
        <w:t xml:space="preserve"> </w:t>
      </w:r>
      <w:r w:rsidRPr="000A1215">
        <w:t>members</w:t>
      </w:r>
      <w:r>
        <w:t xml:space="preserve"> </w:t>
      </w:r>
      <w:r w:rsidRPr="000A1215">
        <w:t>have</w:t>
      </w:r>
      <w:r>
        <w:t xml:space="preserve"> </w:t>
      </w:r>
      <w:r w:rsidRPr="000A1215">
        <w:t>highlighted</w:t>
      </w:r>
      <w:r>
        <w:t xml:space="preserve"> </w:t>
      </w:r>
      <w:r w:rsidRPr="000A1215">
        <w:t>the</w:t>
      </w:r>
      <w:r>
        <w:t xml:space="preserve"> </w:t>
      </w:r>
      <w:r w:rsidRPr="000A1215">
        <w:t>current</w:t>
      </w:r>
      <w:r>
        <w:t xml:space="preserve"> </w:t>
      </w:r>
      <w:r w:rsidRPr="000A1215">
        <w:t>lack</w:t>
      </w:r>
      <w:r>
        <w:t xml:space="preserve"> </w:t>
      </w:r>
      <w:r w:rsidRPr="000A1215">
        <w:t>of</w:t>
      </w:r>
      <w:r>
        <w:t xml:space="preserve"> </w:t>
      </w:r>
      <w:r w:rsidRPr="000A1215">
        <w:t>incentive</w:t>
      </w:r>
      <w:r>
        <w:t xml:space="preserve"> </w:t>
      </w:r>
      <w:r w:rsidRPr="000A1215">
        <w:t>for</w:t>
      </w:r>
      <w:r>
        <w:t xml:space="preserve"> </w:t>
      </w:r>
      <w:r w:rsidRPr="000A1215">
        <w:t>NDIS</w:t>
      </w:r>
      <w:r>
        <w:t xml:space="preserve"> </w:t>
      </w:r>
      <w:r w:rsidRPr="000A1215">
        <w:t>providers</w:t>
      </w:r>
      <w:r>
        <w:t xml:space="preserve"> </w:t>
      </w:r>
      <w:r w:rsidRPr="000A1215">
        <w:t>to</w:t>
      </w:r>
      <w:r>
        <w:t xml:space="preserve"> </w:t>
      </w:r>
      <w:r w:rsidRPr="000A1215">
        <w:t>place</w:t>
      </w:r>
      <w:r>
        <w:t xml:space="preserve"> </w:t>
      </w:r>
      <w:r w:rsidRPr="000A1215">
        <w:t>people</w:t>
      </w:r>
      <w:r>
        <w:t xml:space="preserve"> </w:t>
      </w:r>
      <w:r w:rsidRPr="000A1215">
        <w:t xml:space="preserve">in </w:t>
      </w:r>
      <w:r w:rsidRPr="000A1215">
        <w:t>work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timely</w:t>
      </w:r>
      <w:r w:rsidRPr="000A1215">
        <w:t xml:space="preserve"> </w:t>
      </w:r>
      <w:r w:rsidRPr="000A1215">
        <w:t>fashion.</w:t>
      </w:r>
      <w:r w:rsidRPr="000A1215">
        <w:t xml:space="preserve"> </w:t>
      </w:r>
      <w:r w:rsidRPr="000A1215">
        <w:t>SLES,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example,</w:t>
      </w:r>
      <w:r w:rsidRPr="000A1215">
        <w:t xml:space="preserve"> </w:t>
      </w:r>
      <w:r w:rsidRPr="000A1215">
        <w:t>is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two-year</w:t>
      </w:r>
      <w:r w:rsidRPr="000A1215">
        <w:t xml:space="preserve"> </w:t>
      </w:r>
      <w:r w:rsidRPr="000A1215">
        <w:t>annual</w:t>
      </w:r>
      <w:r w:rsidRPr="000A1215">
        <w:t xml:space="preserve"> </w:t>
      </w:r>
      <w:r w:rsidRPr="000A1215">
        <w:t>funding</w:t>
      </w:r>
      <w:r w:rsidRPr="000A1215">
        <w:t xml:space="preserve"> </w:t>
      </w:r>
      <w:r w:rsidRPr="000A1215">
        <w:t>model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which</w:t>
      </w:r>
      <w:r w:rsidRPr="000A1215">
        <w:t xml:space="preserve"> </w:t>
      </w:r>
      <w:r w:rsidRPr="000A1215">
        <w:t xml:space="preserve">funding </w:t>
      </w:r>
      <w:r w:rsidRPr="000A1215">
        <w:t xml:space="preserve">ceases when a job is obtained. NDS identifies a need to </w:t>
      </w:r>
      <w:proofErr w:type="spellStart"/>
      <w:r w:rsidRPr="000A1215">
        <w:t>incentivise</w:t>
      </w:r>
      <w:proofErr w:type="spellEnd"/>
      <w:r w:rsidRPr="000A1215">
        <w:t xml:space="preserve"> the right kind of market </w:t>
      </w:r>
      <w:r w:rsidRPr="000A1215">
        <w:t xml:space="preserve">responses and </w:t>
      </w:r>
      <w:proofErr w:type="spellStart"/>
      <w:r w:rsidRPr="000A1215">
        <w:t>recognise</w:t>
      </w:r>
      <w:proofErr w:type="spellEnd"/>
      <w:r w:rsidRPr="000A1215">
        <w:t xml:space="preserve"> outcomes and supports provided.</w:t>
      </w:r>
    </w:p>
    <w:p w14:paraId="5546FFCF" w14:textId="77777777" w:rsidR="00DC2449" w:rsidRDefault="00BF173D" w:rsidP="000A1215">
      <w:pPr>
        <w:pStyle w:val="BodyText"/>
        <w:spacing w:before="185"/>
        <w:ind w:left="850"/>
      </w:pPr>
      <w:r w:rsidRPr="000A1215">
        <w:t>We</w:t>
      </w:r>
      <w:r>
        <w:t xml:space="preserve"> </w:t>
      </w:r>
      <w:r w:rsidRPr="000A1215">
        <w:t>are</w:t>
      </w:r>
      <w:r>
        <w:t xml:space="preserve"> </w:t>
      </w:r>
      <w:r w:rsidRPr="000A1215">
        <w:t>also</w:t>
      </w:r>
      <w:r>
        <w:t xml:space="preserve"> </w:t>
      </w:r>
      <w:r w:rsidRPr="000A1215">
        <w:t>concerned</w:t>
      </w:r>
      <w:r>
        <w:t xml:space="preserve"> </w:t>
      </w:r>
      <w:r w:rsidRPr="000A1215">
        <w:t>about</w:t>
      </w:r>
      <w:r>
        <w:t xml:space="preserve"> </w:t>
      </w:r>
      <w:r w:rsidRPr="000A1215">
        <w:t>the</w:t>
      </w:r>
      <w:r>
        <w:t xml:space="preserve"> </w:t>
      </w:r>
      <w:r w:rsidRPr="000A1215">
        <w:t>developing</w:t>
      </w:r>
      <w:r>
        <w:t xml:space="preserve"> </w:t>
      </w:r>
      <w:r w:rsidRPr="000A1215">
        <w:t>perception</w:t>
      </w:r>
      <w:r>
        <w:t xml:space="preserve"> </w:t>
      </w:r>
      <w:r w:rsidRPr="000A1215">
        <w:t>by</w:t>
      </w:r>
      <w:r>
        <w:t xml:space="preserve"> </w:t>
      </w:r>
      <w:r w:rsidRPr="000A1215">
        <w:t>key</w:t>
      </w:r>
      <w:r>
        <w:t xml:space="preserve"> </w:t>
      </w:r>
      <w:r w:rsidRPr="000A1215">
        <w:t>stakeholders</w:t>
      </w:r>
      <w:r>
        <w:t xml:space="preserve"> </w:t>
      </w:r>
      <w:r w:rsidRPr="000A1215">
        <w:t>-</w:t>
      </w:r>
      <w:r>
        <w:t xml:space="preserve"> </w:t>
      </w:r>
      <w:r w:rsidRPr="000A1215">
        <w:t>including</w:t>
      </w:r>
      <w:r>
        <w:t xml:space="preserve"> </w:t>
      </w:r>
      <w:r w:rsidRPr="000A1215">
        <w:t xml:space="preserve">schools </w:t>
      </w:r>
      <w:r w:rsidRPr="000A1215">
        <w:t>and the disability sector - that school-to-work transition should be delayed until after school through</w:t>
      </w:r>
      <w:r w:rsidRPr="000A1215">
        <w:t xml:space="preserve"> </w:t>
      </w:r>
      <w:r w:rsidRPr="000A1215">
        <w:t>School</w:t>
      </w:r>
      <w:r w:rsidRPr="000A1215">
        <w:t xml:space="preserve"> </w:t>
      </w:r>
      <w:r w:rsidRPr="000A1215">
        <w:t>Leaver</w:t>
      </w:r>
      <w:r w:rsidRPr="000A1215">
        <w:t xml:space="preserve"> </w:t>
      </w:r>
      <w:r w:rsidRPr="000A1215">
        <w:t>Employment</w:t>
      </w:r>
      <w:r w:rsidRPr="000A1215">
        <w:t xml:space="preserve"> </w:t>
      </w:r>
      <w:r w:rsidRPr="000A1215">
        <w:t>Supports.</w:t>
      </w:r>
      <w:r w:rsidRPr="000A1215">
        <w:t xml:space="preserve"> </w:t>
      </w:r>
      <w:r w:rsidRPr="000A1215">
        <w:t>All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available</w:t>
      </w:r>
      <w:r w:rsidRPr="000A1215">
        <w:t xml:space="preserve"> </w:t>
      </w:r>
      <w:r w:rsidRPr="000A1215">
        <w:t>evidence</w:t>
      </w:r>
      <w:r w:rsidRPr="000A1215">
        <w:t xml:space="preserve"> </w:t>
      </w:r>
      <w:r w:rsidRPr="000A1215">
        <w:t>shows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 xml:space="preserve">school-to- work transition must start earlier </w:t>
      </w:r>
      <w:r w:rsidRPr="000A1215">
        <w:t>to be effective.</w:t>
      </w:r>
      <w:r w:rsidRPr="000A1215">
        <w:t xml:space="preserve"> </w:t>
      </w:r>
      <w:r w:rsidRPr="000A1215">
        <w:t xml:space="preserve">We believe that the NDIS’s </w:t>
      </w:r>
      <w:proofErr w:type="spellStart"/>
      <w:r w:rsidRPr="000A1215">
        <w:t>incentivisation</w:t>
      </w:r>
      <w:proofErr w:type="spellEnd"/>
      <w:r w:rsidRPr="000A1215">
        <w:t xml:space="preserve"> of </w:t>
      </w:r>
      <w:r w:rsidRPr="000A1215">
        <w:t>post-school</w:t>
      </w:r>
      <w:r>
        <w:t xml:space="preserve"> </w:t>
      </w:r>
      <w:r w:rsidRPr="000A1215">
        <w:t>interventions</w:t>
      </w:r>
      <w:r>
        <w:t xml:space="preserve"> </w:t>
      </w:r>
      <w:r w:rsidRPr="000A1215">
        <w:t>is</w:t>
      </w:r>
      <w:r>
        <w:t xml:space="preserve"> </w:t>
      </w:r>
      <w:r w:rsidRPr="000A1215">
        <w:lastRenderedPageBreak/>
        <w:t>making</w:t>
      </w:r>
      <w:r>
        <w:t xml:space="preserve"> </w:t>
      </w:r>
      <w:r w:rsidRPr="000A1215">
        <w:t>NDIS</w:t>
      </w:r>
      <w:r>
        <w:t xml:space="preserve"> </w:t>
      </w:r>
      <w:r w:rsidRPr="000A1215">
        <w:t>providers</w:t>
      </w:r>
      <w:r>
        <w:t xml:space="preserve"> </w:t>
      </w:r>
      <w:r w:rsidRPr="000A1215">
        <w:t>reluctant</w:t>
      </w:r>
      <w:r>
        <w:t xml:space="preserve"> </w:t>
      </w:r>
      <w:r w:rsidRPr="000A1215">
        <w:t>to</w:t>
      </w:r>
      <w:r>
        <w:t xml:space="preserve"> </w:t>
      </w:r>
      <w:r w:rsidRPr="000A1215">
        <w:t>support</w:t>
      </w:r>
      <w:r>
        <w:t xml:space="preserve"> </w:t>
      </w:r>
      <w:r w:rsidRPr="000A1215">
        <w:t>effective</w:t>
      </w:r>
      <w:r>
        <w:t xml:space="preserve"> </w:t>
      </w:r>
      <w:r w:rsidRPr="000A1215">
        <w:t>school-to-work</w:t>
      </w:r>
      <w:r w:rsidRPr="000A1215">
        <w:t xml:space="preserve"> </w:t>
      </w:r>
      <w:r w:rsidRPr="000A1215">
        <w:t>transition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young</w:t>
      </w:r>
      <w:r w:rsidRPr="000A1215">
        <w:t xml:space="preserve"> </w:t>
      </w:r>
      <w:r w:rsidRPr="000A1215">
        <w:t>people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school.</w:t>
      </w:r>
    </w:p>
    <w:p w14:paraId="5546FFD0" w14:textId="77777777" w:rsidR="00DC2449" w:rsidRPr="000A1215" w:rsidRDefault="00BF173D" w:rsidP="000A1215">
      <w:pPr>
        <w:pStyle w:val="BodyText"/>
        <w:spacing w:before="185"/>
        <w:ind w:left="850"/>
      </w:pPr>
      <w:r w:rsidRPr="000A1215">
        <w:t>Members</w:t>
      </w:r>
      <w:r w:rsidRPr="000A1215">
        <w:t xml:space="preserve"> </w:t>
      </w:r>
      <w:r w:rsidRPr="000A1215">
        <w:t>have</w:t>
      </w:r>
      <w:r w:rsidRPr="000A1215">
        <w:t xml:space="preserve"> </w:t>
      </w:r>
      <w:r w:rsidRPr="000A1215">
        <w:t>informed</w:t>
      </w:r>
      <w:r w:rsidRPr="000A1215">
        <w:t xml:space="preserve"> </w:t>
      </w:r>
      <w:r w:rsidRPr="000A1215">
        <w:t>us</w:t>
      </w:r>
      <w:r w:rsidRPr="000A1215">
        <w:t xml:space="preserve"> </w:t>
      </w:r>
      <w:r w:rsidRPr="000A1215">
        <w:t>that</w:t>
      </w:r>
      <w:r w:rsidRPr="000A1215">
        <w:t xml:space="preserve"> </w:t>
      </w:r>
      <w:r w:rsidRPr="000A1215">
        <w:t>young</w:t>
      </w:r>
      <w:r w:rsidRPr="000A1215">
        <w:t xml:space="preserve"> </w:t>
      </w:r>
      <w:r w:rsidRPr="000A1215">
        <w:t>people</w:t>
      </w:r>
      <w:r w:rsidRPr="000A1215">
        <w:t xml:space="preserve"> </w:t>
      </w:r>
      <w:r w:rsidRPr="000A1215">
        <w:t>are</w:t>
      </w:r>
      <w:r w:rsidRPr="000A1215">
        <w:t xml:space="preserve"> </w:t>
      </w:r>
      <w:r w:rsidRPr="000A1215">
        <w:t>not</w:t>
      </w:r>
      <w:r w:rsidRPr="000A1215">
        <w:t xml:space="preserve"> </w:t>
      </w:r>
      <w:r w:rsidRPr="000A1215">
        <w:t>receiving</w:t>
      </w:r>
      <w:r w:rsidRPr="000A1215">
        <w:t xml:space="preserve"> </w:t>
      </w:r>
      <w:r w:rsidRPr="000A1215">
        <w:t>NDIS</w:t>
      </w:r>
      <w:r w:rsidRPr="000A1215">
        <w:t xml:space="preserve"> </w:t>
      </w:r>
      <w:r w:rsidRPr="000A1215">
        <w:t>support</w:t>
      </w:r>
      <w:r w:rsidRPr="000A1215">
        <w:t xml:space="preserve"> </w:t>
      </w:r>
      <w:r w:rsidRPr="000A1215">
        <w:t>during</w:t>
      </w:r>
      <w:r w:rsidRPr="000A1215">
        <w:t xml:space="preserve"> </w:t>
      </w:r>
      <w:r w:rsidRPr="000A1215">
        <w:t>school</w:t>
      </w:r>
    </w:p>
    <w:p w14:paraId="5546FFD1" w14:textId="77777777" w:rsidR="00DC2449" w:rsidRDefault="00BF173D" w:rsidP="000A1215">
      <w:pPr>
        <w:pStyle w:val="BodyText"/>
        <w:spacing w:before="185"/>
        <w:ind w:left="850"/>
      </w:pPr>
      <w:r w:rsidRPr="000A1215">
        <w:t xml:space="preserve">to assist transition because of misunderstandings regarding the role of education in school </w:t>
      </w:r>
      <w:r w:rsidRPr="000A1215">
        <w:t>transition. NDS has developed a resource to support understanding of the interface of the NDIS</w:t>
      </w:r>
      <w:r w:rsidRPr="000A1215">
        <w:t xml:space="preserve"> </w:t>
      </w:r>
      <w:r w:rsidRPr="000A1215">
        <w:t xml:space="preserve">with education and Disability Employment Services (DES) when looking at school-to-work </w:t>
      </w:r>
      <w:r w:rsidRPr="000A1215">
        <w:t>transition</w:t>
      </w:r>
      <w:r>
        <w:t xml:space="preserve"> </w:t>
      </w:r>
      <w:r w:rsidRPr="000A1215">
        <w:t>to</w:t>
      </w:r>
      <w:r>
        <w:t xml:space="preserve"> </w:t>
      </w:r>
      <w:r w:rsidRPr="000A1215">
        <w:t>support</w:t>
      </w:r>
      <w:r>
        <w:t xml:space="preserve"> </w:t>
      </w:r>
      <w:r w:rsidRPr="000A1215">
        <w:t>good</w:t>
      </w:r>
      <w:r>
        <w:t xml:space="preserve"> </w:t>
      </w:r>
      <w:r w:rsidRPr="000A1215">
        <w:t>decision-making.</w:t>
      </w:r>
      <w:r w:rsidRPr="000A1215">
        <w:t xml:space="preserve"> </w:t>
      </w:r>
      <w:r w:rsidRPr="000A1215">
        <w:t>You</w:t>
      </w:r>
      <w:r>
        <w:t xml:space="preserve"> </w:t>
      </w:r>
      <w:r w:rsidRPr="000A1215">
        <w:t>can</w:t>
      </w:r>
      <w:r>
        <w:t xml:space="preserve"> </w:t>
      </w:r>
      <w:r w:rsidRPr="000A1215">
        <w:t>read</w:t>
      </w:r>
      <w:r>
        <w:t xml:space="preserve"> </w:t>
      </w:r>
      <w:r w:rsidRPr="000A1215">
        <w:t>more</w:t>
      </w:r>
      <w:r>
        <w:t xml:space="preserve"> </w:t>
      </w:r>
      <w:r w:rsidRPr="000A1215">
        <w:t>about</w:t>
      </w:r>
      <w:r>
        <w:t xml:space="preserve"> </w:t>
      </w:r>
      <w:r w:rsidRPr="000A1215">
        <w:t>this</w:t>
      </w:r>
      <w:r>
        <w:t xml:space="preserve"> </w:t>
      </w:r>
      <w:r w:rsidRPr="000A1215">
        <w:t>o</w:t>
      </w:r>
      <w:r w:rsidRPr="000A1215">
        <w:t>n</w:t>
      </w:r>
      <w:r>
        <w:t xml:space="preserve"> </w:t>
      </w:r>
      <w:r w:rsidRPr="000A1215">
        <w:t>the Ticket</w:t>
      </w:r>
      <w:r>
        <w:t xml:space="preserve"> </w:t>
      </w:r>
      <w:r w:rsidRPr="000A1215">
        <w:t xml:space="preserve">to Work </w:t>
      </w:r>
      <w:r w:rsidRPr="000A1215">
        <w:t>website.</w:t>
      </w:r>
    </w:p>
    <w:p w14:paraId="5546FFD2" w14:textId="77777777" w:rsidR="00DC2449" w:rsidRDefault="00DC2449">
      <w:pPr>
        <w:pStyle w:val="BodyText"/>
        <w:spacing w:before="8"/>
        <w:rPr>
          <w:sz w:val="22"/>
        </w:rPr>
      </w:pPr>
    </w:p>
    <w:p w14:paraId="5546FFD3" w14:textId="77777777" w:rsidR="00DC2449" w:rsidRPr="000A1215" w:rsidRDefault="00BF173D">
      <w:pPr>
        <w:pStyle w:val="Heading2"/>
        <w:rPr>
          <w:color w:val="000000" w:themeColor="text1"/>
        </w:rPr>
      </w:pPr>
      <w:bookmarkStart w:id="10" w:name="_TOC_250003"/>
      <w:bookmarkEnd w:id="10"/>
      <w:r w:rsidRPr="000A1215">
        <w:rPr>
          <w:color w:val="000000" w:themeColor="text1"/>
          <w:spacing w:val="-2"/>
          <w:w w:val="90"/>
        </w:rPr>
        <w:t>Assessment</w:t>
      </w:r>
    </w:p>
    <w:p w14:paraId="5546FFD4" w14:textId="77777777" w:rsidR="00DC2449" w:rsidRDefault="00BF173D">
      <w:pPr>
        <w:pStyle w:val="BodyText"/>
        <w:spacing w:before="177"/>
        <w:ind w:left="850"/>
      </w:pPr>
      <w:r w:rsidRPr="000A1215">
        <w:t>Evidence</w:t>
      </w:r>
      <w:r w:rsidRPr="000A1215">
        <w:t xml:space="preserve"> </w:t>
      </w:r>
      <w:r w:rsidRPr="000A1215">
        <w:t>shows</w:t>
      </w:r>
      <w:r w:rsidRPr="000A1215">
        <w:t xml:space="preserve"> </w:t>
      </w:r>
      <w:r w:rsidRPr="000A1215">
        <w:t>that</w:t>
      </w:r>
      <w:r w:rsidRPr="000A1215">
        <w:t xml:space="preserve"> </w:t>
      </w:r>
      <w:proofErr w:type="spellStart"/>
      <w:r w:rsidRPr="000A1215">
        <w:t>standardised</w:t>
      </w:r>
      <w:proofErr w:type="spellEnd"/>
      <w:r w:rsidRPr="000A1215">
        <w:t xml:space="preserve"> </w:t>
      </w:r>
      <w:r w:rsidRPr="000A1215">
        <w:t>assessment</w:t>
      </w:r>
      <w:r w:rsidRPr="000A1215">
        <w:t xml:space="preserve"> </w:t>
      </w:r>
      <w:r w:rsidRPr="000A1215">
        <w:t>does</w:t>
      </w:r>
      <w:r w:rsidRPr="000A1215">
        <w:t xml:space="preserve"> </w:t>
      </w:r>
      <w:r w:rsidRPr="000A1215">
        <w:t>not</w:t>
      </w:r>
      <w:r w:rsidRPr="000A1215">
        <w:t xml:space="preserve"> </w:t>
      </w:r>
      <w:r w:rsidRPr="000A1215">
        <w:t>necessarily</w:t>
      </w:r>
      <w:r w:rsidRPr="000A1215">
        <w:t xml:space="preserve"> </w:t>
      </w:r>
      <w:r w:rsidRPr="000A1215">
        <w:t>take</w:t>
      </w:r>
      <w:r w:rsidRPr="000A1215">
        <w:t xml:space="preserve"> </w:t>
      </w:r>
      <w:r w:rsidRPr="000A1215">
        <w:t>into</w:t>
      </w:r>
      <w:r w:rsidRPr="000A1215">
        <w:t xml:space="preserve"> </w:t>
      </w:r>
      <w:r w:rsidRPr="000A1215">
        <w:t>account</w:t>
      </w:r>
      <w:r w:rsidRPr="000A1215">
        <w:t xml:space="preserve"> </w:t>
      </w:r>
      <w:r w:rsidRPr="000A1215">
        <w:t>the</w:t>
      </w:r>
    </w:p>
    <w:p w14:paraId="5546FFD5" w14:textId="77777777" w:rsidR="00DC2449" w:rsidRPr="000A1215" w:rsidRDefault="00BF173D">
      <w:pPr>
        <w:pStyle w:val="BodyText"/>
        <w:spacing w:before="24"/>
        <w:ind w:left="850"/>
      </w:pPr>
      <w:r w:rsidRPr="000A1215">
        <w:t>individual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their</w:t>
      </w:r>
      <w:r w:rsidRPr="000A1215">
        <w:t xml:space="preserve"> </w:t>
      </w:r>
      <w:r w:rsidRPr="000A1215">
        <w:t>capacity</w:t>
      </w:r>
      <w:r w:rsidRPr="000A1215">
        <w:t xml:space="preserve"> </w:t>
      </w:r>
      <w:r w:rsidRPr="000A1215">
        <w:t>for</w:t>
      </w:r>
      <w:r w:rsidRPr="000A1215">
        <w:t xml:space="preserve"> </w:t>
      </w:r>
      <w:r w:rsidRPr="000A1215">
        <w:t>work</w:t>
      </w:r>
      <w:r w:rsidRPr="000A1215">
        <w:t xml:space="preserve"> </w:t>
      </w:r>
      <w:r w:rsidRPr="000A1215">
        <w:t>in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right</w:t>
      </w:r>
      <w:r w:rsidRPr="000A1215">
        <w:t xml:space="preserve"> </w:t>
      </w:r>
      <w:r w:rsidRPr="000A1215">
        <w:t>employment</w:t>
      </w:r>
      <w:r w:rsidRPr="000A1215">
        <w:t xml:space="preserve"> </w:t>
      </w:r>
      <w:r w:rsidRPr="000A1215">
        <w:t>setting</w:t>
      </w:r>
      <w:r w:rsidRPr="000A1215">
        <w:t xml:space="preserve"> </w:t>
      </w:r>
      <w:r w:rsidRPr="000A1215">
        <w:t>or</w:t>
      </w:r>
      <w:r w:rsidRPr="000A1215">
        <w:t xml:space="preserve"> </w:t>
      </w:r>
      <w:r w:rsidRPr="000A1215">
        <w:t>with</w:t>
      </w:r>
      <w:r w:rsidRPr="000A1215">
        <w:t xml:space="preserve"> </w:t>
      </w:r>
      <w:r w:rsidRPr="000A1215">
        <w:t>job</w:t>
      </w:r>
      <w:r w:rsidRPr="000A1215">
        <w:t xml:space="preserve"> </w:t>
      </w:r>
      <w:proofErr w:type="spellStart"/>
      <w:r w:rsidRPr="000A1215">
        <w:t>customisation</w:t>
      </w:r>
      <w:proofErr w:type="spellEnd"/>
      <w:r w:rsidRPr="000A1215">
        <w:t>.</w:t>
      </w:r>
    </w:p>
    <w:p w14:paraId="5546FFDA" w14:textId="39ECB0D1" w:rsidR="00DC2449" w:rsidRPr="000A1215" w:rsidRDefault="00BF173D" w:rsidP="00A94554">
      <w:pPr>
        <w:pStyle w:val="BodyText"/>
        <w:spacing w:before="199" w:line="235" w:lineRule="auto"/>
        <w:ind w:left="850" w:right="2419"/>
      </w:pPr>
      <w:r w:rsidRPr="000A1215">
        <w:t>Interestingly,</w:t>
      </w:r>
      <w:r w:rsidRPr="000A1215">
        <w:t xml:space="preserve"> </w:t>
      </w:r>
      <w:r w:rsidRPr="000A1215">
        <w:t>it is not the person’s disability that affects employment success,</w:t>
      </w:r>
      <w:r w:rsidRPr="000A1215">
        <w:t xml:space="preserve"> </w:t>
      </w:r>
      <w:r w:rsidRPr="000A1215">
        <w:t>but personality traits</w:t>
      </w:r>
      <w:r w:rsidRPr="000A1215">
        <w:t xml:space="preserve"> </w:t>
      </w:r>
      <w:r w:rsidRPr="000A1215">
        <w:t>including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strong</w:t>
      </w:r>
      <w:r w:rsidRPr="000A1215">
        <w:t xml:space="preserve"> </w:t>
      </w:r>
      <w:r w:rsidRPr="000A1215">
        <w:t>sense</w:t>
      </w:r>
      <w:r w:rsidRPr="000A1215">
        <w:t xml:space="preserve"> </w:t>
      </w:r>
      <w:r w:rsidRPr="000A1215">
        <w:t>of</w:t>
      </w:r>
      <w:r w:rsidRPr="000A1215">
        <w:t xml:space="preserve"> </w:t>
      </w:r>
      <w:r w:rsidRPr="000A1215">
        <w:t>self</w:t>
      </w:r>
      <w:r w:rsidRPr="000A1215">
        <w:t xml:space="preserve"> </w:t>
      </w:r>
      <w:r w:rsidRPr="000A1215">
        <w:t>efficacy,</w:t>
      </w:r>
      <w:r w:rsidRPr="000A1215">
        <w:t xml:space="preserve"> </w:t>
      </w:r>
      <w:r w:rsidRPr="000A1215">
        <w:t>a</w:t>
      </w:r>
      <w:r w:rsidRPr="000A1215">
        <w:t xml:space="preserve"> </w:t>
      </w:r>
      <w:r w:rsidRPr="000A1215">
        <w:t>positive</w:t>
      </w:r>
      <w:r w:rsidRPr="000A1215">
        <w:t xml:space="preserve"> </w:t>
      </w:r>
      <w:r w:rsidRPr="000A1215">
        <w:t>attitude</w:t>
      </w:r>
      <w:r w:rsidRPr="000A1215">
        <w:t xml:space="preserve"> </w:t>
      </w:r>
      <w:r w:rsidRPr="000A1215">
        <w:t>and</w:t>
      </w:r>
      <w:r w:rsidRPr="000A1215">
        <w:t xml:space="preserve"> </w:t>
      </w:r>
      <w:r w:rsidRPr="000A1215">
        <w:t>commitment</w:t>
      </w:r>
      <w:r w:rsidRPr="000A1215">
        <w:t xml:space="preserve"> </w:t>
      </w:r>
      <w:r w:rsidRPr="000A1215">
        <w:t>to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 xml:space="preserve">industry </w:t>
      </w:r>
      <w:r w:rsidRPr="000A1215">
        <w:t>and/or the job.</w:t>
      </w:r>
      <w:r w:rsidRPr="000A1215">
        <w:t>24</w:t>
      </w:r>
    </w:p>
    <w:p w14:paraId="5546FFDB" w14:textId="77777777" w:rsidR="00DC2449" w:rsidRDefault="00BF173D" w:rsidP="000A1215">
      <w:pPr>
        <w:pStyle w:val="BodyText"/>
        <w:spacing w:before="177"/>
        <w:ind w:left="850"/>
      </w:pPr>
      <w:r w:rsidRPr="000A1215">
        <w:t xml:space="preserve">With the right support and the right job, young people with significant disability have been able to </w:t>
      </w:r>
      <w:r w:rsidRPr="000A1215">
        <w:t>work above their assessed level.</w:t>
      </w:r>
      <w:r w:rsidRPr="000A1215">
        <w:t>25</w:t>
      </w:r>
      <w:r w:rsidRPr="000A1215">
        <w:t xml:space="preserve"> </w:t>
      </w:r>
      <w:r w:rsidRPr="000A1215">
        <w:t>The</w:t>
      </w:r>
      <w:r w:rsidRPr="000A1215">
        <w:t xml:space="preserve"> </w:t>
      </w:r>
      <w:r w:rsidRPr="000A1215">
        <w:t>Functional</w:t>
      </w:r>
      <w:r w:rsidRPr="000A1215">
        <w:t xml:space="preserve"> </w:t>
      </w:r>
      <w:r w:rsidRPr="000A1215">
        <w:t>Capacity</w:t>
      </w:r>
      <w:r w:rsidRPr="000A1215">
        <w:t xml:space="preserve"> </w:t>
      </w:r>
      <w:r w:rsidRPr="000A1215">
        <w:t>Assessment</w:t>
      </w:r>
      <w:r w:rsidRPr="000A1215">
        <w:t xml:space="preserve"> </w:t>
      </w:r>
      <w:r w:rsidRPr="000A1215">
        <w:t>should</w:t>
      </w:r>
      <w:r w:rsidRPr="000A1215">
        <w:t xml:space="preserve"> </w:t>
      </w:r>
      <w:r w:rsidRPr="000A1215">
        <w:t>not</w:t>
      </w:r>
      <w:r w:rsidRPr="000A1215">
        <w:t xml:space="preserve"> </w:t>
      </w:r>
      <w:r w:rsidRPr="000A1215">
        <w:t>be</w:t>
      </w:r>
      <w:r w:rsidRPr="000A1215">
        <w:t xml:space="preserve"> </w:t>
      </w:r>
      <w:r w:rsidRPr="000A1215">
        <w:t xml:space="preserve">conducted </w:t>
      </w:r>
      <w:r w:rsidRPr="000A1215">
        <w:t>as it can be a ‘blunt instrument’ that our members believe is</w:t>
      </w:r>
      <w:r w:rsidRPr="000A1215">
        <w:t xml:space="preserve"> not effective in determining</w:t>
      </w:r>
      <w:r w:rsidRPr="000A1215">
        <w:t xml:space="preserve"> </w:t>
      </w:r>
      <w:r w:rsidRPr="000A1215">
        <w:t>employment capacity or appropriate supports.</w:t>
      </w:r>
    </w:p>
    <w:p w14:paraId="0FD151BA" w14:textId="77777777" w:rsidR="00A94554" w:rsidRDefault="00BF173D" w:rsidP="000A1215">
      <w:pPr>
        <w:pStyle w:val="BodyText"/>
        <w:spacing w:before="177"/>
        <w:ind w:left="850"/>
      </w:pPr>
      <w:r w:rsidRPr="000A1215">
        <w:t xml:space="preserve">We would encourage the use of the employment first approach and the discovery process </w:t>
      </w:r>
      <w:r w:rsidRPr="000A1215">
        <w:t>used</w:t>
      </w:r>
      <w:r>
        <w:t xml:space="preserve"> </w:t>
      </w:r>
      <w:r w:rsidRPr="000A1215">
        <w:t>in</w:t>
      </w:r>
      <w:r>
        <w:t xml:space="preserve"> </w:t>
      </w:r>
      <w:proofErr w:type="spellStart"/>
      <w:r w:rsidRPr="000A1215">
        <w:t>customised</w:t>
      </w:r>
      <w:proofErr w:type="spellEnd"/>
      <w:r>
        <w:t xml:space="preserve"> </w:t>
      </w:r>
      <w:r w:rsidRPr="000A1215">
        <w:t>employment</w:t>
      </w:r>
      <w:r>
        <w:t xml:space="preserve"> </w:t>
      </w:r>
      <w:r w:rsidRPr="000A1215">
        <w:t>models</w:t>
      </w:r>
      <w:r>
        <w:t xml:space="preserve"> </w:t>
      </w:r>
      <w:r w:rsidRPr="000A1215">
        <w:t>for</w:t>
      </w:r>
      <w:r>
        <w:t xml:space="preserve"> </w:t>
      </w:r>
      <w:r w:rsidRPr="000A1215">
        <w:t>school-to-work</w:t>
      </w:r>
      <w:r>
        <w:t xml:space="preserve"> </w:t>
      </w:r>
      <w:r w:rsidRPr="000A1215">
        <w:t>employment</w:t>
      </w:r>
      <w:r>
        <w:t xml:space="preserve"> </w:t>
      </w:r>
      <w:r w:rsidRPr="000A1215">
        <w:t>supports.</w:t>
      </w:r>
      <w:r>
        <w:t xml:space="preserve"> </w:t>
      </w:r>
      <w:proofErr w:type="spellStart"/>
      <w:r w:rsidRPr="000A1215">
        <w:t>Customised</w:t>
      </w:r>
      <w:proofErr w:type="spellEnd"/>
      <w:r w:rsidRPr="000A1215">
        <w:t xml:space="preserve"> </w:t>
      </w:r>
      <w:r w:rsidRPr="000A1215">
        <w:t>employm</w:t>
      </w:r>
      <w:r w:rsidRPr="000A1215">
        <w:t>ent is a process-driven concept with four essential components.</w:t>
      </w:r>
      <w:r w:rsidRPr="000A1215">
        <w:t xml:space="preserve"> </w:t>
      </w:r>
    </w:p>
    <w:p w14:paraId="5546FFDC" w14:textId="4848116D" w:rsidR="00DC2449" w:rsidRPr="000A1215" w:rsidRDefault="00BF173D" w:rsidP="000A1215">
      <w:pPr>
        <w:pStyle w:val="BodyText"/>
        <w:spacing w:before="177"/>
        <w:ind w:left="850"/>
      </w:pPr>
      <w:r w:rsidRPr="000A1215">
        <w:t xml:space="preserve">See Note 2 in </w:t>
      </w:r>
      <w:r w:rsidRPr="000A1215">
        <w:t xml:space="preserve">footnotes.* This model has been successfully </w:t>
      </w:r>
      <w:proofErr w:type="spellStart"/>
      <w:r w:rsidRPr="000A1215">
        <w:t>utilised</w:t>
      </w:r>
      <w:proofErr w:type="spellEnd"/>
      <w:r w:rsidRPr="000A1215">
        <w:t xml:space="preserve"> in NDIS plans in the Transition to Employment project in WA.</w:t>
      </w:r>
    </w:p>
    <w:p w14:paraId="5546FFDD" w14:textId="77777777" w:rsidR="00DC2449" w:rsidRPr="00A94554" w:rsidRDefault="00BF173D">
      <w:pPr>
        <w:pStyle w:val="Heading1"/>
        <w:spacing w:before="228"/>
        <w:rPr>
          <w:color w:val="000000" w:themeColor="text1"/>
        </w:rPr>
      </w:pPr>
      <w:bookmarkStart w:id="11" w:name="_TOC_250002"/>
      <w:bookmarkEnd w:id="11"/>
      <w:r w:rsidRPr="00A94554">
        <w:rPr>
          <w:color w:val="000000" w:themeColor="text1"/>
          <w:spacing w:val="-2"/>
        </w:rPr>
        <w:t>Conclusion</w:t>
      </w:r>
    </w:p>
    <w:p w14:paraId="5546FFDE" w14:textId="77777777" w:rsidR="00DC2449" w:rsidRDefault="00BF173D" w:rsidP="00A94554">
      <w:pPr>
        <w:pStyle w:val="BodyText"/>
        <w:spacing w:before="177"/>
        <w:ind w:left="850"/>
      </w:pPr>
      <w:r w:rsidRPr="00A94554">
        <w:t>In</w:t>
      </w:r>
      <w:r>
        <w:t xml:space="preserve"> </w:t>
      </w:r>
      <w:r w:rsidRPr="00A94554">
        <w:t>the</w:t>
      </w:r>
      <w:r>
        <w:t xml:space="preserve"> </w:t>
      </w:r>
      <w:r w:rsidRPr="00A94554">
        <w:t>transition</w:t>
      </w:r>
      <w:r>
        <w:t xml:space="preserve"> </w:t>
      </w:r>
      <w:r w:rsidRPr="00A94554">
        <w:t>from</w:t>
      </w:r>
      <w:r>
        <w:t xml:space="preserve"> </w:t>
      </w:r>
      <w:r w:rsidRPr="00A94554">
        <w:t>school, young</w:t>
      </w:r>
      <w:r>
        <w:t xml:space="preserve"> </w:t>
      </w:r>
      <w:r w:rsidRPr="00A94554">
        <w:t>people</w:t>
      </w:r>
      <w:r>
        <w:t xml:space="preserve"> </w:t>
      </w:r>
      <w:r w:rsidRPr="00A94554">
        <w:t>and</w:t>
      </w:r>
      <w:r>
        <w:t xml:space="preserve"> </w:t>
      </w:r>
      <w:r w:rsidRPr="00A94554">
        <w:t>their</w:t>
      </w:r>
      <w:r>
        <w:t xml:space="preserve"> </w:t>
      </w:r>
      <w:r w:rsidRPr="00A94554">
        <w:t>families</w:t>
      </w:r>
      <w:r>
        <w:t xml:space="preserve"> </w:t>
      </w:r>
      <w:r w:rsidRPr="00A94554">
        <w:t>often</w:t>
      </w:r>
      <w:r>
        <w:t xml:space="preserve"> </w:t>
      </w:r>
      <w:r w:rsidRPr="00A94554">
        <w:t>encounter</w:t>
      </w:r>
      <w:r>
        <w:t xml:space="preserve"> </w:t>
      </w:r>
      <w:r w:rsidRPr="00A94554">
        <w:t>great</w:t>
      </w:r>
      <w:r>
        <w:t xml:space="preserve"> </w:t>
      </w:r>
      <w:r w:rsidRPr="00A94554">
        <w:t>uncertainties</w:t>
      </w:r>
      <w:r w:rsidRPr="00A94554">
        <w:t xml:space="preserve"> </w:t>
      </w:r>
      <w:r w:rsidRPr="00A94554">
        <w:t>and</w:t>
      </w:r>
      <w:r w:rsidRPr="00A94554">
        <w:t xml:space="preserve"> </w:t>
      </w:r>
      <w:r w:rsidRPr="00A94554">
        <w:t>tremendous</w:t>
      </w:r>
      <w:r w:rsidRPr="00A94554">
        <w:t xml:space="preserve"> </w:t>
      </w:r>
      <w:r w:rsidRPr="00A94554">
        <w:t>developmental</w:t>
      </w:r>
      <w:r w:rsidRPr="00A94554">
        <w:t xml:space="preserve"> </w:t>
      </w:r>
      <w:r w:rsidRPr="00A94554">
        <w:t>challenges.</w:t>
      </w:r>
      <w:r w:rsidRPr="00A94554">
        <w:t xml:space="preserve"> </w:t>
      </w:r>
      <w:r w:rsidRPr="00A94554">
        <w:t>These</w:t>
      </w:r>
      <w:r w:rsidRPr="00A94554">
        <w:t xml:space="preserve"> </w:t>
      </w:r>
      <w:r w:rsidRPr="00A94554">
        <w:t>issues</w:t>
      </w:r>
      <w:r w:rsidRPr="00A94554">
        <w:t xml:space="preserve"> </w:t>
      </w:r>
      <w:r w:rsidRPr="00A94554">
        <w:t>may</w:t>
      </w:r>
      <w:r w:rsidRPr="00A94554">
        <w:t xml:space="preserve"> </w:t>
      </w:r>
      <w:r w:rsidRPr="00A94554">
        <w:t>be</w:t>
      </w:r>
      <w:r w:rsidRPr="00A94554">
        <w:t xml:space="preserve"> </w:t>
      </w:r>
      <w:r w:rsidRPr="00A94554">
        <w:t>made</w:t>
      </w:r>
      <w:r w:rsidRPr="00A94554">
        <w:t xml:space="preserve"> </w:t>
      </w:r>
      <w:r w:rsidRPr="00A94554">
        <w:t>more</w:t>
      </w:r>
      <w:r w:rsidRPr="00A94554">
        <w:t xml:space="preserve"> </w:t>
      </w:r>
      <w:r w:rsidRPr="00A94554">
        <w:t>stressful</w:t>
      </w:r>
      <w:r w:rsidRPr="00A94554">
        <w:t xml:space="preserve"> </w:t>
      </w:r>
      <w:r w:rsidRPr="00A94554">
        <w:t>by</w:t>
      </w:r>
      <w:r w:rsidRPr="00A94554">
        <w:t xml:space="preserve"> </w:t>
      </w:r>
      <w:r w:rsidRPr="00A94554">
        <w:t xml:space="preserve">the </w:t>
      </w:r>
      <w:r w:rsidRPr="00A94554">
        <w:t>presence</w:t>
      </w:r>
      <w:r>
        <w:t xml:space="preserve"> </w:t>
      </w:r>
      <w:r w:rsidRPr="00A94554">
        <w:t>of</w:t>
      </w:r>
      <w:r>
        <w:t xml:space="preserve"> </w:t>
      </w:r>
      <w:r w:rsidRPr="00A94554">
        <w:t>disability, increasing</w:t>
      </w:r>
      <w:r>
        <w:t xml:space="preserve"> </w:t>
      </w:r>
      <w:r w:rsidRPr="00A94554">
        <w:t>the</w:t>
      </w:r>
      <w:r>
        <w:t xml:space="preserve"> </w:t>
      </w:r>
      <w:r w:rsidRPr="00A94554">
        <w:t>risk</w:t>
      </w:r>
      <w:r>
        <w:t xml:space="preserve"> </w:t>
      </w:r>
      <w:r w:rsidRPr="00A94554">
        <w:t>of</w:t>
      </w:r>
      <w:r>
        <w:t xml:space="preserve"> </w:t>
      </w:r>
      <w:r w:rsidRPr="00A94554">
        <w:t>social</w:t>
      </w:r>
      <w:r>
        <w:t xml:space="preserve"> </w:t>
      </w:r>
      <w:r w:rsidRPr="00A94554">
        <w:t>exclusion</w:t>
      </w:r>
      <w:r>
        <w:t xml:space="preserve"> </w:t>
      </w:r>
      <w:r w:rsidRPr="00A94554">
        <w:t>among</w:t>
      </w:r>
      <w:r>
        <w:t xml:space="preserve"> </w:t>
      </w:r>
      <w:r w:rsidRPr="00A94554">
        <w:t>those</w:t>
      </w:r>
      <w:r>
        <w:t xml:space="preserve"> </w:t>
      </w:r>
      <w:r w:rsidRPr="00A94554">
        <w:t>young</w:t>
      </w:r>
      <w:r>
        <w:t xml:space="preserve"> </w:t>
      </w:r>
      <w:r w:rsidRPr="00A94554">
        <w:t>people</w:t>
      </w:r>
      <w:r>
        <w:t xml:space="preserve"> </w:t>
      </w:r>
      <w:r w:rsidRPr="00A94554">
        <w:t>who</w:t>
      </w:r>
      <w:r>
        <w:t xml:space="preserve"> </w:t>
      </w:r>
      <w:r w:rsidRPr="00A94554">
        <w:t xml:space="preserve">are </w:t>
      </w:r>
      <w:r w:rsidRPr="00A94554">
        <w:t>transitioning</w:t>
      </w:r>
      <w:r w:rsidRPr="00A94554">
        <w:t xml:space="preserve"> </w:t>
      </w:r>
      <w:r w:rsidRPr="00A94554">
        <w:t>and</w:t>
      </w:r>
      <w:r w:rsidRPr="00A94554">
        <w:t xml:space="preserve"> </w:t>
      </w:r>
      <w:r w:rsidRPr="00A94554">
        <w:t>have</w:t>
      </w:r>
      <w:r w:rsidRPr="00A94554">
        <w:t xml:space="preserve"> </w:t>
      </w:r>
      <w:r w:rsidRPr="00A94554">
        <w:t>disability.</w:t>
      </w:r>
      <w:r w:rsidRPr="00A94554">
        <w:t>26,27</w:t>
      </w:r>
    </w:p>
    <w:p w14:paraId="5546FFDF" w14:textId="77777777" w:rsidR="00DC2449" w:rsidRDefault="00BF173D" w:rsidP="00A94554">
      <w:pPr>
        <w:pStyle w:val="BodyText"/>
        <w:spacing w:before="177"/>
        <w:ind w:left="850"/>
      </w:pPr>
      <w:r w:rsidRPr="00A94554">
        <w:t xml:space="preserve">This complexity of school transition requires a multifaceted approach that is coordinated with </w:t>
      </w:r>
      <w:r>
        <w:t>early</w:t>
      </w:r>
      <w:r w:rsidRPr="00A94554">
        <w:t xml:space="preserve"> </w:t>
      </w:r>
      <w:r>
        <w:t>intervention.</w:t>
      </w:r>
      <w:r w:rsidRPr="00A94554">
        <w:t>28</w:t>
      </w:r>
      <w:r w:rsidRPr="00A94554">
        <w:t xml:space="preserve"> </w:t>
      </w:r>
      <w:r w:rsidRPr="00A94554">
        <w:t>We</w:t>
      </w:r>
      <w:r w:rsidRPr="00A94554">
        <w:t xml:space="preserve"> </w:t>
      </w:r>
      <w:r w:rsidRPr="00A94554">
        <w:t>know</w:t>
      </w:r>
      <w:r w:rsidRPr="00A94554">
        <w:t xml:space="preserve"> </w:t>
      </w:r>
      <w:r w:rsidRPr="00A94554">
        <w:t>that</w:t>
      </w:r>
      <w:r w:rsidRPr="00A94554">
        <w:t xml:space="preserve"> </w:t>
      </w:r>
      <w:r w:rsidRPr="00A94554">
        <w:t>a</w:t>
      </w:r>
      <w:r w:rsidRPr="00A94554">
        <w:t xml:space="preserve"> </w:t>
      </w:r>
      <w:r w:rsidRPr="00A94554">
        <w:t>‘one</w:t>
      </w:r>
      <w:r w:rsidRPr="00A94554">
        <w:t xml:space="preserve"> </w:t>
      </w:r>
      <w:r w:rsidRPr="00A94554">
        <w:t>size</w:t>
      </w:r>
      <w:r w:rsidRPr="00A94554">
        <w:t xml:space="preserve"> </w:t>
      </w:r>
      <w:r w:rsidRPr="00A94554">
        <w:t>fits</w:t>
      </w:r>
      <w:r w:rsidRPr="00A94554">
        <w:t xml:space="preserve"> </w:t>
      </w:r>
      <w:r w:rsidRPr="00A94554">
        <w:t>all’</w:t>
      </w:r>
      <w:r w:rsidRPr="00A94554">
        <w:t xml:space="preserve"> </w:t>
      </w:r>
      <w:r w:rsidRPr="00A94554">
        <w:t>approach</w:t>
      </w:r>
      <w:r w:rsidRPr="00A94554">
        <w:t xml:space="preserve"> </w:t>
      </w:r>
      <w:r w:rsidRPr="00A94554">
        <w:t>does</w:t>
      </w:r>
      <w:r w:rsidRPr="00A94554">
        <w:t xml:space="preserve"> </w:t>
      </w:r>
      <w:r w:rsidRPr="00A94554">
        <w:t>not</w:t>
      </w:r>
      <w:r w:rsidRPr="00A94554">
        <w:t xml:space="preserve"> </w:t>
      </w:r>
      <w:r w:rsidRPr="00A94554">
        <w:t>work</w:t>
      </w:r>
      <w:r w:rsidRPr="00A94554">
        <w:t xml:space="preserve"> </w:t>
      </w:r>
      <w:r w:rsidRPr="00A94554">
        <w:t>for</w:t>
      </w:r>
      <w:r w:rsidRPr="00A94554">
        <w:t xml:space="preserve"> </w:t>
      </w:r>
      <w:r w:rsidRPr="00A94554">
        <w:t>any</w:t>
      </w:r>
      <w:r w:rsidRPr="00A94554">
        <w:t xml:space="preserve"> </w:t>
      </w:r>
      <w:r w:rsidRPr="00A94554">
        <w:t xml:space="preserve">young </w:t>
      </w:r>
      <w:r w:rsidRPr="00A94554">
        <w:t>person, let alone a young person with disability.</w:t>
      </w:r>
    </w:p>
    <w:p w14:paraId="5546FFE0" w14:textId="77777777" w:rsidR="00DC2449" w:rsidRDefault="00BF173D" w:rsidP="00A94554">
      <w:pPr>
        <w:pStyle w:val="BodyText"/>
        <w:spacing w:before="177"/>
        <w:ind w:left="850"/>
      </w:pPr>
      <w:r w:rsidRPr="00A94554">
        <w:t>We</w:t>
      </w:r>
      <w:r w:rsidRPr="00A94554">
        <w:t xml:space="preserve"> </w:t>
      </w:r>
      <w:r w:rsidRPr="00A94554">
        <w:t>are</w:t>
      </w:r>
      <w:r w:rsidRPr="00A94554">
        <w:t xml:space="preserve"> </w:t>
      </w:r>
      <w:r w:rsidRPr="00A94554">
        <w:t>encouraged</w:t>
      </w:r>
      <w:r w:rsidRPr="00A94554">
        <w:t xml:space="preserve"> </w:t>
      </w:r>
      <w:r w:rsidRPr="00A94554">
        <w:t>that</w:t>
      </w:r>
      <w:r w:rsidRPr="00A94554">
        <w:t xml:space="preserve"> </w:t>
      </w:r>
      <w:r w:rsidRPr="00A94554">
        <w:t>the</w:t>
      </w:r>
      <w:r w:rsidRPr="00A94554">
        <w:t xml:space="preserve"> </w:t>
      </w:r>
      <w:r w:rsidRPr="00A94554">
        <w:t>NDIA</w:t>
      </w:r>
      <w:r w:rsidRPr="00A94554">
        <w:t xml:space="preserve"> </w:t>
      </w:r>
      <w:r w:rsidRPr="00A94554">
        <w:t>is</w:t>
      </w:r>
      <w:r w:rsidRPr="00A94554">
        <w:t xml:space="preserve"> </w:t>
      </w:r>
      <w:r w:rsidRPr="00A94554">
        <w:t>investing</w:t>
      </w:r>
      <w:r w:rsidRPr="00A94554">
        <w:t xml:space="preserve"> </w:t>
      </w:r>
      <w:r w:rsidRPr="00A94554">
        <w:t>in</w:t>
      </w:r>
      <w:r w:rsidRPr="00A94554">
        <w:t xml:space="preserve"> </w:t>
      </w:r>
      <w:r w:rsidRPr="00A94554">
        <w:t>support</w:t>
      </w:r>
      <w:r w:rsidRPr="00A94554">
        <w:t xml:space="preserve"> </w:t>
      </w:r>
      <w:r w:rsidRPr="00A94554">
        <w:t>for</w:t>
      </w:r>
      <w:r w:rsidRPr="00A94554">
        <w:t xml:space="preserve"> </w:t>
      </w:r>
      <w:r w:rsidRPr="00A94554">
        <w:t>transition</w:t>
      </w:r>
      <w:r w:rsidRPr="00A94554">
        <w:t xml:space="preserve"> </w:t>
      </w:r>
      <w:r w:rsidRPr="00A94554">
        <w:t>for</w:t>
      </w:r>
      <w:r w:rsidRPr="00A94554">
        <w:t xml:space="preserve"> </w:t>
      </w:r>
      <w:r w:rsidRPr="00A94554">
        <w:t>young</w:t>
      </w:r>
      <w:r w:rsidRPr="00A94554">
        <w:t xml:space="preserve"> </w:t>
      </w:r>
      <w:r w:rsidRPr="00A94554">
        <w:t>people</w:t>
      </w:r>
      <w:r w:rsidRPr="00A94554">
        <w:t xml:space="preserve"> </w:t>
      </w:r>
      <w:r w:rsidRPr="00A94554">
        <w:t>with disability.</w:t>
      </w:r>
      <w:r w:rsidRPr="00A94554">
        <w:t xml:space="preserve"> </w:t>
      </w:r>
      <w:r w:rsidRPr="00A94554">
        <w:t>The impact of young people with disability making a successful transition from education</w:t>
      </w:r>
      <w:r w:rsidRPr="00A94554">
        <w:t xml:space="preserve"> </w:t>
      </w:r>
      <w:r w:rsidRPr="00A94554">
        <w:t>to</w:t>
      </w:r>
      <w:r w:rsidRPr="00A94554">
        <w:t xml:space="preserve"> </w:t>
      </w:r>
      <w:r w:rsidRPr="00A94554">
        <w:t>work</w:t>
      </w:r>
      <w:r w:rsidRPr="00A94554">
        <w:t xml:space="preserve"> </w:t>
      </w:r>
      <w:r w:rsidRPr="00A94554">
        <w:t>is</w:t>
      </w:r>
      <w:r w:rsidRPr="00A94554">
        <w:t xml:space="preserve"> </w:t>
      </w:r>
      <w:r w:rsidRPr="00A94554">
        <w:t>critical</w:t>
      </w:r>
      <w:r w:rsidRPr="00A94554">
        <w:t xml:space="preserve"> </w:t>
      </w:r>
      <w:r w:rsidRPr="00A94554">
        <w:t>and</w:t>
      </w:r>
      <w:r w:rsidRPr="00A94554">
        <w:t xml:space="preserve"> </w:t>
      </w:r>
      <w:r w:rsidRPr="00A94554">
        <w:t>can</w:t>
      </w:r>
      <w:r w:rsidRPr="00A94554">
        <w:t xml:space="preserve"> </w:t>
      </w:r>
      <w:r w:rsidRPr="00A94554">
        <w:t>greatly</w:t>
      </w:r>
      <w:r w:rsidRPr="00A94554">
        <w:t xml:space="preserve"> </w:t>
      </w:r>
      <w:r w:rsidRPr="00A94554">
        <w:t>improve</w:t>
      </w:r>
      <w:r w:rsidRPr="00A94554">
        <w:t xml:space="preserve"> </w:t>
      </w:r>
      <w:r w:rsidRPr="00A94554">
        <w:t>their</w:t>
      </w:r>
      <w:r w:rsidRPr="00A94554">
        <w:t xml:space="preserve"> </w:t>
      </w:r>
      <w:r w:rsidRPr="00A94554">
        <w:t>long-term</w:t>
      </w:r>
      <w:r w:rsidRPr="00A94554">
        <w:t xml:space="preserve"> </w:t>
      </w:r>
      <w:r w:rsidRPr="00A94554">
        <w:t>economic</w:t>
      </w:r>
      <w:r w:rsidRPr="00A94554">
        <w:t xml:space="preserve"> </w:t>
      </w:r>
      <w:r w:rsidRPr="00A94554">
        <w:t>future,</w:t>
      </w:r>
      <w:r w:rsidRPr="00A94554">
        <w:t xml:space="preserve"> </w:t>
      </w:r>
      <w:r w:rsidRPr="00A94554">
        <w:t>wellbeing and inclusion in society.</w:t>
      </w:r>
      <w:r w:rsidRPr="00A94554">
        <w:t xml:space="preserve"> </w:t>
      </w:r>
      <w:r w:rsidRPr="00A94554">
        <w:t xml:space="preserve">Those who do not make a successful transition are at greater risk of </w:t>
      </w:r>
      <w:proofErr w:type="spellStart"/>
      <w:r w:rsidRPr="00A94554">
        <w:t>labour</w:t>
      </w:r>
      <w:proofErr w:type="spellEnd"/>
      <w:r w:rsidRPr="00A94554">
        <w:t xml:space="preserve"> force and social exclusion,</w:t>
      </w:r>
      <w:r w:rsidRPr="00A94554">
        <w:t xml:space="preserve"> </w:t>
      </w:r>
      <w:r w:rsidRPr="00A94554">
        <w:t>as well physical and mental health risks.</w:t>
      </w:r>
    </w:p>
    <w:p w14:paraId="5546FFE1" w14:textId="77777777" w:rsidR="00DC2449" w:rsidRDefault="00BF173D" w:rsidP="00A94554">
      <w:pPr>
        <w:pStyle w:val="BodyText"/>
        <w:spacing w:before="177"/>
        <w:ind w:left="850"/>
      </w:pPr>
      <w:r w:rsidRPr="00A94554">
        <w:t>Through</w:t>
      </w:r>
      <w:r w:rsidRPr="00A94554">
        <w:t xml:space="preserve"> </w:t>
      </w:r>
      <w:r w:rsidRPr="00A94554">
        <w:t>continued</w:t>
      </w:r>
      <w:r w:rsidRPr="00A94554">
        <w:t xml:space="preserve"> </w:t>
      </w:r>
      <w:r w:rsidRPr="00A94554">
        <w:t>attention</w:t>
      </w:r>
      <w:r w:rsidRPr="00A94554">
        <w:t xml:space="preserve"> </w:t>
      </w:r>
      <w:r w:rsidRPr="00A94554">
        <w:t>to</w:t>
      </w:r>
      <w:r w:rsidRPr="00A94554">
        <w:t xml:space="preserve"> </w:t>
      </w:r>
      <w:r w:rsidRPr="00A94554">
        <w:t>establishing</w:t>
      </w:r>
      <w:r w:rsidRPr="00A94554">
        <w:t xml:space="preserve"> </w:t>
      </w:r>
      <w:r w:rsidRPr="00A94554">
        <w:t>effective</w:t>
      </w:r>
      <w:r w:rsidRPr="00A94554">
        <w:t xml:space="preserve"> </w:t>
      </w:r>
      <w:r w:rsidRPr="00A94554">
        <w:t>transition</w:t>
      </w:r>
      <w:r w:rsidRPr="00A94554">
        <w:t xml:space="preserve"> </w:t>
      </w:r>
      <w:r w:rsidRPr="00A94554">
        <w:t>services</w:t>
      </w:r>
      <w:r w:rsidRPr="00A94554">
        <w:t xml:space="preserve"> </w:t>
      </w:r>
      <w:r w:rsidRPr="00A94554">
        <w:t>flexible</w:t>
      </w:r>
      <w:r w:rsidRPr="00A94554">
        <w:t xml:space="preserve"> </w:t>
      </w:r>
      <w:r w:rsidRPr="00A94554">
        <w:t>enough</w:t>
      </w:r>
      <w:r w:rsidRPr="00A94554">
        <w:t xml:space="preserve"> </w:t>
      </w:r>
      <w:r w:rsidRPr="00A94554">
        <w:t>to</w:t>
      </w:r>
      <w:r w:rsidRPr="00A94554">
        <w:t xml:space="preserve"> </w:t>
      </w:r>
      <w:r w:rsidRPr="00A94554">
        <w:t>meet individual students’ needs,</w:t>
      </w:r>
      <w:r w:rsidRPr="00A94554">
        <w:t xml:space="preserve"> </w:t>
      </w:r>
      <w:r w:rsidRPr="00A94554">
        <w:t>we can arm young people with information and opportunities with which</w:t>
      </w:r>
      <w:r w:rsidRPr="00A94554">
        <w:t xml:space="preserve"> </w:t>
      </w:r>
      <w:r w:rsidRPr="00A94554">
        <w:t>they</w:t>
      </w:r>
      <w:r w:rsidRPr="00A94554">
        <w:t xml:space="preserve"> </w:t>
      </w:r>
      <w:r w:rsidRPr="00A94554">
        <w:t>can</w:t>
      </w:r>
      <w:r w:rsidRPr="00A94554">
        <w:t xml:space="preserve"> </w:t>
      </w:r>
      <w:r w:rsidRPr="00A94554">
        <w:t>build</w:t>
      </w:r>
      <w:r w:rsidRPr="00A94554">
        <w:t xml:space="preserve"> </w:t>
      </w:r>
      <w:r w:rsidRPr="00A94554">
        <w:t>their</w:t>
      </w:r>
      <w:r w:rsidRPr="00A94554">
        <w:t xml:space="preserve"> </w:t>
      </w:r>
      <w:r w:rsidRPr="00A94554">
        <w:t>futures.</w:t>
      </w:r>
      <w:r w:rsidRPr="00A94554">
        <w:t xml:space="preserve"> </w:t>
      </w:r>
      <w:r w:rsidRPr="00A94554">
        <w:t>Indeed,</w:t>
      </w:r>
      <w:r w:rsidRPr="00A94554">
        <w:t xml:space="preserve"> </w:t>
      </w:r>
      <w:r w:rsidRPr="00A94554">
        <w:t>effective</w:t>
      </w:r>
      <w:r w:rsidRPr="00A94554">
        <w:t xml:space="preserve"> </w:t>
      </w:r>
      <w:r w:rsidRPr="00A94554">
        <w:t>transition</w:t>
      </w:r>
      <w:r w:rsidRPr="00A94554">
        <w:t xml:space="preserve"> </w:t>
      </w:r>
      <w:r w:rsidRPr="00A94554">
        <w:t>of</w:t>
      </w:r>
      <w:r w:rsidRPr="00A94554">
        <w:t xml:space="preserve"> </w:t>
      </w:r>
      <w:r w:rsidRPr="00A94554">
        <w:t>young</w:t>
      </w:r>
      <w:r w:rsidRPr="00A94554">
        <w:t xml:space="preserve"> </w:t>
      </w:r>
      <w:r w:rsidRPr="00A94554">
        <w:t>people</w:t>
      </w:r>
      <w:r w:rsidRPr="00A94554">
        <w:t xml:space="preserve"> </w:t>
      </w:r>
      <w:r w:rsidRPr="00A94554">
        <w:t>with</w:t>
      </w:r>
      <w:r w:rsidRPr="00A94554">
        <w:t xml:space="preserve"> </w:t>
      </w:r>
      <w:r w:rsidRPr="00A94554">
        <w:t>disability</w:t>
      </w:r>
      <w:r w:rsidRPr="00A94554">
        <w:t xml:space="preserve"> </w:t>
      </w:r>
      <w:r w:rsidRPr="00A94554">
        <w:t>will have a long-term impact on the financial sustainability of the NDIS.</w:t>
      </w:r>
    </w:p>
    <w:p w14:paraId="5546FFE8" w14:textId="0C42A678" w:rsidR="00DC2449" w:rsidRPr="00A94554" w:rsidRDefault="00BF173D" w:rsidP="001B09D6">
      <w:pPr>
        <w:pStyle w:val="BodyText"/>
        <w:spacing w:before="177"/>
        <w:ind w:left="850"/>
      </w:pPr>
      <w:r w:rsidRPr="00A94554">
        <w:t>NDS is keen to work with the NDIA to ensure that NDIS supports are effective in supporting young</w:t>
      </w:r>
      <w:r w:rsidRPr="00A94554">
        <w:t xml:space="preserve"> </w:t>
      </w:r>
      <w:r w:rsidRPr="00A94554">
        <w:t>people with disability to navigate this vital transition point.</w:t>
      </w:r>
    </w:p>
    <w:p w14:paraId="5546FFE9" w14:textId="77777777" w:rsidR="00DC2449" w:rsidRDefault="00BF173D" w:rsidP="00A94554">
      <w:pPr>
        <w:pStyle w:val="BodyText"/>
        <w:spacing w:before="177"/>
        <w:ind w:left="850"/>
      </w:pPr>
      <w:r w:rsidRPr="00A94554">
        <w:t>*</w:t>
      </w:r>
      <w:r w:rsidRPr="00A94554">
        <w:t xml:space="preserve">Note: </w:t>
      </w:r>
      <w:proofErr w:type="spellStart"/>
      <w:r w:rsidRPr="00A94554">
        <w:t>Customised</w:t>
      </w:r>
      <w:proofErr w:type="spellEnd"/>
      <w:r w:rsidRPr="00A94554">
        <w:t xml:space="preserve"> Employment is a flexible process designed to </w:t>
      </w:r>
      <w:proofErr w:type="spellStart"/>
      <w:r w:rsidRPr="00A94554">
        <w:t>personalise</w:t>
      </w:r>
      <w:proofErr w:type="spellEnd"/>
      <w:r w:rsidRPr="00A94554">
        <w:t xml:space="preserve"> the employmen</w:t>
      </w:r>
      <w:r w:rsidRPr="00A94554">
        <w:t>t</w:t>
      </w:r>
      <w:r w:rsidRPr="00A94554">
        <w:t xml:space="preserve"> </w:t>
      </w:r>
      <w:r w:rsidRPr="00A94554">
        <w:lastRenderedPageBreak/>
        <w:t>relationship between a job candidate or employee and an employer in a way that meets the needs of both. It is based on identifying the strengths, conditions, and interests of a job seeker through a process of discovery. Discovery is a process of gatherin</w:t>
      </w:r>
      <w:r w:rsidRPr="00A94554">
        <w:t xml:space="preserve">g information from the job seeker to determine the job seeker’s interests, skills, and preferences related to potential </w:t>
      </w:r>
      <w:r w:rsidRPr="00A94554">
        <w:t>employment</w:t>
      </w:r>
      <w:r w:rsidRPr="00A94554">
        <w:t xml:space="preserve"> </w:t>
      </w:r>
      <w:r w:rsidRPr="00A94554">
        <w:t>that</w:t>
      </w:r>
      <w:r w:rsidRPr="00A94554">
        <w:t xml:space="preserve"> </w:t>
      </w:r>
      <w:r w:rsidRPr="00A94554">
        <w:t>guide</w:t>
      </w:r>
      <w:r w:rsidRPr="00A94554">
        <w:t xml:space="preserve"> </w:t>
      </w:r>
      <w:r w:rsidRPr="00A94554">
        <w:t>the</w:t>
      </w:r>
      <w:r w:rsidRPr="00A94554">
        <w:t xml:space="preserve"> </w:t>
      </w:r>
      <w:r w:rsidRPr="00A94554">
        <w:t>development</w:t>
      </w:r>
      <w:r w:rsidRPr="00A94554">
        <w:t xml:space="preserve"> </w:t>
      </w:r>
      <w:r w:rsidRPr="00A94554">
        <w:t>of</w:t>
      </w:r>
      <w:r w:rsidRPr="00A94554">
        <w:t xml:space="preserve"> </w:t>
      </w:r>
      <w:r w:rsidRPr="00A94554">
        <w:t>a</w:t>
      </w:r>
      <w:r w:rsidRPr="00A94554">
        <w:t xml:space="preserve"> </w:t>
      </w:r>
      <w:r w:rsidRPr="00A94554">
        <w:t>customized</w:t>
      </w:r>
      <w:r w:rsidRPr="00A94554">
        <w:t xml:space="preserve"> </w:t>
      </w:r>
      <w:r w:rsidRPr="00A94554">
        <w:t>job.</w:t>
      </w:r>
      <w:r w:rsidRPr="00A94554">
        <w:t xml:space="preserve"> </w:t>
      </w:r>
      <w:r w:rsidRPr="00A94554">
        <w:t>See</w:t>
      </w:r>
      <w:r w:rsidRPr="00A94554">
        <w:t xml:space="preserve"> </w:t>
      </w:r>
      <w:hyperlink r:id="rId15">
        <w:r w:rsidRPr="00A94554">
          <w:t>www.dol.gov/odep/topics/</w:t>
        </w:r>
      </w:hyperlink>
      <w:r w:rsidRPr="00A94554">
        <w:t xml:space="preserve"> </w:t>
      </w:r>
      <w:hyperlink r:id="rId16">
        <w:r w:rsidRPr="00A94554">
          <w:t>CustomizedEmployment.htm</w:t>
        </w:r>
      </w:hyperlink>
    </w:p>
    <w:p w14:paraId="5546FFEB" w14:textId="77777777" w:rsidR="00DC2449" w:rsidRDefault="00DC2449">
      <w:pPr>
        <w:pStyle w:val="BodyText"/>
        <w:rPr>
          <w:sz w:val="20"/>
        </w:rPr>
      </w:pPr>
    </w:p>
    <w:p w14:paraId="5546FFEC" w14:textId="77777777" w:rsidR="00DC2449" w:rsidRDefault="00DC2449">
      <w:pPr>
        <w:pStyle w:val="BodyText"/>
        <w:rPr>
          <w:sz w:val="20"/>
        </w:rPr>
      </w:pPr>
    </w:p>
    <w:p w14:paraId="5546FFED" w14:textId="77777777" w:rsidR="00DC2449" w:rsidRDefault="00DC2449">
      <w:pPr>
        <w:pStyle w:val="BodyText"/>
        <w:spacing w:before="8"/>
        <w:rPr>
          <w:sz w:val="22"/>
        </w:rPr>
      </w:pPr>
    </w:p>
    <w:p w14:paraId="5546FFEE" w14:textId="77777777" w:rsidR="00DC2449" w:rsidRPr="00A94554" w:rsidRDefault="00BF173D">
      <w:pPr>
        <w:pStyle w:val="Heading3"/>
      </w:pPr>
      <w:r w:rsidRPr="00A94554">
        <w:t>December</w:t>
      </w:r>
      <w:r w:rsidRPr="00A94554">
        <w:t xml:space="preserve"> </w:t>
      </w:r>
      <w:r w:rsidRPr="00A94554">
        <w:t>2017</w:t>
      </w:r>
    </w:p>
    <w:p w14:paraId="5546FFEF" w14:textId="77777777" w:rsidR="00DC2449" w:rsidRPr="00A94554" w:rsidRDefault="00BF173D">
      <w:pPr>
        <w:pStyle w:val="BodyText"/>
        <w:spacing w:before="194" w:line="261" w:lineRule="auto"/>
        <w:ind w:left="850" w:right="2540"/>
      </w:pPr>
      <w:r w:rsidRPr="00A94554">
        <w:t>National</w:t>
      </w:r>
      <w:r w:rsidRPr="00A94554">
        <w:t xml:space="preserve"> </w:t>
      </w:r>
      <w:r w:rsidRPr="00A94554">
        <w:t>Disability</w:t>
      </w:r>
      <w:r w:rsidRPr="00A94554">
        <w:t xml:space="preserve"> </w:t>
      </w:r>
      <w:r w:rsidRPr="00A94554">
        <w:t>Services</w:t>
      </w:r>
      <w:r w:rsidRPr="00A94554">
        <w:t xml:space="preserve"> </w:t>
      </w:r>
      <w:r w:rsidRPr="00A94554">
        <w:t>is</w:t>
      </w:r>
      <w:r w:rsidRPr="00A94554">
        <w:t xml:space="preserve"> </w:t>
      </w:r>
      <w:r w:rsidRPr="00A94554">
        <w:t>the</w:t>
      </w:r>
      <w:r w:rsidRPr="00A94554">
        <w:t xml:space="preserve"> </w:t>
      </w:r>
      <w:r w:rsidRPr="00A94554">
        <w:t>peak</w:t>
      </w:r>
      <w:r w:rsidRPr="00A94554">
        <w:t xml:space="preserve"> </w:t>
      </w:r>
      <w:r w:rsidRPr="00A94554">
        <w:t>industry</w:t>
      </w:r>
      <w:r w:rsidRPr="00A94554">
        <w:t xml:space="preserve"> </w:t>
      </w:r>
      <w:r w:rsidRPr="00A94554">
        <w:t>body</w:t>
      </w:r>
      <w:r w:rsidRPr="00A94554">
        <w:t xml:space="preserve"> </w:t>
      </w:r>
      <w:r w:rsidRPr="00A94554">
        <w:t>for</w:t>
      </w:r>
      <w:r w:rsidRPr="00A94554">
        <w:t xml:space="preserve"> </w:t>
      </w:r>
      <w:r w:rsidRPr="00A94554">
        <w:t>non-government</w:t>
      </w:r>
      <w:r w:rsidRPr="00A94554">
        <w:t xml:space="preserve"> </w:t>
      </w:r>
      <w:r w:rsidRPr="00A94554">
        <w:t>disability</w:t>
      </w:r>
      <w:r w:rsidRPr="00A94554">
        <w:t xml:space="preserve"> </w:t>
      </w:r>
      <w:r w:rsidRPr="00A94554">
        <w:t xml:space="preserve">services. </w:t>
      </w:r>
      <w:r w:rsidRPr="00A94554">
        <w:t xml:space="preserve">It represents service providers across Australia in their work to deliver high-quality supports and life opportunities for people with disability. Its Australia-wide membership includes around 1000 </w:t>
      </w:r>
      <w:r w:rsidRPr="00A94554">
        <w:t xml:space="preserve">non-government </w:t>
      </w:r>
      <w:proofErr w:type="spellStart"/>
      <w:r w:rsidRPr="00A94554">
        <w:t>organisations</w:t>
      </w:r>
      <w:proofErr w:type="spellEnd"/>
      <w:r w:rsidRPr="00A94554">
        <w:t xml:space="preserve"> which support peopl</w:t>
      </w:r>
      <w:r w:rsidRPr="00A94554">
        <w:t>e with all forms of disability.</w:t>
      </w:r>
      <w:r w:rsidRPr="00A94554">
        <w:t xml:space="preserve"> </w:t>
      </w:r>
      <w:r w:rsidRPr="00A94554">
        <w:t>Its members collectively provide the full range of disability services - from accommodation support,</w:t>
      </w:r>
      <w:r w:rsidRPr="00A94554">
        <w:t xml:space="preserve"> </w:t>
      </w:r>
      <w:r w:rsidRPr="00A94554">
        <w:t>respite and therapy to community access and employment.</w:t>
      </w:r>
      <w:r w:rsidRPr="00A94554">
        <w:t xml:space="preserve"> </w:t>
      </w:r>
      <w:r w:rsidRPr="00A94554">
        <w:t xml:space="preserve">NDS provides information and networking </w:t>
      </w:r>
      <w:r w:rsidRPr="00A94554">
        <w:t>opportunities to its member</w:t>
      </w:r>
      <w:r w:rsidRPr="00A94554">
        <w:t>s and policy advice to State,</w:t>
      </w:r>
      <w:r w:rsidRPr="00A94554">
        <w:t xml:space="preserve"> </w:t>
      </w:r>
      <w:r w:rsidRPr="00A94554">
        <w:t>Territory and Federal governments.</w:t>
      </w:r>
    </w:p>
    <w:p w14:paraId="5546FFF0" w14:textId="77777777" w:rsidR="00DC2449" w:rsidRPr="00A94554" w:rsidRDefault="00BF173D" w:rsidP="00A94554">
      <w:pPr>
        <w:pStyle w:val="Heading1"/>
        <w:spacing w:before="228"/>
        <w:rPr>
          <w:color w:val="000000" w:themeColor="text1"/>
          <w:spacing w:val="-2"/>
        </w:rPr>
      </w:pPr>
      <w:bookmarkStart w:id="12" w:name="_TOC_250001"/>
      <w:bookmarkEnd w:id="12"/>
      <w:r w:rsidRPr="00A94554">
        <w:rPr>
          <w:color w:val="000000" w:themeColor="text1"/>
          <w:spacing w:val="-2"/>
        </w:rPr>
        <w:t>Contact</w:t>
      </w:r>
    </w:p>
    <w:p w14:paraId="5546FFF1" w14:textId="77777777" w:rsidR="00DC2449" w:rsidRDefault="00BF173D">
      <w:pPr>
        <w:pStyle w:val="Heading3"/>
        <w:spacing w:before="192"/>
      </w:pPr>
      <w:r>
        <w:rPr>
          <w:w w:val="80"/>
        </w:rPr>
        <w:t>Kerrie</w:t>
      </w:r>
      <w:r>
        <w:rPr>
          <w:spacing w:val="-4"/>
        </w:rPr>
        <w:t xml:space="preserve"> </w:t>
      </w:r>
      <w:r>
        <w:rPr>
          <w:spacing w:val="-2"/>
          <w:w w:val="90"/>
        </w:rPr>
        <w:t>Langford</w:t>
      </w:r>
    </w:p>
    <w:p w14:paraId="5546FFF2" w14:textId="77777777" w:rsidR="00DC2449" w:rsidRDefault="00BF173D">
      <w:pPr>
        <w:pStyle w:val="BodyText"/>
        <w:tabs>
          <w:tab w:val="left" w:pos="1570"/>
        </w:tabs>
        <w:spacing w:before="24" w:line="261" w:lineRule="auto"/>
        <w:ind w:left="850" w:right="8322"/>
        <w:rPr>
          <w:rFonts w:ascii="Arial Narrow"/>
        </w:rPr>
      </w:pPr>
      <w:r>
        <w:rPr>
          <w:rFonts w:ascii="Arial Narrow"/>
        </w:rPr>
        <w:t>National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Employment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Manager </w:t>
      </w:r>
      <w:r>
        <w:rPr>
          <w:rFonts w:ascii="Arial Narrow"/>
          <w:spacing w:val="-4"/>
        </w:rPr>
        <w:t>Ph:</w:t>
      </w:r>
      <w:r>
        <w:rPr>
          <w:rFonts w:ascii="Arial Narrow"/>
        </w:rPr>
        <w:tab/>
        <w:t>02 6283 3202</w:t>
      </w:r>
    </w:p>
    <w:p w14:paraId="5546FFF3" w14:textId="77777777" w:rsidR="00DC2449" w:rsidRDefault="00BF173D">
      <w:pPr>
        <w:pStyle w:val="BodyText"/>
        <w:tabs>
          <w:tab w:val="left" w:pos="1570"/>
        </w:tabs>
        <w:spacing w:line="275" w:lineRule="exact"/>
        <w:ind w:left="850"/>
        <w:rPr>
          <w:rFonts w:ascii="Arial Narrow"/>
        </w:rPr>
      </w:pPr>
      <w:r>
        <w:rPr>
          <w:rFonts w:ascii="Arial Narrow"/>
          <w:spacing w:val="-4"/>
          <w:w w:val="105"/>
        </w:rPr>
        <w:t>Mob:</w:t>
      </w:r>
      <w:r>
        <w:rPr>
          <w:rFonts w:ascii="Arial Narrow"/>
        </w:rPr>
        <w:tab/>
      </w:r>
      <w:r>
        <w:rPr>
          <w:rFonts w:ascii="Arial Narrow"/>
          <w:w w:val="105"/>
        </w:rPr>
        <w:t>0448</w:t>
      </w:r>
      <w:r>
        <w:rPr>
          <w:rFonts w:ascii="Arial Narrow"/>
          <w:spacing w:val="-1"/>
          <w:w w:val="105"/>
        </w:rPr>
        <w:t xml:space="preserve"> </w:t>
      </w:r>
      <w:r>
        <w:rPr>
          <w:rFonts w:ascii="Arial Narrow"/>
          <w:w w:val="105"/>
        </w:rPr>
        <w:t>249</w:t>
      </w:r>
      <w:r>
        <w:rPr>
          <w:rFonts w:ascii="Arial Narrow"/>
          <w:spacing w:val="-1"/>
          <w:w w:val="105"/>
        </w:rPr>
        <w:t xml:space="preserve"> </w:t>
      </w:r>
      <w:r>
        <w:rPr>
          <w:rFonts w:ascii="Arial Narrow"/>
          <w:spacing w:val="-5"/>
          <w:w w:val="105"/>
        </w:rPr>
        <w:t>150</w:t>
      </w:r>
    </w:p>
    <w:p w14:paraId="5546FFF4" w14:textId="77777777" w:rsidR="00DC2449" w:rsidRDefault="00BF173D">
      <w:pPr>
        <w:pStyle w:val="BodyText"/>
        <w:spacing w:before="25"/>
        <w:ind w:left="850"/>
      </w:pPr>
      <w:r>
        <w:rPr>
          <w:w w:val="90"/>
        </w:rPr>
        <w:t>Email:</w:t>
      </w:r>
      <w:r>
        <w:rPr>
          <w:spacing w:val="45"/>
        </w:rPr>
        <w:t xml:space="preserve"> </w:t>
      </w:r>
      <w:hyperlink r:id="rId17">
        <w:r>
          <w:rPr>
            <w:spacing w:val="-2"/>
            <w:w w:val="90"/>
          </w:rPr>
          <w:t>kerrie.langford@nds.org.au</w:t>
        </w:r>
      </w:hyperlink>
    </w:p>
    <w:p w14:paraId="5546FFF5" w14:textId="77777777" w:rsidR="00DC2449" w:rsidRDefault="00BF173D">
      <w:pPr>
        <w:pStyle w:val="Heading3"/>
        <w:spacing w:before="194"/>
      </w:pPr>
      <w:r>
        <w:rPr>
          <w:w w:val="80"/>
        </w:rPr>
        <w:t>Michelle</w:t>
      </w:r>
      <w:r>
        <w:rPr>
          <w:spacing w:val="27"/>
        </w:rPr>
        <w:t xml:space="preserve"> </w:t>
      </w:r>
      <w:r>
        <w:rPr>
          <w:spacing w:val="-2"/>
          <w:w w:val="95"/>
        </w:rPr>
        <w:t>Wakeford</w:t>
      </w:r>
    </w:p>
    <w:p w14:paraId="5546FFF6" w14:textId="77777777" w:rsidR="00DC2449" w:rsidRDefault="00BF173D">
      <w:pPr>
        <w:pStyle w:val="BodyText"/>
        <w:tabs>
          <w:tab w:val="left" w:pos="1570"/>
        </w:tabs>
        <w:spacing w:before="24" w:line="261" w:lineRule="auto"/>
        <w:ind w:left="850" w:right="8174"/>
        <w:rPr>
          <w:rFonts w:ascii="Arial Narrow"/>
        </w:rPr>
      </w:pPr>
      <w:r>
        <w:rPr>
          <w:rFonts w:ascii="Arial Narrow"/>
        </w:rPr>
        <w:t>National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Ticket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Work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Manager </w:t>
      </w:r>
      <w:r>
        <w:rPr>
          <w:rFonts w:ascii="Arial Narrow"/>
          <w:spacing w:val="-4"/>
        </w:rPr>
        <w:t>Mob:</w:t>
      </w:r>
      <w:r>
        <w:rPr>
          <w:rFonts w:ascii="Arial Narrow"/>
        </w:rPr>
        <w:tab/>
        <w:t>0413 750 745</w:t>
      </w:r>
    </w:p>
    <w:p w14:paraId="5546FFF7" w14:textId="77777777" w:rsidR="00DC2449" w:rsidRDefault="00BF173D">
      <w:pPr>
        <w:pStyle w:val="BodyText"/>
        <w:spacing w:line="275" w:lineRule="exact"/>
        <w:ind w:left="850"/>
        <w:rPr>
          <w:rFonts w:ascii="Arial Narrow"/>
        </w:rPr>
      </w:pPr>
      <w:r>
        <w:rPr>
          <w:rFonts w:ascii="Arial Narrow"/>
        </w:rPr>
        <w:t>Email:</w:t>
      </w:r>
      <w:r>
        <w:rPr>
          <w:rFonts w:ascii="Arial Narrow"/>
          <w:spacing w:val="28"/>
        </w:rPr>
        <w:t xml:space="preserve">  </w:t>
      </w:r>
      <w:hyperlink r:id="rId18">
        <w:r>
          <w:rPr>
            <w:rFonts w:ascii="Arial Narrow"/>
            <w:spacing w:val="-2"/>
          </w:rPr>
          <w:t>Michelle@tickettowork.org.au</w:t>
        </w:r>
      </w:hyperlink>
    </w:p>
    <w:p w14:paraId="5546FFF8" w14:textId="77777777" w:rsidR="00DC2449" w:rsidRDefault="00DC2449">
      <w:pPr>
        <w:spacing w:line="275" w:lineRule="exact"/>
        <w:rPr>
          <w:rFonts w:ascii="Arial Narrow"/>
        </w:rPr>
        <w:sectPr w:rsidR="00DC2449">
          <w:pgSz w:w="11910" w:h="16840"/>
          <w:pgMar w:top="1540" w:right="0" w:bottom="280" w:left="0" w:header="780" w:footer="0" w:gutter="0"/>
          <w:cols w:space="720"/>
        </w:sectPr>
      </w:pPr>
    </w:p>
    <w:p w14:paraId="5546FFF9" w14:textId="77777777" w:rsidR="00DC2449" w:rsidRDefault="00DC2449">
      <w:pPr>
        <w:pStyle w:val="BodyText"/>
        <w:rPr>
          <w:rFonts w:ascii="Arial Narrow"/>
          <w:sz w:val="20"/>
        </w:rPr>
      </w:pPr>
    </w:p>
    <w:p w14:paraId="5546FFFA" w14:textId="77777777" w:rsidR="00DC2449" w:rsidRDefault="00DC2449">
      <w:pPr>
        <w:pStyle w:val="BodyText"/>
        <w:rPr>
          <w:rFonts w:ascii="Arial Narrow"/>
          <w:sz w:val="20"/>
        </w:rPr>
      </w:pPr>
    </w:p>
    <w:p w14:paraId="5546FFFB" w14:textId="77777777" w:rsidR="00DC2449" w:rsidRDefault="00DC2449">
      <w:pPr>
        <w:pStyle w:val="BodyText"/>
        <w:spacing w:before="6"/>
        <w:rPr>
          <w:rFonts w:ascii="Arial Narrow"/>
          <w:sz w:val="18"/>
        </w:rPr>
      </w:pPr>
    </w:p>
    <w:p w14:paraId="5546FFFC" w14:textId="77777777" w:rsidR="00DC2449" w:rsidRPr="00A94554" w:rsidRDefault="00BF173D">
      <w:pPr>
        <w:pStyle w:val="Heading1"/>
        <w:rPr>
          <w:color w:val="000000" w:themeColor="text1"/>
        </w:rPr>
      </w:pPr>
      <w:bookmarkStart w:id="13" w:name="_TOC_250000"/>
      <w:bookmarkEnd w:id="13"/>
      <w:r w:rsidRPr="00A94554">
        <w:rPr>
          <w:color w:val="000000" w:themeColor="text1"/>
          <w:spacing w:val="-2"/>
        </w:rPr>
        <w:t>References</w:t>
      </w:r>
    </w:p>
    <w:p w14:paraId="5546FFFD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305" w:line="261" w:lineRule="auto"/>
        <w:ind w:right="2477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Emerson E. &amp; Llewellyn G. (2014) Left Behind: 2014. Monitoring the Social Inclusion of Young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Australians with Disabilities.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Technical Report 1,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2014.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Centre for Disability Research</w:t>
      </w:r>
      <w:r w:rsidRPr="00A94554">
        <w:rPr>
          <w:rFonts w:ascii="Arial" w:hAnsi="Arial" w:cs="Arial"/>
          <w:sz w:val="24"/>
        </w:rPr>
        <w:t xml:space="preserve"> and Policy, University of Sydney, Sydney</w:t>
      </w:r>
    </w:p>
    <w:p w14:paraId="5546FFFE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2" w:line="261" w:lineRule="auto"/>
        <w:ind w:right="2556"/>
        <w:rPr>
          <w:rFonts w:ascii="Arial" w:hAnsi="Arial" w:cs="Arial"/>
          <w:sz w:val="24"/>
        </w:rPr>
      </w:pPr>
      <w:proofErr w:type="spellStart"/>
      <w:r w:rsidRPr="00A94554">
        <w:rPr>
          <w:rFonts w:ascii="Arial" w:hAnsi="Arial" w:cs="Arial"/>
          <w:sz w:val="24"/>
        </w:rPr>
        <w:t>Siperstein</w:t>
      </w:r>
      <w:proofErr w:type="spellEnd"/>
      <w:r w:rsidRPr="00A94554">
        <w:rPr>
          <w:rFonts w:ascii="Arial" w:hAnsi="Arial" w:cs="Arial"/>
          <w:sz w:val="24"/>
        </w:rPr>
        <w:t>,</w:t>
      </w:r>
      <w:r w:rsidRPr="00A94554">
        <w:rPr>
          <w:rFonts w:ascii="Arial" w:hAnsi="Arial" w:cs="Arial"/>
          <w:spacing w:val="-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G,</w:t>
      </w:r>
      <w:r w:rsidRPr="00A94554">
        <w:rPr>
          <w:rFonts w:ascii="Arial" w:hAnsi="Arial" w:cs="Arial"/>
          <w:spacing w:val="-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Parker,</w:t>
      </w:r>
      <w:r w:rsidRPr="00A94554">
        <w:rPr>
          <w:rFonts w:ascii="Arial" w:hAnsi="Arial" w:cs="Arial"/>
          <w:spacing w:val="-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R &amp; </w:t>
      </w:r>
      <w:proofErr w:type="spellStart"/>
      <w:r w:rsidRPr="00A94554">
        <w:rPr>
          <w:rFonts w:ascii="Arial" w:hAnsi="Arial" w:cs="Arial"/>
          <w:sz w:val="24"/>
        </w:rPr>
        <w:t>Drascher</w:t>
      </w:r>
      <w:proofErr w:type="spellEnd"/>
      <w:r w:rsidRPr="00A94554">
        <w:rPr>
          <w:rFonts w:ascii="Arial" w:hAnsi="Arial" w:cs="Arial"/>
          <w:sz w:val="24"/>
        </w:rPr>
        <w:t>,</w:t>
      </w:r>
      <w:r w:rsidRPr="00A94554">
        <w:rPr>
          <w:rFonts w:ascii="Arial" w:hAnsi="Arial" w:cs="Arial"/>
          <w:spacing w:val="-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M (2013),</w:t>
      </w:r>
      <w:r w:rsidRPr="00A94554">
        <w:rPr>
          <w:rFonts w:ascii="Arial" w:hAnsi="Arial" w:cs="Arial"/>
          <w:spacing w:val="-1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‘National snapshot of adults with intellectual disabilities in the labor force’, Journal of Vocational Rehabilitation, vol.39, no.3, pp.1-27.</w:t>
      </w:r>
    </w:p>
    <w:p w14:paraId="5546FFFF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2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NDS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Ticket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to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Work,</w:t>
      </w:r>
      <w:r w:rsidRPr="00A94554">
        <w:rPr>
          <w:rFonts w:ascii="Arial" w:hAnsi="Arial" w:cs="Arial"/>
          <w:spacing w:val="-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(2017)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Enhancing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employment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opportunities</w:t>
      </w:r>
      <w:r w:rsidRPr="00A94554">
        <w:rPr>
          <w:rFonts w:ascii="Arial" w:hAnsi="Arial" w:cs="Arial"/>
          <w:spacing w:val="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for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young</w:t>
      </w:r>
      <w:r w:rsidRPr="00A94554">
        <w:rPr>
          <w:rFonts w:ascii="Arial" w:hAnsi="Arial" w:cs="Arial"/>
          <w:spacing w:val="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people</w:t>
      </w:r>
      <w:r w:rsidRPr="00A94554">
        <w:rPr>
          <w:rFonts w:ascii="Arial" w:hAnsi="Arial" w:cs="Arial"/>
          <w:spacing w:val="4"/>
          <w:sz w:val="24"/>
        </w:rPr>
        <w:t xml:space="preserve"> </w:t>
      </w:r>
      <w:r w:rsidRPr="00A94554">
        <w:rPr>
          <w:rFonts w:ascii="Arial" w:hAnsi="Arial" w:cs="Arial"/>
          <w:spacing w:val="-4"/>
          <w:sz w:val="24"/>
        </w:rPr>
        <w:t>with</w:t>
      </w:r>
    </w:p>
    <w:p w14:paraId="55470000" w14:textId="77777777" w:rsidR="00DC2449" w:rsidRPr="00A94554" w:rsidRDefault="00BF173D">
      <w:pPr>
        <w:pStyle w:val="BodyText"/>
        <w:spacing w:before="24"/>
        <w:ind w:left="1370"/>
      </w:pPr>
      <w:r w:rsidRPr="00A94554">
        <w:rPr>
          <w:w w:val="80"/>
        </w:rPr>
        <w:t>significant</w:t>
      </w:r>
      <w:r w:rsidRPr="00A94554">
        <w:rPr>
          <w:spacing w:val="18"/>
        </w:rPr>
        <w:t xml:space="preserve"> </w:t>
      </w:r>
      <w:r w:rsidRPr="00A94554">
        <w:rPr>
          <w:w w:val="80"/>
        </w:rPr>
        <w:t>disability</w:t>
      </w:r>
      <w:r w:rsidRPr="00A94554">
        <w:rPr>
          <w:spacing w:val="21"/>
        </w:rPr>
        <w:t xml:space="preserve"> </w:t>
      </w:r>
      <w:r w:rsidRPr="00A94554">
        <w:rPr>
          <w:w w:val="80"/>
        </w:rPr>
        <w:t>National</w:t>
      </w:r>
      <w:r w:rsidRPr="00A94554">
        <w:rPr>
          <w:spacing w:val="21"/>
        </w:rPr>
        <w:t xml:space="preserve"> </w:t>
      </w:r>
      <w:r w:rsidRPr="00A94554">
        <w:rPr>
          <w:w w:val="80"/>
        </w:rPr>
        <w:t>Disability</w:t>
      </w:r>
      <w:r w:rsidRPr="00A94554">
        <w:rPr>
          <w:spacing w:val="20"/>
        </w:rPr>
        <w:t xml:space="preserve"> </w:t>
      </w:r>
      <w:r w:rsidRPr="00A94554">
        <w:rPr>
          <w:w w:val="80"/>
        </w:rPr>
        <w:t>Services</w:t>
      </w:r>
      <w:r w:rsidRPr="00A94554">
        <w:rPr>
          <w:spacing w:val="9"/>
        </w:rPr>
        <w:t xml:space="preserve"> </w:t>
      </w:r>
      <w:r w:rsidRPr="00A94554">
        <w:rPr>
          <w:spacing w:val="-4"/>
          <w:w w:val="80"/>
        </w:rPr>
        <w:t>ACT.</w:t>
      </w:r>
    </w:p>
    <w:p w14:paraId="55470001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38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Deloitte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Access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Economics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(2011)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The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economic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benefits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of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increasing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employment</w:t>
      </w:r>
      <w:r w:rsidRPr="00A94554">
        <w:rPr>
          <w:rFonts w:ascii="Arial" w:hAnsi="Arial" w:cs="Arial"/>
          <w:spacing w:val="6"/>
          <w:sz w:val="24"/>
        </w:rPr>
        <w:t xml:space="preserve"> </w:t>
      </w:r>
      <w:r w:rsidRPr="00A94554">
        <w:rPr>
          <w:rFonts w:ascii="Arial" w:hAnsi="Arial" w:cs="Arial"/>
          <w:spacing w:val="-5"/>
          <w:sz w:val="24"/>
        </w:rPr>
        <w:t>for</w:t>
      </w:r>
    </w:p>
    <w:p w14:paraId="55470002" w14:textId="77777777" w:rsidR="00DC2449" w:rsidRPr="00A94554" w:rsidRDefault="00BF173D">
      <w:pPr>
        <w:pStyle w:val="BodyText"/>
        <w:spacing w:before="24"/>
        <w:ind w:left="1370"/>
      </w:pPr>
      <w:r w:rsidRPr="00A94554">
        <w:rPr>
          <w:w w:val="80"/>
        </w:rPr>
        <w:t>people</w:t>
      </w:r>
      <w:r w:rsidRPr="00A94554">
        <w:rPr>
          <w:spacing w:val="12"/>
        </w:rPr>
        <w:t xml:space="preserve"> </w:t>
      </w:r>
      <w:r w:rsidRPr="00A94554">
        <w:rPr>
          <w:w w:val="80"/>
        </w:rPr>
        <w:t>with</w:t>
      </w:r>
      <w:r w:rsidRPr="00A94554">
        <w:rPr>
          <w:spacing w:val="12"/>
        </w:rPr>
        <w:t xml:space="preserve"> </w:t>
      </w:r>
      <w:r w:rsidRPr="00A94554">
        <w:rPr>
          <w:w w:val="80"/>
        </w:rPr>
        <w:t>disability,</w:t>
      </w:r>
      <w:r w:rsidRPr="00A94554">
        <w:rPr>
          <w:spacing w:val="-11"/>
        </w:rPr>
        <w:t xml:space="preserve"> </w:t>
      </w:r>
      <w:r w:rsidRPr="00A94554">
        <w:rPr>
          <w:w w:val="80"/>
        </w:rPr>
        <w:t>Australian</w:t>
      </w:r>
      <w:r w:rsidRPr="00A94554">
        <w:rPr>
          <w:spacing w:val="12"/>
        </w:rPr>
        <w:t xml:space="preserve"> </w:t>
      </w:r>
      <w:r w:rsidRPr="00A94554">
        <w:rPr>
          <w:w w:val="80"/>
        </w:rPr>
        <w:t>Network</w:t>
      </w:r>
      <w:r w:rsidRPr="00A94554">
        <w:rPr>
          <w:spacing w:val="13"/>
        </w:rPr>
        <w:t xml:space="preserve"> </w:t>
      </w:r>
      <w:r w:rsidRPr="00A94554">
        <w:rPr>
          <w:w w:val="80"/>
        </w:rPr>
        <w:t>on</w:t>
      </w:r>
      <w:r w:rsidRPr="00A94554">
        <w:rPr>
          <w:spacing w:val="12"/>
        </w:rPr>
        <w:t xml:space="preserve"> </w:t>
      </w:r>
      <w:r w:rsidRPr="00A94554">
        <w:rPr>
          <w:spacing w:val="-2"/>
          <w:w w:val="80"/>
        </w:rPr>
        <w:t>Disability.</w:t>
      </w:r>
    </w:p>
    <w:p w14:paraId="55470003" w14:textId="4DDAA2C1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37" w:line="261" w:lineRule="auto"/>
        <w:ind w:right="2755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Kohler,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D.,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A94554">
        <w:rPr>
          <w:rFonts w:ascii="Arial" w:hAnsi="Arial" w:cs="Arial"/>
          <w:sz w:val="24"/>
        </w:rPr>
        <w:t>Gothberg</w:t>
      </w:r>
      <w:proofErr w:type="spellEnd"/>
      <w:r w:rsidRPr="00A94554">
        <w:rPr>
          <w:rFonts w:ascii="Arial" w:hAnsi="Arial" w:cs="Arial"/>
          <w:sz w:val="24"/>
        </w:rPr>
        <w:t>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J.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E.,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Fowler,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C.,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 Coyle,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J.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(2016).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Taxonomy for transition programming 2.0: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A model for planning, organizing, and evaluating transition education, </w:t>
      </w:r>
      <w:r w:rsidRPr="00A94554">
        <w:rPr>
          <w:rFonts w:ascii="Arial" w:hAnsi="Arial" w:cs="Arial"/>
          <w:spacing w:val="-4"/>
          <w:sz w:val="24"/>
        </w:rPr>
        <w:t>services,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pacing w:val="-4"/>
          <w:sz w:val="24"/>
        </w:rPr>
        <w:t>and programs.</w:t>
      </w:r>
      <w:r w:rsidRPr="00A94554">
        <w:rPr>
          <w:rFonts w:ascii="Arial" w:hAnsi="Arial" w:cs="Arial"/>
          <w:spacing w:val="-14"/>
          <w:sz w:val="24"/>
        </w:rPr>
        <w:t xml:space="preserve"> </w:t>
      </w:r>
      <w:r w:rsidRPr="00A94554">
        <w:rPr>
          <w:rFonts w:ascii="Arial" w:hAnsi="Arial" w:cs="Arial"/>
          <w:spacing w:val="-4"/>
          <w:sz w:val="24"/>
        </w:rPr>
        <w:t>Western Michigan University.</w:t>
      </w:r>
      <w:r w:rsidRPr="00A94554">
        <w:rPr>
          <w:rFonts w:ascii="Arial" w:hAnsi="Arial" w:cs="Arial"/>
          <w:spacing w:val="-14"/>
          <w:sz w:val="24"/>
        </w:rPr>
        <w:t xml:space="preserve"> </w:t>
      </w:r>
      <w:r w:rsidRPr="00A94554">
        <w:rPr>
          <w:rFonts w:ascii="Arial" w:hAnsi="Arial" w:cs="Arial"/>
          <w:spacing w:val="-4"/>
          <w:sz w:val="24"/>
        </w:rPr>
        <w:t>Av</w:t>
      </w:r>
      <w:r w:rsidRPr="00A94554">
        <w:rPr>
          <w:rFonts w:ascii="Arial" w:hAnsi="Arial" w:cs="Arial"/>
          <w:spacing w:val="-4"/>
          <w:sz w:val="24"/>
        </w:rPr>
        <w:t>ailable at</w:t>
      </w:r>
      <w:r w:rsidR="00CE756F">
        <w:rPr>
          <w:rFonts w:ascii="Arial" w:hAnsi="Arial" w:cs="Arial"/>
          <w:spacing w:val="-4"/>
          <w:sz w:val="24"/>
        </w:rPr>
        <w:t xml:space="preserve"> the website</w:t>
      </w:r>
      <w:hyperlink r:id="rId19" w:history="1">
        <w:r w:rsidR="00CE756F" w:rsidRPr="00CE756F">
          <w:rPr>
            <w:rStyle w:val="Hyperlink"/>
            <w:rFonts w:ascii="Arial" w:hAnsi="Arial" w:cs="Arial"/>
            <w:spacing w:val="-4"/>
            <w:sz w:val="24"/>
          </w:rPr>
          <w:t xml:space="preserve"> Transitionta</w:t>
        </w:r>
      </w:hyperlink>
      <w:r w:rsidRPr="00A94554">
        <w:rPr>
          <w:rFonts w:ascii="Arial" w:hAnsi="Arial" w:cs="Arial"/>
          <w:spacing w:val="-4"/>
          <w:sz w:val="24"/>
        </w:rPr>
        <w:t xml:space="preserve"> </w:t>
      </w:r>
    </w:p>
    <w:p w14:paraId="55470004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428"/>
          <w:tab w:val="left" w:pos="1430"/>
        </w:tabs>
        <w:spacing w:before="112" w:line="261" w:lineRule="auto"/>
        <w:ind w:left="1371" w:right="2677"/>
        <w:rPr>
          <w:rFonts w:ascii="Arial" w:hAnsi="Arial" w:cs="Arial"/>
          <w:sz w:val="24"/>
        </w:rPr>
      </w:pPr>
      <w:r w:rsidRPr="00A94554">
        <w:rPr>
          <w:rFonts w:ascii="Arial" w:hAnsi="Arial" w:cs="Arial"/>
        </w:rPr>
        <w:tab/>
      </w:r>
      <w:proofErr w:type="spellStart"/>
      <w:r w:rsidRPr="00A94554">
        <w:rPr>
          <w:rFonts w:ascii="Arial" w:hAnsi="Arial" w:cs="Arial"/>
          <w:sz w:val="24"/>
        </w:rPr>
        <w:t>Roisman</w:t>
      </w:r>
      <w:proofErr w:type="spellEnd"/>
      <w:r w:rsidRPr="00A94554">
        <w:rPr>
          <w:rFonts w:ascii="Arial" w:hAnsi="Arial" w:cs="Arial"/>
          <w:sz w:val="24"/>
        </w:rPr>
        <w:t xml:space="preserve">, GI, </w:t>
      </w:r>
      <w:proofErr w:type="spellStart"/>
      <w:r w:rsidRPr="00A94554">
        <w:rPr>
          <w:rFonts w:ascii="Arial" w:hAnsi="Arial" w:cs="Arial"/>
          <w:sz w:val="24"/>
        </w:rPr>
        <w:t>Masten</w:t>
      </w:r>
      <w:proofErr w:type="spellEnd"/>
      <w:r w:rsidRPr="00A94554">
        <w:rPr>
          <w:rFonts w:ascii="Arial" w:hAnsi="Arial" w:cs="Arial"/>
          <w:sz w:val="24"/>
        </w:rPr>
        <w:t>,</w:t>
      </w:r>
      <w:r w:rsidRPr="00CE756F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AS, </w:t>
      </w:r>
      <w:proofErr w:type="spellStart"/>
      <w:r w:rsidRPr="00A94554">
        <w:rPr>
          <w:rFonts w:ascii="Arial" w:hAnsi="Arial" w:cs="Arial"/>
          <w:sz w:val="24"/>
        </w:rPr>
        <w:t>Coatsworth</w:t>
      </w:r>
      <w:proofErr w:type="spellEnd"/>
      <w:r w:rsidRPr="00A94554">
        <w:rPr>
          <w:rFonts w:ascii="Arial" w:hAnsi="Arial" w:cs="Arial"/>
          <w:sz w:val="24"/>
        </w:rPr>
        <w:t xml:space="preserve">, JD &amp; </w:t>
      </w:r>
      <w:proofErr w:type="spellStart"/>
      <w:r w:rsidRPr="00A94554">
        <w:rPr>
          <w:rFonts w:ascii="Arial" w:hAnsi="Arial" w:cs="Arial"/>
          <w:sz w:val="24"/>
        </w:rPr>
        <w:t>Tellegen</w:t>
      </w:r>
      <w:proofErr w:type="spellEnd"/>
      <w:r w:rsidRPr="00A94554">
        <w:rPr>
          <w:rFonts w:ascii="Arial" w:hAnsi="Arial" w:cs="Arial"/>
          <w:sz w:val="24"/>
        </w:rPr>
        <w:t>,</w:t>
      </w:r>
      <w:r w:rsidRPr="00CE756F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 2004,</w:t>
      </w:r>
      <w:r w:rsidRPr="00CE756F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‘Salient and Emerging </w:t>
      </w:r>
      <w:r w:rsidRPr="00CE756F">
        <w:rPr>
          <w:rFonts w:ascii="Arial" w:hAnsi="Arial" w:cs="Arial"/>
          <w:sz w:val="24"/>
        </w:rPr>
        <w:t>Developmental Tasks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>in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>the Transition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>to Adulthood’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>Child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>Development, vol</w:t>
      </w:r>
      <w:r w:rsidRPr="00A94554">
        <w:rPr>
          <w:rFonts w:ascii="Arial" w:hAnsi="Arial" w:cs="Arial"/>
          <w:sz w:val="24"/>
        </w:rPr>
        <w:t xml:space="preserve"> </w:t>
      </w:r>
      <w:r w:rsidRPr="00CE756F">
        <w:rPr>
          <w:rFonts w:ascii="Arial" w:hAnsi="Arial" w:cs="Arial"/>
          <w:sz w:val="24"/>
        </w:rPr>
        <w:t xml:space="preserve">75, no. 1, pp. </w:t>
      </w:r>
      <w:r w:rsidRPr="00CE756F">
        <w:rPr>
          <w:rFonts w:ascii="Arial" w:hAnsi="Arial" w:cs="Arial"/>
          <w:sz w:val="24"/>
        </w:rPr>
        <w:t>123-133.</w:t>
      </w:r>
    </w:p>
    <w:p w14:paraId="55470005" w14:textId="1FCAF7FF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</w:tabs>
        <w:spacing w:before="111" w:line="261" w:lineRule="auto"/>
        <w:ind w:left="1371" w:right="2438"/>
        <w:jc w:val="both"/>
        <w:rPr>
          <w:rFonts w:ascii="Arial" w:hAnsi="Arial" w:cs="Arial"/>
          <w:sz w:val="24"/>
        </w:rPr>
      </w:pPr>
      <w:proofErr w:type="spellStart"/>
      <w:r w:rsidRPr="00A94554">
        <w:rPr>
          <w:rFonts w:ascii="Arial" w:hAnsi="Arial" w:cs="Arial"/>
          <w:sz w:val="24"/>
        </w:rPr>
        <w:t>Malanchuk</w:t>
      </w:r>
      <w:proofErr w:type="spellEnd"/>
      <w:r w:rsidRPr="00A94554">
        <w:rPr>
          <w:rFonts w:ascii="Arial" w:hAnsi="Arial" w:cs="Arial"/>
          <w:sz w:val="24"/>
        </w:rPr>
        <w:t>,</w:t>
      </w:r>
      <w:r w:rsidRPr="00A94554">
        <w:rPr>
          <w:rFonts w:ascii="Arial" w:hAnsi="Arial" w:cs="Arial"/>
          <w:spacing w:val="-7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O.,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Messersmith,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E.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E.,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&amp; Eccles,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J.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S.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(2010).</w:t>
      </w:r>
      <w:r w:rsidRPr="00A94554">
        <w:rPr>
          <w:rFonts w:ascii="Arial" w:hAnsi="Arial" w:cs="Arial"/>
          <w:spacing w:val="-1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The Ontogeny of Career Identities in Adolescence. New Directions for Child and Adolescent Development, 2010(130), 97–110.</w:t>
      </w:r>
      <w:r w:rsidR="00CE756F">
        <w:rPr>
          <w:rFonts w:ascii="Arial" w:hAnsi="Arial" w:cs="Arial"/>
          <w:sz w:val="24"/>
        </w:rPr>
        <w:t xml:space="preserve"> Available at </w:t>
      </w:r>
      <w:hyperlink r:id="rId20" w:history="1">
        <w:r w:rsidR="001D1F94" w:rsidRPr="00E16248">
          <w:rPr>
            <w:rStyle w:val="Hyperlink"/>
            <w:rFonts w:ascii="Arial" w:hAnsi="Arial" w:cs="Arial"/>
            <w:sz w:val="24"/>
          </w:rPr>
          <w:t>Wiley Online Library</w:t>
        </w:r>
      </w:hyperlink>
    </w:p>
    <w:p w14:paraId="55470006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</w:tabs>
        <w:spacing w:before="112"/>
        <w:ind w:left="1371"/>
        <w:jc w:val="both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Halpern,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A.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S.</w:t>
      </w:r>
      <w:r w:rsidRPr="00A94554">
        <w:rPr>
          <w:rFonts w:ascii="Arial" w:hAnsi="Arial" w:cs="Arial"/>
          <w:spacing w:val="-7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(1985).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Transition: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 look at the foundations.</w:t>
      </w:r>
      <w:r w:rsidRPr="00A94554">
        <w:rPr>
          <w:rFonts w:ascii="Arial" w:hAnsi="Arial" w:cs="Arial"/>
          <w:spacing w:val="-7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Exceptional </w:t>
      </w:r>
      <w:r w:rsidRPr="00A94554">
        <w:rPr>
          <w:rFonts w:ascii="Arial" w:hAnsi="Arial" w:cs="Arial"/>
          <w:spacing w:val="-2"/>
          <w:sz w:val="24"/>
        </w:rPr>
        <w:t>Children</w:t>
      </w:r>
    </w:p>
    <w:p w14:paraId="55470007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</w:tabs>
        <w:spacing w:before="137" w:line="261" w:lineRule="auto"/>
        <w:ind w:left="1372" w:right="2374"/>
        <w:jc w:val="both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PricewaterhouseCoopers (Australia) 2011, Disability expectations: investing in a better life, a stronger Australia, PWC, [Australia]</w:t>
      </w:r>
    </w:p>
    <w:p w14:paraId="55470008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3"/>
        </w:tabs>
        <w:spacing w:before="113" w:line="261" w:lineRule="auto"/>
        <w:ind w:left="1372" w:right="2796"/>
        <w:jc w:val="both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Centre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for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Youth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Communities,</w:t>
      </w:r>
      <w:r w:rsidRPr="00A94554">
        <w:rPr>
          <w:rFonts w:ascii="Arial" w:hAnsi="Arial" w:cs="Arial"/>
          <w:spacing w:val="-14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The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Heller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School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for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Social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Policy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Management (2015) Employment for Youth with disabilities: Past challenges and future opportunities; Practical advice guides and issue brief series Brandeis University</w:t>
      </w:r>
    </w:p>
    <w:p w14:paraId="55470009" w14:textId="1E00F7F9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spacing w:before="112" w:line="261" w:lineRule="auto"/>
        <w:ind w:left="1372" w:right="2572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Hawkins,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A, Rasheed, E 2016,</w:t>
      </w:r>
      <w:r w:rsidRPr="00E16248">
        <w:rPr>
          <w:rFonts w:ascii="Arial" w:hAnsi="Arial" w:cs="Arial"/>
          <w:sz w:val="24"/>
        </w:rPr>
        <w:t xml:space="preserve"> </w:t>
      </w:r>
      <w:hyperlink r:id="rId21" w:history="1">
        <w:r w:rsidRPr="00E16248">
          <w:rPr>
            <w:rStyle w:val="Hyperlink"/>
            <w:rFonts w:ascii="Arial" w:hAnsi="Arial" w:cs="Arial"/>
            <w:sz w:val="24"/>
          </w:rPr>
          <w:t xml:space="preserve">Ticket to Work pilot outcomes study: a quasi-experimental </w:t>
        </w:r>
        <w:r w:rsidRPr="00E16248">
          <w:rPr>
            <w:rStyle w:val="Hyperlink"/>
            <w:rFonts w:ascii="Arial" w:hAnsi="Arial" w:cs="Arial"/>
            <w:sz w:val="24"/>
          </w:rPr>
          <w:t>ev</w:t>
        </w:r>
        <w:r w:rsidRPr="00E16248">
          <w:rPr>
            <w:rStyle w:val="Hyperlink"/>
            <w:rFonts w:ascii="Arial" w:hAnsi="Arial" w:cs="Arial"/>
            <w:sz w:val="24"/>
          </w:rPr>
          <w:t>aluation of pathways from school to economic and social inclusion, ARTD Sydney</w:t>
        </w:r>
      </w:hyperlink>
      <w:r w:rsidRPr="00A94554">
        <w:rPr>
          <w:rFonts w:ascii="Arial" w:hAnsi="Arial" w:cs="Arial"/>
          <w:w w:val="80"/>
          <w:sz w:val="24"/>
        </w:rPr>
        <w:t xml:space="preserve"> </w:t>
      </w:r>
    </w:p>
    <w:p w14:paraId="5547000A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spacing w:before="112"/>
        <w:ind w:left="1372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Centre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Applied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Disability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Research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(2017)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State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of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the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disability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Sector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report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2017,</w:t>
      </w:r>
      <w:r w:rsidRPr="00E16248">
        <w:rPr>
          <w:rFonts w:ascii="Arial" w:hAnsi="Arial" w:cs="Arial"/>
          <w:sz w:val="24"/>
        </w:rPr>
        <w:t xml:space="preserve"> </w:t>
      </w:r>
      <w:r w:rsidRPr="00E16248">
        <w:rPr>
          <w:rFonts w:ascii="Arial" w:hAnsi="Arial" w:cs="Arial"/>
          <w:sz w:val="24"/>
        </w:rPr>
        <w:t>National</w:t>
      </w:r>
    </w:p>
    <w:p w14:paraId="5547000B" w14:textId="77777777" w:rsidR="00DC2449" w:rsidRPr="00E16248" w:rsidRDefault="00BF173D">
      <w:pPr>
        <w:pStyle w:val="BodyText"/>
        <w:spacing w:before="24"/>
        <w:ind w:left="1372"/>
        <w:rPr>
          <w:rFonts w:eastAsia="Arial Narrow"/>
          <w:szCs w:val="22"/>
        </w:rPr>
      </w:pPr>
      <w:r w:rsidRPr="00E16248">
        <w:rPr>
          <w:rFonts w:eastAsia="Arial Narrow"/>
          <w:szCs w:val="22"/>
        </w:rPr>
        <w:t>Disability</w:t>
      </w:r>
      <w:r w:rsidRPr="00E16248">
        <w:rPr>
          <w:rFonts w:eastAsia="Arial Narrow"/>
          <w:szCs w:val="22"/>
        </w:rPr>
        <w:t xml:space="preserve"> </w:t>
      </w:r>
      <w:r w:rsidRPr="00E16248">
        <w:rPr>
          <w:rFonts w:eastAsia="Arial Narrow"/>
          <w:szCs w:val="22"/>
        </w:rPr>
        <w:t>Services</w:t>
      </w:r>
    </w:p>
    <w:p w14:paraId="5547000C" w14:textId="666489A5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spacing w:before="137" w:line="261" w:lineRule="auto"/>
        <w:ind w:left="1372" w:right="2559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Meadows,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D (2012),</w:t>
      </w:r>
      <w:r w:rsidRPr="00E16248">
        <w:rPr>
          <w:rFonts w:ascii="Arial" w:hAnsi="Arial" w:cs="Arial"/>
          <w:sz w:val="24"/>
        </w:rPr>
        <w:t xml:space="preserve"> </w:t>
      </w:r>
      <w:hyperlink r:id="rId22" w:history="1">
        <w:r w:rsidRPr="00E16248">
          <w:rPr>
            <w:rStyle w:val="Hyperlink"/>
            <w:rFonts w:ascii="Arial" w:hAnsi="Arial" w:cs="Arial"/>
            <w:sz w:val="24"/>
          </w:rPr>
          <w:t>’Post School</w:t>
        </w:r>
        <w:r w:rsidRPr="00E16248">
          <w:rPr>
            <w:rStyle w:val="Hyperlink"/>
            <w:rFonts w:ascii="Arial" w:hAnsi="Arial" w:cs="Arial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z w:val="24"/>
          </w:rPr>
          <w:t>Transition for Students with a Disability’,</w:t>
        </w:r>
        <w:r w:rsidRPr="00E16248">
          <w:rPr>
            <w:rStyle w:val="Hyperlink"/>
            <w:rFonts w:ascii="Arial" w:hAnsi="Arial" w:cs="Arial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z w:val="24"/>
          </w:rPr>
          <w:t>The</w:t>
        </w:r>
        <w:r w:rsidRPr="00E16248">
          <w:rPr>
            <w:rStyle w:val="Hyperlink"/>
            <w:rFonts w:ascii="Arial" w:hAnsi="Arial" w:cs="Arial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z w:val="24"/>
          </w:rPr>
          <w:t xml:space="preserve">Association </w:t>
        </w:r>
        <w:r w:rsidRPr="00E16248">
          <w:rPr>
            <w:rStyle w:val="Hyperlink"/>
            <w:rFonts w:ascii="Arial" w:hAnsi="Arial" w:cs="Arial"/>
            <w:sz w:val="24"/>
          </w:rPr>
          <w:t>for Childhood Language and Related Disorders.</w:t>
        </w:r>
      </w:hyperlink>
      <w:r w:rsidRPr="00E16248">
        <w:rPr>
          <w:rFonts w:ascii="Arial" w:hAnsi="Arial" w:cs="Arial"/>
          <w:sz w:val="24"/>
        </w:rPr>
        <w:t xml:space="preserve"> </w:t>
      </w:r>
    </w:p>
    <w:p w14:paraId="5547000D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3"/>
        </w:tabs>
        <w:spacing w:before="111" w:line="261" w:lineRule="auto"/>
        <w:ind w:left="1372" w:right="2779"/>
        <w:jc w:val="both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Winn,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 Hay,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2009,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‘Transition from school for youths with a disability: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issues and challenges’, Disability and So</w:t>
      </w:r>
      <w:r w:rsidRPr="00A94554">
        <w:rPr>
          <w:rFonts w:ascii="Arial" w:hAnsi="Arial" w:cs="Arial"/>
          <w:sz w:val="24"/>
        </w:rPr>
        <w:t>ciety, vol. 24, no. 1, pp. 103-115.</w:t>
      </w:r>
    </w:p>
    <w:p w14:paraId="55470012" w14:textId="14A7BFD6" w:rsidR="00DC2449" w:rsidRPr="00B029E4" w:rsidRDefault="00BF173D" w:rsidP="00B029E4">
      <w:pPr>
        <w:pStyle w:val="ListParagraph"/>
        <w:numPr>
          <w:ilvl w:val="0"/>
          <w:numId w:val="1"/>
        </w:numPr>
        <w:tabs>
          <w:tab w:val="left" w:pos="1373"/>
        </w:tabs>
        <w:spacing w:before="113" w:line="261" w:lineRule="auto"/>
        <w:ind w:left="1373" w:right="2778"/>
        <w:jc w:val="both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Winn,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 Hay,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2009,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‘Transition from school for youths with a </w:t>
      </w:r>
      <w:r w:rsidRPr="00A94554">
        <w:rPr>
          <w:rFonts w:ascii="Arial" w:hAnsi="Arial" w:cs="Arial"/>
          <w:sz w:val="24"/>
        </w:rPr>
        <w:lastRenderedPageBreak/>
        <w:t>disability: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issues and challenges’, Disability and Society, vol. 24, no. 1, pp. 103-115.</w:t>
      </w:r>
    </w:p>
    <w:p w14:paraId="55470013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99" w:line="261" w:lineRule="auto"/>
        <w:ind w:right="2616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 xml:space="preserve">Kruger, </w:t>
      </w:r>
      <w:proofErr w:type="spellStart"/>
      <w:r w:rsidRPr="00A94554">
        <w:rPr>
          <w:rFonts w:ascii="Arial" w:hAnsi="Arial" w:cs="Arial"/>
          <w:sz w:val="24"/>
        </w:rPr>
        <w:t>Elinson</w:t>
      </w:r>
      <w:proofErr w:type="spellEnd"/>
      <w:r w:rsidRPr="00A94554">
        <w:rPr>
          <w:rFonts w:ascii="Arial" w:hAnsi="Arial" w:cs="Arial"/>
          <w:sz w:val="24"/>
        </w:rPr>
        <w:t xml:space="preserve"> and </w:t>
      </w:r>
      <w:proofErr w:type="spellStart"/>
      <w:r w:rsidRPr="00A94554">
        <w:rPr>
          <w:rFonts w:ascii="Arial" w:hAnsi="Arial" w:cs="Arial"/>
          <w:sz w:val="24"/>
        </w:rPr>
        <w:t>Milfort</w:t>
      </w:r>
      <w:proofErr w:type="spellEnd"/>
      <w:r w:rsidRPr="00A94554">
        <w:rPr>
          <w:rFonts w:ascii="Arial" w:hAnsi="Arial" w:cs="Arial"/>
          <w:sz w:val="24"/>
        </w:rPr>
        <w:t xml:space="preserve"> (2006), ‘Evaluation of Disability Employment Policy Demonstration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Programs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Task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10.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In-depth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Issue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Analysis: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Role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of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Intermediaries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in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ODEP Youth Demonstration Programs’</w:t>
      </w:r>
    </w:p>
    <w:p w14:paraId="55470014" w14:textId="2390A8DC" w:rsidR="00DC2449" w:rsidRPr="00E16248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2"/>
        <w:rPr>
          <w:rStyle w:val="Hyperlink"/>
          <w:rFonts w:ascii="Arial" w:hAnsi="Arial" w:cs="Arial"/>
          <w:sz w:val="24"/>
        </w:rPr>
      </w:pPr>
      <w:proofErr w:type="spellStart"/>
      <w:r w:rsidRPr="00A94554">
        <w:rPr>
          <w:rFonts w:ascii="Arial" w:hAnsi="Arial" w:cs="Arial"/>
          <w:sz w:val="24"/>
        </w:rPr>
        <w:t>Dewson</w:t>
      </w:r>
      <w:proofErr w:type="spellEnd"/>
      <w:r w:rsidRPr="00A94554">
        <w:rPr>
          <w:rFonts w:ascii="Arial" w:hAnsi="Arial" w:cs="Arial"/>
          <w:sz w:val="24"/>
        </w:rPr>
        <w:t>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Aston,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J,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Bates,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Loukas,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G &amp;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Dyson,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2005,</w:t>
      </w:r>
      <w:r w:rsidR="00E16248">
        <w:rPr>
          <w:rFonts w:ascii="Arial" w:hAnsi="Arial" w:cs="Arial"/>
          <w:sz w:val="24"/>
        </w:rPr>
        <w:fldChar w:fldCharType="begin"/>
      </w:r>
      <w:r w:rsidR="00E16248">
        <w:rPr>
          <w:rFonts w:ascii="Arial" w:hAnsi="Arial" w:cs="Arial"/>
          <w:sz w:val="24"/>
        </w:rPr>
        <w:instrText xml:space="preserve"> HYPERLINK "http://www.educationandemployers.org/wp-content/uploads/2014/06/sen-transitions-wave-3-dfes.pdf" </w:instrText>
      </w:r>
      <w:r w:rsidR="00E16248">
        <w:rPr>
          <w:rFonts w:ascii="Arial" w:hAnsi="Arial" w:cs="Arial"/>
          <w:sz w:val="24"/>
        </w:rPr>
      </w:r>
      <w:r w:rsidR="00E16248">
        <w:rPr>
          <w:rFonts w:ascii="Arial" w:hAnsi="Arial" w:cs="Arial"/>
          <w:sz w:val="24"/>
        </w:rPr>
        <w:fldChar w:fldCharType="separate"/>
      </w:r>
      <w:r w:rsidRPr="00E16248">
        <w:rPr>
          <w:rStyle w:val="Hyperlink"/>
          <w:rFonts w:ascii="Arial" w:hAnsi="Arial" w:cs="Arial"/>
          <w:sz w:val="24"/>
        </w:rPr>
        <w:t xml:space="preserve"> </w:t>
      </w:r>
      <w:r w:rsidRPr="00E16248">
        <w:rPr>
          <w:rStyle w:val="Hyperlink"/>
          <w:rFonts w:ascii="Arial" w:hAnsi="Arial" w:cs="Arial"/>
          <w:sz w:val="24"/>
        </w:rPr>
        <w:t>Post-16</w:t>
      </w:r>
      <w:r w:rsidRPr="00E16248">
        <w:rPr>
          <w:rStyle w:val="Hyperlink"/>
          <w:rFonts w:ascii="Arial" w:hAnsi="Arial" w:cs="Arial"/>
          <w:sz w:val="24"/>
        </w:rPr>
        <w:t xml:space="preserve"> </w:t>
      </w:r>
      <w:r w:rsidRPr="00E16248">
        <w:rPr>
          <w:rStyle w:val="Hyperlink"/>
          <w:rFonts w:ascii="Arial" w:hAnsi="Arial" w:cs="Arial"/>
          <w:sz w:val="24"/>
        </w:rPr>
        <w:t>transitions</w:t>
      </w:r>
      <w:r w:rsidRPr="00E16248">
        <w:rPr>
          <w:rStyle w:val="Hyperlink"/>
          <w:rFonts w:ascii="Arial" w:hAnsi="Arial" w:cs="Arial"/>
          <w:sz w:val="24"/>
        </w:rPr>
        <w:t xml:space="preserve"> </w:t>
      </w:r>
      <w:r w:rsidRPr="00E16248">
        <w:rPr>
          <w:rStyle w:val="Hyperlink"/>
          <w:rFonts w:ascii="Arial" w:hAnsi="Arial" w:cs="Arial"/>
          <w:sz w:val="24"/>
        </w:rPr>
        <w:t>of</w:t>
      </w:r>
      <w:r w:rsidRPr="00E16248">
        <w:rPr>
          <w:rStyle w:val="Hyperlink"/>
          <w:rFonts w:ascii="Arial" w:hAnsi="Arial" w:cs="Arial"/>
          <w:sz w:val="24"/>
        </w:rPr>
        <w:t xml:space="preserve"> </w:t>
      </w:r>
      <w:r w:rsidRPr="00E16248">
        <w:rPr>
          <w:rStyle w:val="Hyperlink"/>
          <w:rFonts w:ascii="Arial" w:hAnsi="Arial" w:cs="Arial"/>
          <w:sz w:val="24"/>
        </w:rPr>
        <w:t>pupils</w:t>
      </w:r>
    </w:p>
    <w:p w14:paraId="55470015" w14:textId="6AE99A39" w:rsidR="00DC2449" w:rsidRPr="00A94554" w:rsidRDefault="00BF173D">
      <w:pPr>
        <w:pStyle w:val="BodyText"/>
        <w:spacing w:before="24" w:line="261" w:lineRule="auto"/>
        <w:ind w:left="1370" w:right="2428"/>
      </w:pPr>
      <w:r w:rsidRPr="00E16248">
        <w:rPr>
          <w:rStyle w:val="Hyperlink"/>
          <w:rFonts w:eastAsia="Arial Narrow"/>
          <w:szCs w:val="22"/>
        </w:rPr>
        <w:t>with special educational needs:</w:t>
      </w:r>
      <w:r w:rsidRPr="00E16248">
        <w:rPr>
          <w:rStyle w:val="Hyperlink"/>
          <w:rFonts w:eastAsia="Arial Narrow"/>
          <w:szCs w:val="22"/>
        </w:rPr>
        <w:t xml:space="preserve"> </w:t>
      </w:r>
      <w:r w:rsidRPr="00E16248">
        <w:rPr>
          <w:rStyle w:val="Hyperlink"/>
          <w:rFonts w:eastAsia="Arial Narrow"/>
          <w:szCs w:val="22"/>
        </w:rPr>
        <w:t>wave three</w:t>
      </w:r>
      <w:r w:rsidR="00E16248">
        <w:rPr>
          <w:rFonts w:eastAsia="Arial Narrow"/>
          <w:szCs w:val="22"/>
        </w:rPr>
        <w:fldChar w:fldCharType="end"/>
      </w:r>
      <w:r w:rsidRPr="00E16248">
        <w:rPr>
          <w:rFonts w:eastAsia="Arial Narrow"/>
          <w:szCs w:val="22"/>
        </w:rPr>
        <w:t>,</w:t>
      </w:r>
      <w:r w:rsidRPr="00E16248">
        <w:rPr>
          <w:rFonts w:eastAsia="Arial Narrow"/>
          <w:szCs w:val="22"/>
        </w:rPr>
        <w:t xml:space="preserve"> </w:t>
      </w:r>
      <w:r w:rsidRPr="00E16248">
        <w:rPr>
          <w:rFonts w:eastAsia="Arial Narrow"/>
          <w:szCs w:val="22"/>
        </w:rPr>
        <w:t>DfES research report no.</w:t>
      </w:r>
      <w:r w:rsidRPr="00E16248">
        <w:rPr>
          <w:rFonts w:eastAsia="Arial Narrow"/>
          <w:szCs w:val="22"/>
        </w:rPr>
        <w:t xml:space="preserve"> </w:t>
      </w:r>
      <w:r w:rsidRPr="00E16248">
        <w:rPr>
          <w:rFonts w:eastAsia="Arial Narrow"/>
          <w:szCs w:val="22"/>
        </w:rPr>
        <w:t>655,</w:t>
      </w:r>
      <w:r w:rsidRPr="00E16248">
        <w:rPr>
          <w:rFonts w:eastAsia="Arial Narrow"/>
          <w:szCs w:val="22"/>
        </w:rPr>
        <w:t xml:space="preserve"> </w:t>
      </w:r>
      <w:hyperlink r:id="rId23" w:history="1">
        <w:r w:rsidRPr="00E16248">
          <w:rPr>
            <w:rStyle w:val="Hyperlink"/>
            <w:rFonts w:eastAsia="Arial Narrow"/>
            <w:szCs w:val="22"/>
          </w:rPr>
          <w:t xml:space="preserve">Institute for </w:t>
        </w:r>
        <w:r w:rsidRPr="00E16248">
          <w:rPr>
            <w:rStyle w:val="Hyperlink"/>
            <w:rFonts w:eastAsia="Arial Narrow"/>
            <w:szCs w:val="22"/>
          </w:rPr>
          <w:t>Employment Studies</w:t>
        </w:r>
      </w:hyperlink>
      <w:r w:rsidRPr="00E16248">
        <w:rPr>
          <w:rFonts w:eastAsia="Arial Narrow"/>
          <w:szCs w:val="22"/>
        </w:rPr>
        <w:t xml:space="preserve"> (Social Exclusion Unit), Nottingham</w:t>
      </w:r>
      <w:r w:rsidR="00E16248">
        <w:rPr>
          <w:rFonts w:eastAsia="Arial Narrow"/>
          <w:szCs w:val="22"/>
        </w:rPr>
        <w:t>,</w:t>
      </w:r>
    </w:p>
    <w:p w14:paraId="55470016" w14:textId="4F1A88B3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1" w:line="261" w:lineRule="auto"/>
        <w:ind w:right="2828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 xml:space="preserve">Kruger, </w:t>
      </w:r>
      <w:proofErr w:type="spellStart"/>
      <w:r w:rsidRPr="00A94554">
        <w:rPr>
          <w:rFonts w:ascii="Arial" w:hAnsi="Arial" w:cs="Arial"/>
          <w:sz w:val="24"/>
        </w:rPr>
        <w:t>Elinson</w:t>
      </w:r>
      <w:proofErr w:type="spellEnd"/>
      <w:r w:rsidRPr="00A94554">
        <w:rPr>
          <w:rFonts w:ascii="Arial" w:hAnsi="Arial" w:cs="Arial"/>
          <w:sz w:val="24"/>
        </w:rPr>
        <w:t xml:space="preserve"> and </w:t>
      </w:r>
      <w:proofErr w:type="spellStart"/>
      <w:r w:rsidRPr="00A94554">
        <w:rPr>
          <w:rFonts w:ascii="Arial" w:hAnsi="Arial" w:cs="Arial"/>
          <w:sz w:val="24"/>
        </w:rPr>
        <w:t>Milfort</w:t>
      </w:r>
      <w:proofErr w:type="spellEnd"/>
      <w:r w:rsidRPr="00A94554">
        <w:rPr>
          <w:rFonts w:ascii="Arial" w:hAnsi="Arial" w:cs="Arial"/>
          <w:sz w:val="24"/>
        </w:rPr>
        <w:t xml:space="preserve"> (2006), ‘</w:t>
      </w:r>
      <w:hyperlink r:id="rId24" w:history="1">
        <w:r w:rsidRPr="00E16248">
          <w:rPr>
            <w:rStyle w:val="Hyperlink"/>
            <w:rFonts w:ascii="Arial" w:hAnsi="Arial" w:cs="Arial"/>
            <w:sz w:val="24"/>
          </w:rPr>
          <w:t xml:space="preserve">Evaluation of Disability Employment Policy Demonstration Programs Task 10. </w:t>
        </w:r>
        <w:proofErr w:type="spellStart"/>
        <w:r w:rsidRPr="00E16248">
          <w:rPr>
            <w:rStyle w:val="Hyperlink"/>
            <w:rFonts w:ascii="Arial" w:hAnsi="Arial" w:cs="Arial"/>
            <w:sz w:val="24"/>
          </w:rPr>
          <w:t>Indepth</w:t>
        </w:r>
        <w:proofErr w:type="spellEnd"/>
        <w:r w:rsidRPr="00E16248">
          <w:rPr>
            <w:rStyle w:val="Hyperlink"/>
            <w:rFonts w:ascii="Arial" w:hAnsi="Arial" w:cs="Arial"/>
            <w:sz w:val="24"/>
          </w:rPr>
          <w:t xml:space="preserve"> Issue Analysis: Role of Intermediaries in </w:t>
        </w:r>
        <w:r w:rsidRPr="00E16248">
          <w:rPr>
            <w:rStyle w:val="Hyperlink"/>
            <w:rFonts w:ascii="Arial" w:hAnsi="Arial" w:cs="Arial"/>
            <w:sz w:val="24"/>
          </w:rPr>
          <w:t>ODEP</w:t>
        </w:r>
        <w:r w:rsidRPr="00E16248">
          <w:rPr>
            <w:rStyle w:val="Hyperlink"/>
            <w:rFonts w:ascii="Arial" w:hAnsi="Arial" w:cs="Arial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z w:val="24"/>
          </w:rPr>
          <w:t>Youth Demonstration Programs’</w:t>
        </w:r>
      </w:hyperlink>
      <w:r w:rsidRPr="00E16248">
        <w:rPr>
          <w:rFonts w:ascii="Arial" w:hAnsi="Arial" w:cs="Arial"/>
          <w:sz w:val="24"/>
        </w:rPr>
        <w:t xml:space="preserve"> </w:t>
      </w:r>
    </w:p>
    <w:p w14:paraId="55470017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1" w:line="261" w:lineRule="auto"/>
        <w:ind w:right="2659"/>
        <w:rPr>
          <w:rFonts w:ascii="Arial" w:hAnsi="Arial" w:cs="Arial"/>
          <w:sz w:val="24"/>
        </w:rPr>
      </w:pPr>
      <w:r w:rsidRPr="00A94554">
        <w:rPr>
          <w:rFonts w:ascii="Arial" w:hAnsi="Arial" w:cs="Arial"/>
          <w:spacing w:val="-2"/>
          <w:sz w:val="24"/>
        </w:rPr>
        <w:t>The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>Federal Partners in</w:t>
      </w:r>
      <w:r w:rsidRPr="00A94554">
        <w:rPr>
          <w:rFonts w:ascii="Arial" w:hAnsi="Arial" w:cs="Arial"/>
          <w:spacing w:val="-9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>Transition (FPT)</w:t>
      </w:r>
      <w:r w:rsidRPr="00A94554">
        <w:rPr>
          <w:rFonts w:ascii="Arial" w:hAnsi="Arial" w:cs="Arial"/>
          <w:spacing w:val="-9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>The 2020 Federal</w:t>
      </w:r>
      <w:r w:rsidRPr="00A94554">
        <w:rPr>
          <w:rFonts w:ascii="Arial" w:hAnsi="Arial" w:cs="Arial"/>
          <w:spacing w:val="-9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>Youth</w:t>
      </w:r>
      <w:r w:rsidRPr="00A94554">
        <w:rPr>
          <w:rFonts w:ascii="Arial" w:hAnsi="Arial" w:cs="Arial"/>
          <w:spacing w:val="-9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>Transition Plan: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pacing w:val="-2"/>
          <w:sz w:val="24"/>
        </w:rPr>
        <w:t xml:space="preserve">A Federal </w:t>
      </w:r>
      <w:r w:rsidRPr="00A94554">
        <w:rPr>
          <w:rFonts w:ascii="Arial" w:hAnsi="Arial" w:cs="Arial"/>
          <w:sz w:val="24"/>
        </w:rPr>
        <w:t>Interagency Strategy (2015)</w:t>
      </w:r>
    </w:p>
    <w:p w14:paraId="55470018" w14:textId="5337AA7E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2" w:line="261" w:lineRule="auto"/>
        <w:ind w:right="2574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Hawkins,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A, Rasheed, E 2016,</w:t>
      </w:r>
      <w:r w:rsidRPr="00E16248">
        <w:rPr>
          <w:rFonts w:ascii="Arial" w:hAnsi="Arial" w:cs="Arial"/>
          <w:sz w:val="24"/>
        </w:rPr>
        <w:t xml:space="preserve"> </w:t>
      </w:r>
      <w:hyperlink r:id="rId25" w:history="1">
        <w:r w:rsidRPr="00E16248">
          <w:rPr>
            <w:rStyle w:val="Hyperlink"/>
            <w:rFonts w:ascii="Arial" w:hAnsi="Arial" w:cs="Arial"/>
            <w:sz w:val="24"/>
          </w:rPr>
          <w:t xml:space="preserve">Ticket to Work pilot outcomes study: a quasi-experimental </w:t>
        </w:r>
        <w:r w:rsidRPr="00E16248">
          <w:rPr>
            <w:rStyle w:val="Hyperlink"/>
            <w:rFonts w:ascii="Arial" w:hAnsi="Arial" w:cs="Arial"/>
            <w:sz w:val="24"/>
          </w:rPr>
          <w:t>evaluation of pathways from school to economic an</w:t>
        </w:r>
        <w:r w:rsidRPr="00E16248">
          <w:rPr>
            <w:rStyle w:val="Hyperlink"/>
            <w:rFonts w:ascii="Arial" w:hAnsi="Arial" w:cs="Arial"/>
            <w:sz w:val="24"/>
          </w:rPr>
          <w:t>d social inclusion, ARTD Sydney</w:t>
        </w:r>
      </w:hyperlink>
      <w:r w:rsidRPr="00A94554">
        <w:rPr>
          <w:rFonts w:ascii="Arial" w:hAnsi="Arial" w:cs="Arial"/>
          <w:w w:val="80"/>
          <w:sz w:val="24"/>
        </w:rPr>
        <w:t xml:space="preserve"> </w:t>
      </w:r>
    </w:p>
    <w:p w14:paraId="55470019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2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ARTD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Consultants</w:t>
      </w:r>
      <w:r w:rsidRPr="00A94554">
        <w:rPr>
          <w:rFonts w:ascii="Arial" w:hAnsi="Arial" w:cs="Arial"/>
          <w:spacing w:val="-1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(2017).</w:t>
      </w:r>
      <w:r w:rsidRPr="00A94554">
        <w:rPr>
          <w:rFonts w:ascii="Arial" w:hAnsi="Arial" w:cs="Arial"/>
          <w:spacing w:val="-1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Ticket to</w:t>
      </w:r>
      <w:r w:rsidRPr="00A94554">
        <w:rPr>
          <w:rFonts w:ascii="Arial" w:hAnsi="Arial" w:cs="Arial"/>
          <w:spacing w:val="-8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Work</w:t>
      </w:r>
      <w:r w:rsidRPr="00A94554">
        <w:rPr>
          <w:rFonts w:ascii="Arial" w:hAnsi="Arial" w:cs="Arial"/>
          <w:spacing w:val="-1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Network</w:t>
      </w:r>
      <w:r w:rsidRPr="00A94554">
        <w:rPr>
          <w:rFonts w:ascii="Arial" w:hAnsi="Arial" w:cs="Arial"/>
          <w:spacing w:val="-8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Analysis.</w:t>
      </w:r>
      <w:r w:rsidRPr="00A94554">
        <w:rPr>
          <w:rFonts w:ascii="Arial" w:hAnsi="Arial" w:cs="Arial"/>
          <w:spacing w:val="4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National</w:t>
      </w:r>
      <w:r w:rsidRPr="00A94554">
        <w:rPr>
          <w:rFonts w:ascii="Arial" w:hAnsi="Arial" w:cs="Arial"/>
          <w:spacing w:val="-1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Disability </w:t>
      </w:r>
      <w:r w:rsidRPr="00A94554">
        <w:rPr>
          <w:rFonts w:ascii="Arial" w:hAnsi="Arial" w:cs="Arial"/>
          <w:spacing w:val="-2"/>
          <w:sz w:val="24"/>
        </w:rPr>
        <w:t>Services,</w:t>
      </w:r>
    </w:p>
    <w:p w14:paraId="5547001A" w14:textId="77777777" w:rsidR="00DC2449" w:rsidRPr="00E16248" w:rsidRDefault="00BF173D">
      <w:pPr>
        <w:pStyle w:val="BodyText"/>
        <w:spacing w:before="24"/>
        <w:ind w:left="1370"/>
        <w:rPr>
          <w:rFonts w:eastAsia="Arial Narrow"/>
          <w:spacing w:val="-3"/>
          <w:szCs w:val="22"/>
        </w:rPr>
      </w:pPr>
      <w:r w:rsidRPr="00E16248">
        <w:rPr>
          <w:rFonts w:eastAsia="Arial Narrow"/>
          <w:spacing w:val="-3"/>
          <w:szCs w:val="22"/>
        </w:rPr>
        <w:t>NSW</w:t>
      </w:r>
    </w:p>
    <w:p w14:paraId="5547001B" w14:textId="2339BEFF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37" w:line="261" w:lineRule="auto"/>
        <w:ind w:right="2462"/>
        <w:rPr>
          <w:rFonts w:ascii="Arial" w:hAnsi="Arial" w:cs="Arial"/>
          <w:sz w:val="24"/>
        </w:rPr>
      </w:pPr>
      <w:r w:rsidRPr="00E16248">
        <w:rPr>
          <w:rFonts w:ascii="Arial" w:hAnsi="Arial" w:cs="Arial"/>
          <w:spacing w:val="-3"/>
          <w:sz w:val="24"/>
        </w:rPr>
        <w:t>National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disability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Services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(NDS)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School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to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work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transition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and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the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National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 xml:space="preserve">Disability </w:t>
      </w:r>
      <w:r w:rsidRPr="00E16248">
        <w:rPr>
          <w:rFonts w:ascii="Arial" w:hAnsi="Arial" w:cs="Arial"/>
          <w:spacing w:val="-3"/>
          <w:sz w:val="24"/>
        </w:rPr>
        <w:t>Insurance Scheme (NDIS):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The NDIS and the interface with other service systems in school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 xml:space="preserve">to work transition. </w:t>
      </w:r>
      <w:hyperlink r:id="rId26" w:history="1">
        <w:r w:rsidRPr="00E16248">
          <w:rPr>
            <w:rStyle w:val="Hyperlink"/>
            <w:rFonts w:ascii="Arial" w:hAnsi="Arial" w:cs="Arial"/>
            <w:spacing w:val="-3"/>
            <w:sz w:val="24"/>
          </w:rPr>
          <w:t>Ticket to Work resource</w:t>
        </w:r>
      </w:hyperlink>
      <w:r w:rsidRPr="00E16248">
        <w:rPr>
          <w:rFonts w:ascii="Arial" w:hAnsi="Arial" w:cs="Arial"/>
          <w:spacing w:val="-3"/>
          <w:sz w:val="24"/>
        </w:rPr>
        <w:t xml:space="preserve"> </w:t>
      </w:r>
    </w:p>
    <w:p w14:paraId="5547001C" w14:textId="163AA76C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0" w:line="261" w:lineRule="auto"/>
        <w:ind w:right="2814"/>
        <w:rPr>
          <w:rFonts w:ascii="Arial" w:hAnsi="Arial" w:cs="Arial"/>
          <w:sz w:val="24"/>
        </w:rPr>
      </w:pPr>
      <w:proofErr w:type="spellStart"/>
      <w:r w:rsidRPr="00A94554">
        <w:rPr>
          <w:rFonts w:ascii="Arial" w:hAnsi="Arial" w:cs="Arial"/>
          <w:w w:val="105"/>
          <w:sz w:val="24"/>
        </w:rPr>
        <w:t>Tianxi</w:t>
      </w:r>
      <w:proofErr w:type="spellEnd"/>
      <w:r w:rsidRPr="00A94554">
        <w:rPr>
          <w:rFonts w:ascii="Arial" w:hAnsi="Arial" w:cs="Arial"/>
          <w:spacing w:val="-15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Xu</w:t>
      </w:r>
      <w:r w:rsidRPr="00A94554">
        <w:rPr>
          <w:rFonts w:ascii="Arial" w:hAnsi="Arial" w:cs="Arial"/>
          <w:spacing w:val="-14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and</w:t>
      </w:r>
      <w:r w:rsidRPr="00A94554">
        <w:rPr>
          <w:rFonts w:ascii="Arial" w:hAnsi="Arial" w:cs="Arial"/>
          <w:spacing w:val="-15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Roger</w:t>
      </w:r>
      <w:r w:rsidRPr="00A94554">
        <w:rPr>
          <w:rFonts w:ascii="Arial" w:hAnsi="Arial" w:cs="Arial"/>
          <w:spacing w:val="-14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J.</w:t>
      </w:r>
      <w:r w:rsidRPr="00A94554">
        <w:rPr>
          <w:rFonts w:ascii="Arial" w:hAnsi="Arial" w:cs="Arial"/>
          <w:spacing w:val="-14"/>
          <w:w w:val="105"/>
          <w:sz w:val="24"/>
        </w:rPr>
        <w:t xml:space="preserve"> </w:t>
      </w:r>
      <w:proofErr w:type="spellStart"/>
      <w:r w:rsidRPr="00A94554">
        <w:rPr>
          <w:rFonts w:ascii="Arial" w:hAnsi="Arial" w:cs="Arial"/>
          <w:w w:val="105"/>
          <w:sz w:val="24"/>
        </w:rPr>
        <w:t>Stancliffe</w:t>
      </w:r>
      <w:proofErr w:type="spellEnd"/>
      <w:r w:rsidRPr="00A94554">
        <w:rPr>
          <w:rFonts w:ascii="Arial" w:hAnsi="Arial" w:cs="Arial"/>
          <w:spacing w:val="-15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(2017),</w:t>
      </w:r>
      <w:r w:rsidRPr="00A94554">
        <w:rPr>
          <w:rFonts w:ascii="Arial" w:hAnsi="Arial" w:cs="Arial"/>
          <w:spacing w:val="-17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An</w:t>
      </w:r>
      <w:r w:rsidRPr="00A94554">
        <w:rPr>
          <w:rFonts w:ascii="Arial" w:hAnsi="Arial" w:cs="Arial"/>
          <w:spacing w:val="-13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evaluation</w:t>
      </w:r>
      <w:r w:rsidRPr="00A94554">
        <w:rPr>
          <w:rFonts w:ascii="Arial" w:hAnsi="Arial" w:cs="Arial"/>
          <w:spacing w:val="-12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of</w:t>
      </w:r>
      <w:r w:rsidRPr="00A94554">
        <w:rPr>
          <w:rFonts w:ascii="Arial" w:hAnsi="Arial" w:cs="Arial"/>
          <w:spacing w:val="-13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>employment</w:t>
      </w:r>
      <w:r w:rsidRPr="00A94554">
        <w:rPr>
          <w:rFonts w:ascii="Arial" w:hAnsi="Arial" w:cs="Arial"/>
          <w:spacing w:val="-12"/>
          <w:w w:val="105"/>
          <w:sz w:val="24"/>
        </w:rPr>
        <w:t xml:space="preserve"> </w:t>
      </w:r>
      <w:r w:rsidRPr="00A94554">
        <w:rPr>
          <w:rFonts w:ascii="Arial" w:hAnsi="Arial" w:cs="Arial"/>
          <w:w w:val="105"/>
          <w:sz w:val="24"/>
        </w:rPr>
        <w:t xml:space="preserve">outcomes </w:t>
      </w:r>
      <w:r w:rsidRPr="00A94554">
        <w:rPr>
          <w:rFonts w:ascii="Arial" w:hAnsi="Arial" w:cs="Arial"/>
          <w:sz w:val="24"/>
        </w:rPr>
        <w:t xml:space="preserve">achieved </w:t>
      </w:r>
      <w:r w:rsidRPr="00A94554">
        <w:rPr>
          <w:rFonts w:ascii="Arial" w:hAnsi="Arial" w:cs="Arial"/>
          <w:sz w:val="24"/>
        </w:rPr>
        <w:t>by transition to work providers in Sydney,</w:t>
      </w:r>
      <w:r w:rsidRPr="00A94554">
        <w:rPr>
          <w:rFonts w:ascii="Arial" w:hAnsi="Arial" w:cs="Arial"/>
          <w:spacing w:val="-10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Australia. </w:t>
      </w:r>
      <w:hyperlink r:id="rId27" w:history="1">
        <w:r w:rsidRPr="00E16248">
          <w:rPr>
            <w:rStyle w:val="Hyperlink"/>
            <w:rFonts w:ascii="Arial" w:hAnsi="Arial" w:cs="Arial"/>
            <w:sz w:val="24"/>
          </w:rPr>
          <w:t xml:space="preserve">Journal of Intellectual and </w:t>
        </w:r>
        <w:r w:rsidRPr="00E16248">
          <w:rPr>
            <w:rStyle w:val="Hyperlink"/>
            <w:rFonts w:ascii="Arial" w:hAnsi="Arial" w:cs="Arial"/>
            <w:w w:val="105"/>
            <w:sz w:val="24"/>
          </w:rPr>
          <w:t>Developmental Disability, DOI</w:t>
        </w:r>
      </w:hyperlink>
      <w:r w:rsidRPr="00A94554">
        <w:rPr>
          <w:rFonts w:ascii="Arial" w:hAnsi="Arial" w:cs="Arial"/>
          <w:w w:val="105"/>
          <w:sz w:val="24"/>
        </w:rPr>
        <w:t xml:space="preserve">: </w:t>
      </w:r>
    </w:p>
    <w:p w14:paraId="5547001D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113" w:line="261" w:lineRule="auto"/>
        <w:ind w:left="1371" w:right="2785"/>
        <w:rPr>
          <w:rFonts w:ascii="Arial" w:hAnsi="Arial" w:cs="Arial"/>
          <w:sz w:val="24"/>
        </w:rPr>
      </w:pPr>
      <w:proofErr w:type="spellStart"/>
      <w:r w:rsidRPr="00A94554">
        <w:rPr>
          <w:rFonts w:ascii="Arial" w:hAnsi="Arial" w:cs="Arial"/>
          <w:sz w:val="24"/>
        </w:rPr>
        <w:t>Karmel,T</w:t>
      </w:r>
      <w:proofErr w:type="spellEnd"/>
      <w:r w:rsidRPr="00A94554">
        <w:rPr>
          <w:rFonts w:ascii="Arial" w:hAnsi="Arial" w:cs="Arial"/>
          <w:sz w:val="24"/>
        </w:rPr>
        <w:t xml:space="preserve"> and Nguyen,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N.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(2008),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‘Disability and learning outcomes:</w:t>
      </w:r>
      <w:r w:rsidRPr="00A94554">
        <w:rPr>
          <w:rFonts w:ascii="Arial" w:hAnsi="Arial" w:cs="Arial"/>
          <w:spacing w:val="-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How much does the disability really matter?’, </w:t>
      </w:r>
      <w:r w:rsidRPr="00A94554">
        <w:rPr>
          <w:rFonts w:ascii="Arial" w:hAnsi="Arial" w:cs="Arial"/>
          <w:sz w:val="24"/>
        </w:rPr>
        <w:t>NCVER.</w:t>
      </w:r>
    </w:p>
    <w:p w14:paraId="5547001E" w14:textId="749B7971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113" w:line="261" w:lineRule="auto"/>
        <w:ind w:left="1371" w:right="2761"/>
        <w:rPr>
          <w:rFonts w:ascii="Arial" w:hAnsi="Arial" w:cs="Arial"/>
          <w:sz w:val="24"/>
        </w:rPr>
      </w:pPr>
      <w:r w:rsidRPr="00E16248">
        <w:rPr>
          <w:rFonts w:ascii="Arial" w:hAnsi="Arial" w:cs="Arial"/>
          <w:spacing w:val="-3"/>
          <w:sz w:val="24"/>
        </w:rPr>
        <w:t>Wakeford, M, Waugh, F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(2010), “</w:t>
      </w:r>
      <w:hyperlink r:id="rId28" w:history="1">
        <w:r w:rsidRPr="00E16248">
          <w:rPr>
            <w:rStyle w:val="Hyperlink"/>
            <w:rFonts w:ascii="Arial" w:hAnsi="Arial" w:cs="Arial"/>
            <w:spacing w:val="-3"/>
            <w:sz w:val="24"/>
          </w:rPr>
          <w:t>Ticket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to Work”: an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employment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and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transition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model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for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students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with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a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 xml:space="preserve"> </w:t>
        </w:r>
        <w:r w:rsidRPr="00E16248">
          <w:rPr>
            <w:rStyle w:val="Hyperlink"/>
            <w:rFonts w:ascii="Arial" w:hAnsi="Arial" w:cs="Arial"/>
            <w:spacing w:val="-3"/>
            <w:sz w:val="24"/>
          </w:rPr>
          <w:t>disability</w:t>
        </w:r>
      </w:hyperlink>
      <w:r w:rsidRPr="00E16248">
        <w:rPr>
          <w:rFonts w:ascii="Arial" w:hAnsi="Arial" w:cs="Arial"/>
          <w:spacing w:val="-3"/>
          <w:sz w:val="24"/>
        </w:rPr>
        <w:t>,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Ticket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to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Work,</w:t>
      </w:r>
      <w:r w:rsidRPr="00E16248">
        <w:rPr>
          <w:rFonts w:ascii="Arial" w:hAnsi="Arial" w:cs="Arial"/>
          <w:spacing w:val="-3"/>
          <w:sz w:val="24"/>
        </w:rPr>
        <w:t xml:space="preserve"> </w:t>
      </w:r>
      <w:r w:rsidRPr="00E16248">
        <w:rPr>
          <w:rFonts w:ascii="Arial" w:hAnsi="Arial" w:cs="Arial"/>
          <w:spacing w:val="-3"/>
          <w:sz w:val="24"/>
        </w:rPr>
        <w:t>Cheltenham,</w:t>
      </w:r>
      <w:r w:rsidRPr="00E16248">
        <w:rPr>
          <w:rFonts w:ascii="Arial" w:hAnsi="Arial" w:cs="Arial"/>
          <w:spacing w:val="-3"/>
          <w:sz w:val="24"/>
        </w:rPr>
        <w:t xml:space="preserve"> </w:t>
      </w:r>
    </w:p>
    <w:p w14:paraId="5547001F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110" w:line="261" w:lineRule="auto"/>
        <w:ind w:left="1371" w:right="2589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Yu, P. (2009a),</w:t>
      </w:r>
      <w:r w:rsidRPr="00A94554">
        <w:rPr>
          <w:rFonts w:ascii="Arial" w:hAnsi="Arial" w:cs="Arial"/>
          <w:spacing w:val="-1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‘Social participation of youth with disability:</w:t>
      </w:r>
      <w:r w:rsidRPr="00A94554">
        <w:rPr>
          <w:rFonts w:ascii="Arial" w:hAnsi="Arial" w:cs="Arial"/>
          <w:spacing w:val="-1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 study with the first seven waves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of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HILDA’,</w:t>
      </w:r>
      <w:r w:rsidRPr="00A94554">
        <w:rPr>
          <w:rFonts w:ascii="Arial" w:hAnsi="Arial" w:cs="Arial"/>
          <w:spacing w:val="-1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paper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presented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at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HILDA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Survey</w:t>
      </w:r>
      <w:r w:rsidRPr="00A94554">
        <w:rPr>
          <w:rFonts w:ascii="Arial" w:hAnsi="Arial" w:cs="Arial"/>
          <w:spacing w:val="-5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Research</w:t>
      </w:r>
      <w:r w:rsidRPr="00A94554">
        <w:rPr>
          <w:rFonts w:ascii="Arial" w:hAnsi="Arial" w:cs="Arial"/>
          <w:spacing w:val="-6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Conference,</w:t>
      </w:r>
      <w:r w:rsidRPr="00A94554">
        <w:rPr>
          <w:rFonts w:ascii="Arial" w:hAnsi="Arial" w:cs="Arial"/>
          <w:spacing w:val="-1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Melbourne,</w:t>
      </w:r>
      <w:r w:rsidRPr="00A94554">
        <w:rPr>
          <w:rFonts w:ascii="Arial" w:hAnsi="Arial" w:cs="Arial"/>
          <w:spacing w:val="-13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July </w:t>
      </w:r>
      <w:r w:rsidRPr="00A94554">
        <w:rPr>
          <w:rFonts w:ascii="Arial" w:hAnsi="Arial" w:cs="Arial"/>
          <w:spacing w:val="-4"/>
          <w:sz w:val="24"/>
        </w:rPr>
        <w:t>2009</w:t>
      </w:r>
    </w:p>
    <w:p w14:paraId="55470020" w14:textId="77777777" w:rsidR="00DC2449" w:rsidRPr="00A94554" w:rsidRDefault="00BF173D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112" w:line="261" w:lineRule="auto"/>
        <w:ind w:left="1371" w:right="2779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Winn,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S.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and Hay,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I.</w:t>
      </w:r>
      <w:r w:rsidRPr="00A94554">
        <w:rPr>
          <w:rFonts w:ascii="Arial" w:hAnsi="Arial" w:cs="Arial"/>
          <w:spacing w:val="-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2009,</w:t>
      </w:r>
      <w:r w:rsidRPr="00A94554">
        <w:rPr>
          <w:rFonts w:ascii="Arial" w:hAnsi="Arial" w:cs="Arial"/>
          <w:spacing w:val="-12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‘Transition from school for youths with a disability: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>issues and challenges’, Disability and Society, vol. 24, no. 1, pp. 103-115.</w:t>
      </w:r>
    </w:p>
    <w:p w14:paraId="55470027" w14:textId="04880ACA" w:rsidR="00DC2449" w:rsidRPr="00E16248" w:rsidRDefault="00BF173D" w:rsidP="00E16248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spacing w:before="112" w:line="261" w:lineRule="auto"/>
        <w:ind w:left="1371" w:right="2779"/>
        <w:rPr>
          <w:rFonts w:ascii="Arial" w:hAnsi="Arial" w:cs="Arial"/>
          <w:sz w:val="24"/>
        </w:rPr>
      </w:pPr>
      <w:r w:rsidRPr="00A94554">
        <w:rPr>
          <w:rFonts w:ascii="Arial" w:hAnsi="Arial" w:cs="Arial"/>
          <w:sz w:val="24"/>
        </w:rPr>
        <w:t>Kohler, P. D.; Field, S.</w:t>
      </w:r>
      <w:r w:rsidRPr="00E16248">
        <w:rPr>
          <w:rFonts w:ascii="Arial" w:hAnsi="Arial" w:cs="Arial"/>
          <w:sz w:val="24"/>
        </w:rPr>
        <w:t xml:space="preserve"> </w:t>
      </w:r>
      <w:r w:rsidRPr="00A94554">
        <w:rPr>
          <w:rFonts w:ascii="Arial" w:hAnsi="Arial" w:cs="Arial"/>
          <w:sz w:val="24"/>
        </w:rPr>
        <w:t xml:space="preserve">Transition-Focused Education: </w:t>
      </w:r>
      <w:hyperlink r:id="rId29" w:history="1">
        <w:r w:rsidRPr="00E16248">
          <w:rPr>
            <w:rFonts w:ascii="Arial" w:hAnsi="Arial" w:cs="Arial"/>
            <w:sz w:val="24"/>
          </w:rPr>
          <w:t>Foundation for the Fut</w:t>
        </w:r>
        <w:r w:rsidRPr="00E16248">
          <w:rPr>
            <w:rFonts w:ascii="Arial" w:hAnsi="Arial" w:cs="Arial"/>
            <w:sz w:val="24"/>
          </w:rPr>
          <w:t>ure Journal of Special</w:t>
        </w:r>
        <w:r w:rsidRPr="00E16248">
          <w:rPr>
            <w:rFonts w:ascii="Arial" w:hAnsi="Arial" w:cs="Arial"/>
            <w:sz w:val="24"/>
          </w:rPr>
          <w:t xml:space="preserve"> </w:t>
        </w:r>
        <w:r w:rsidRPr="00E16248">
          <w:rPr>
            <w:rFonts w:ascii="Arial" w:hAnsi="Arial" w:cs="Arial"/>
            <w:sz w:val="24"/>
          </w:rPr>
          <w:t>Education, v37</w:t>
        </w:r>
        <w:r w:rsidRPr="00E16248">
          <w:rPr>
            <w:rFonts w:ascii="Arial" w:hAnsi="Arial" w:cs="Arial"/>
            <w:sz w:val="24"/>
          </w:rPr>
          <w:t xml:space="preserve"> </w:t>
        </w:r>
        <w:r w:rsidRPr="00E16248">
          <w:rPr>
            <w:rFonts w:ascii="Arial" w:hAnsi="Arial" w:cs="Arial"/>
            <w:sz w:val="24"/>
          </w:rPr>
          <w:t>n3</w:t>
        </w:r>
        <w:r w:rsidRPr="00E16248">
          <w:rPr>
            <w:rFonts w:ascii="Arial" w:hAnsi="Arial" w:cs="Arial"/>
            <w:sz w:val="24"/>
          </w:rPr>
          <w:t xml:space="preserve"> </w:t>
        </w:r>
        <w:r w:rsidRPr="00E16248">
          <w:rPr>
            <w:rFonts w:ascii="Arial" w:hAnsi="Arial" w:cs="Arial"/>
            <w:sz w:val="24"/>
          </w:rPr>
          <w:t>p174-183</w:t>
        </w:r>
        <w:r w:rsidRPr="00E16248">
          <w:rPr>
            <w:rFonts w:ascii="Arial" w:hAnsi="Arial" w:cs="Arial"/>
            <w:sz w:val="24"/>
          </w:rPr>
          <w:t xml:space="preserve"> </w:t>
        </w:r>
        <w:r w:rsidRPr="00E16248">
          <w:rPr>
            <w:rFonts w:ascii="Arial" w:hAnsi="Arial" w:cs="Arial"/>
            <w:sz w:val="24"/>
          </w:rPr>
          <w:t>Oct</w:t>
        </w:r>
        <w:r w:rsidRPr="00E16248">
          <w:rPr>
            <w:rFonts w:ascii="Arial" w:hAnsi="Arial" w:cs="Arial"/>
            <w:sz w:val="24"/>
          </w:rPr>
          <w:t xml:space="preserve"> </w:t>
        </w:r>
        <w:r w:rsidRPr="00E16248">
          <w:rPr>
            <w:rFonts w:ascii="Arial" w:hAnsi="Arial" w:cs="Arial"/>
            <w:sz w:val="24"/>
          </w:rPr>
          <w:t>2003</w:t>
        </w:r>
      </w:hyperlink>
    </w:p>
    <w:sectPr w:rsidR="00DC2449" w:rsidRPr="00E16248">
      <w:headerReference w:type="default" r:id="rId30"/>
      <w:pgSz w:w="11910" w:h="16840"/>
      <w:pgMar w:top="1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0083" w14:textId="77777777" w:rsidR="00000000" w:rsidRDefault="00BF173D">
      <w:r>
        <w:separator/>
      </w:r>
    </w:p>
  </w:endnote>
  <w:endnote w:type="continuationSeparator" w:id="0">
    <w:p w14:paraId="55470085" w14:textId="77777777" w:rsidR="00000000" w:rsidRDefault="00B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007F" w14:textId="77777777" w:rsidR="00000000" w:rsidRDefault="00BF173D">
      <w:r>
        <w:separator/>
      </w:r>
    </w:p>
  </w:footnote>
  <w:footnote w:type="continuationSeparator" w:id="0">
    <w:p w14:paraId="55470081" w14:textId="77777777" w:rsidR="00000000" w:rsidRDefault="00B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007D" w14:textId="44B5FD05" w:rsidR="00DC2449" w:rsidRDefault="00DC244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007E" w14:textId="77777777" w:rsidR="00DC2449" w:rsidRDefault="00DC244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38"/>
    <w:multiLevelType w:val="hybridMultilevel"/>
    <w:tmpl w:val="3260EA6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FB17A52"/>
    <w:multiLevelType w:val="hybridMultilevel"/>
    <w:tmpl w:val="E598AE40"/>
    <w:lvl w:ilvl="0" w:tplc="41549378">
      <w:start w:val="1"/>
      <w:numFmt w:val="decimal"/>
      <w:lvlText w:val="%1."/>
      <w:lvlJc w:val="left"/>
      <w:pPr>
        <w:ind w:left="1370" w:hanging="521"/>
      </w:pPr>
      <w:rPr>
        <w:rFonts w:hint="default"/>
        <w:w w:val="86"/>
        <w:lang w:val="en-US" w:eastAsia="en-US" w:bidi="ar-SA"/>
      </w:rPr>
    </w:lvl>
    <w:lvl w:ilvl="1" w:tplc="004CD344">
      <w:numFmt w:val="bullet"/>
      <w:lvlText w:val="•"/>
      <w:lvlJc w:val="left"/>
      <w:pPr>
        <w:ind w:left="2432" w:hanging="521"/>
      </w:pPr>
      <w:rPr>
        <w:rFonts w:hint="default"/>
        <w:lang w:val="en-US" w:eastAsia="en-US" w:bidi="ar-SA"/>
      </w:rPr>
    </w:lvl>
    <w:lvl w:ilvl="2" w:tplc="8BF0E546">
      <w:numFmt w:val="bullet"/>
      <w:lvlText w:val="•"/>
      <w:lvlJc w:val="left"/>
      <w:pPr>
        <w:ind w:left="3485" w:hanging="521"/>
      </w:pPr>
      <w:rPr>
        <w:rFonts w:hint="default"/>
        <w:lang w:val="en-US" w:eastAsia="en-US" w:bidi="ar-SA"/>
      </w:rPr>
    </w:lvl>
    <w:lvl w:ilvl="3" w:tplc="66645FA2">
      <w:numFmt w:val="bullet"/>
      <w:lvlText w:val="•"/>
      <w:lvlJc w:val="left"/>
      <w:pPr>
        <w:ind w:left="4537" w:hanging="521"/>
      </w:pPr>
      <w:rPr>
        <w:rFonts w:hint="default"/>
        <w:lang w:val="en-US" w:eastAsia="en-US" w:bidi="ar-SA"/>
      </w:rPr>
    </w:lvl>
    <w:lvl w:ilvl="4" w:tplc="3320B5B4">
      <w:numFmt w:val="bullet"/>
      <w:lvlText w:val="•"/>
      <w:lvlJc w:val="left"/>
      <w:pPr>
        <w:ind w:left="5590" w:hanging="521"/>
      </w:pPr>
      <w:rPr>
        <w:rFonts w:hint="default"/>
        <w:lang w:val="en-US" w:eastAsia="en-US" w:bidi="ar-SA"/>
      </w:rPr>
    </w:lvl>
    <w:lvl w:ilvl="5" w:tplc="736C5B52">
      <w:numFmt w:val="bullet"/>
      <w:lvlText w:val="•"/>
      <w:lvlJc w:val="left"/>
      <w:pPr>
        <w:ind w:left="6642" w:hanging="521"/>
      </w:pPr>
      <w:rPr>
        <w:rFonts w:hint="default"/>
        <w:lang w:val="en-US" w:eastAsia="en-US" w:bidi="ar-SA"/>
      </w:rPr>
    </w:lvl>
    <w:lvl w:ilvl="6" w:tplc="C688F6AE">
      <w:numFmt w:val="bullet"/>
      <w:lvlText w:val="•"/>
      <w:lvlJc w:val="left"/>
      <w:pPr>
        <w:ind w:left="7695" w:hanging="521"/>
      </w:pPr>
      <w:rPr>
        <w:rFonts w:hint="default"/>
        <w:lang w:val="en-US" w:eastAsia="en-US" w:bidi="ar-SA"/>
      </w:rPr>
    </w:lvl>
    <w:lvl w:ilvl="7" w:tplc="12F80AA4">
      <w:numFmt w:val="bullet"/>
      <w:lvlText w:val="•"/>
      <w:lvlJc w:val="left"/>
      <w:pPr>
        <w:ind w:left="8747" w:hanging="521"/>
      </w:pPr>
      <w:rPr>
        <w:rFonts w:hint="default"/>
        <w:lang w:val="en-US" w:eastAsia="en-US" w:bidi="ar-SA"/>
      </w:rPr>
    </w:lvl>
    <w:lvl w:ilvl="8" w:tplc="822AE56E">
      <w:numFmt w:val="bullet"/>
      <w:lvlText w:val="•"/>
      <w:lvlJc w:val="left"/>
      <w:pPr>
        <w:ind w:left="9800" w:hanging="521"/>
      </w:pPr>
      <w:rPr>
        <w:rFonts w:hint="default"/>
        <w:lang w:val="en-US" w:eastAsia="en-US" w:bidi="ar-SA"/>
      </w:rPr>
    </w:lvl>
  </w:abstractNum>
  <w:abstractNum w:abstractNumId="2" w15:restartNumberingAfterBreak="0">
    <w:nsid w:val="26583F73"/>
    <w:multiLevelType w:val="hybridMultilevel"/>
    <w:tmpl w:val="F8D48126"/>
    <w:lvl w:ilvl="0" w:tplc="2A707380">
      <w:start w:val="1"/>
      <w:numFmt w:val="lowerLetter"/>
      <w:lvlText w:val="%1."/>
      <w:lvlJc w:val="left"/>
      <w:pPr>
        <w:ind w:left="1570" w:hanging="300"/>
      </w:pPr>
      <w:rPr>
        <w:rFonts w:ascii="Arial" w:eastAsia="Arial Narrow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5E2E6A">
      <w:numFmt w:val="bullet"/>
      <w:lvlText w:val="•"/>
      <w:lvlJc w:val="left"/>
      <w:pPr>
        <w:ind w:left="2612" w:hanging="300"/>
      </w:pPr>
      <w:rPr>
        <w:rFonts w:hint="default"/>
        <w:lang w:val="en-US" w:eastAsia="en-US" w:bidi="ar-SA"/>
      </w:rPr>
    </w:lvl>
    <w:lvl w:ilvl="2" w:tplc="E8CC8724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3" w:tplc="FE7C6B42">
      <w:numFmt w:val="bullet"/>
      <w:lvlText w:val="•"/>
      <w:lvlJc w:val="left"/>
      <w:pPr>
        <w:ind w:left="4677" w:hanging="300"/>
      </w:pPr>
      <w:rPr>
        <w:rFonts w:hint="default"/>
        <w:lang w:val="en-US" w:eastAsia="en-US" w:bidi="ar-SA"/>
      </w:rPr>
    </w:lvl>
    <w:lvl w:ilvl="4" w:tplc="521ED3CC">
      <w:numFmt w:val="bullet"/>
      <w:lvlText w:val="•"/>
      <w:lvlJc w:val="left"/>
      <w:pPr>
        <w:ind w:left="5710" w:hanging="300"/>
      </w:pPr>
      <w:rPr>
        <w:rFonts w:hint="default"/>
        <w:lang w:val="en-US" w:eastAsia="en-US" w:bidi="ar-SA"/>
      </w:rPr>
    </w:lvl>
    <w:lvl w:ilvl="5" w:tplc="E516305E">
      <w:numFmt w:val="bullet"/>
      <w:lvlText w:val="•"/>
      <w:lvlJc w:val="left"/>
      <w:pPr>
        <w:ind w:left="6742" w:hanging="300"/>
      </w:pPr>
      <w:rPr>
        <w:rFonts w:hint="default"/>
        <w:lang w:val="en-US" w:eastAsia="en-US" w:bidi="ar-SA"/>
      </w:rPr>
    </w:lvl>
    <w:lvl w:ilvl="6" w:tplc="F40C11B0">
      <w:numFmt w:val="bullet"/>
      <w:lvlText w:val="•"/>
      <w:lvlJc w:val="left"/>
      <w:pPr>
        <w:ind w:left="7775" w:hanging="300"/>
      </w:pPr>
      <w:rPr>
        <w:rFonts w:hint="default"/>
        <w:lang w:val="en-US" w:eastAsia="en-US" w:bidi="ar-SA"/>
      </w:rPr>
    </w:lvl>
    <w:lvl w:ilvl="7" w:tplc="F44CA4DC">
      <w:numFmt w:val="bullet"/>
      <w:lvlText w:val="•"/>
      <w:lvlJc w:val="left"/>
      <w:pPr>
        <w:ind w:left="8807" w:hanging="300"/>
      </w:pPr>
      <w:rPr>
        <w:rFonts w:hint="default"/>
        <w:lang w:val="en-US" w:eastAsia="en-US" w:bidi="ar-SA"/>
      </w:rPr>
    </w:lvl>
    <w:lvl w:ilvl="8" w:tplc="0674E39C">
      <w:numFmt w:val="bullet"/>
      <w:lvlText w:val="•"/>
      <w:lvlJc w:val="left"/>
      <w:pPr>
        <w:ind w:left="9840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3EDB20C4"/>
    <w:multiLevelType w:val="hybridMultilevel"/>
    <w:tmpl w:val="730AE3F2"/>
    <w:lvl w:ilvl="0" w:tplc="67E2D0E0">
      <w:numFmt w:val="bullet"/>
      <w:lvlText w:val="•"/>
      <w:lvlJc w:val="left"/>
      <w:pPr>
        <w:ind w:left="1570" w:hanging="3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74"/>
        <w:sz w:val="24"/>
        <w:szCs w:val="24"/>
        <w:lang w:val="en-US" w:eastAsia="en-US" w:bidi="ar-SA"/>
      </w:rPr>
    </w:lvl>
    <w:lvl w:ilvl="1" w:tplc="D4A8C664">
      <w:numFmt w:val="bullet"/>
      <w:lvlText w:val="•"/>
      <w:lvlJc w:val="left"/>
      <w:pPr>
        <w:ind w:left="2612" w:hanging="300"/>
      </w:pPr>
      <w:rPr>
        <w:rFonts w:hint="default"/>
        <w:lang w:val="en-US" w:eastAsia="en-US" w:bidi="ar-SA"/>
      </w:rPr>
    </w:lvl>
    <w:lvl w:ilvl="2" w:tplc="915A9A3A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3" w:tplc="30685CFC">
      <w:numFmt w:val="bullet"/>
      <w:lvlText w:val="•"/>
      <w:lvlJc w:val="left"/>
      <w:pPr>
        <w:ind w:left="4677" w:hanging="300"/>
      </w:pPr>
      <w:rPr>
        <w:rFonts w:hint="default"/>
        <w:lang w:val="en-US" w:eastAsia="en-US" w:bidi="ar-SA"/>
      </w:rPr>
    </w:lvl>
    <w:lvl w:ilvl="4" w:tplc="8E444262">
      <w:numFmt w:val="bullet"/>
      <w:lvlText w:val="•"/>
      <w:lvlJc w:val="left"/>
      <w:pPr>
        <w:ind w:left="5710" w:hanging="300"/>
      </w:pPr>
      <w:rPr>
        <w:rFonts w:hint="default"/>
        <w:lang w:val="en-US" w:eastAsia="en-US" w:bidi="ar-SA"/>
      </w:rPr>
    </w:lvl>
    <w:lvl w:ilvl="5" w:tplc="03FE63AE">
      <w:numFmt w:val="bullet"/>
      <w:lvlText w:val="•"/>
      <w:lvlJc w:val="left"/>
      <w:pPr>
        <w:ind w:left="6742" w:hanging="300"/>
      </w:pPr>
      <w:rPr>
        <w:rFonts w:hint="default"/>
        <w:lang w:val="en-US" w:eastAsia="en-US" w:bidi="ar-SA"/>
      </w:rPr>
    </w:lvl>
    <w:lvl w:ilvl="6" w:tplc="81589172">
      <w:numFmt w:val="bullet"/>
      <w:lvlText w:val="•"/>
      <w:lvlJc w:val="left"/>
      <w:pPr>
        <w:ind w:left="7775" w:hanging="300"/>
      </w:pPr>
      <w:rPr>
        <w:rFonts w:hint="default"/>
        <w:lang w:val="en-US" w:eastAsia="en-US" w:bidi="ar-SA"/>
      </w:rPr>
    </w:lvl>
    <w:lvl w:ilvl="7" w:tplc="4F2CAF60">
      <w:numFmt w:val="bullet"/>
      <w:lvlText w:val="•"/>
      <w:lvlJc w:val="left"/>
      <w:pPr>
        <w:ind w:left="8807" w:hanging="300"/>
      </w:pPr>
      <w:rPr>
        <w:rFonts w:hint="default"/>
        <w:lang w:val="en-US" w:eastAsia="en-US" w:bidi="ar-SA"/>
      </w:rPr>
    </w:lvl>
    <w:lvl w:ilvl="8" w:tplc="7EF047A0">
      <w:numFmt w:val="bullet"/>
      <w:lvlText w:val="•"/>
      <w:lvlJc w:val="left"/>
      <w:pPr>
        <w:ind w:left="9840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6D245F8E"/>
    <w:multiLevelType w:val="hybridMultilevel"/>
    <w:tmpl w:val="4EF46DC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6A6F16"/>
    <w:multiLevelType w:val="hybridMultilevel"/>
    <w:tmpl w:val="F934C104"/>
    <w:lvl w:ilvl="0" w:tplc="0C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449"/>
    <w:rsid w:val="00021C92"/>
    <w:rsid w:val="00033878"/>
    <w:rsid w:val="000A1215"/>
    <w:rsid w:val="000B168F"/>
    <w:rsid w:val="00151B23"/>
    <w:rsid w:val="001B09D6"/>
    <w:rsid w:val="001D1F94"/>
    <w:rsid w:val="00327F51"/>
    <w:rsid w:val="00615467"/>
    <w:rsid w:val="00645EA8"/>
    <w:rsid w:val="007A5B61"/>
    <w:rsid w:val="008E7F31"/>
    <w:rsid w:val="00925A97"/>
    <w:rsid w:val="00A94554"/>
    <w:rsid w:val="00AF6F05"/>
    <w:rsid w:val="00B029E4"/>
    <w:rsid w:val="00BF173D"/>
    <w:rsid w:val="00CB5A21"/>
    <w:rsid w:val="00CE756F"/>
    <w:rsid w:val="00D217DC"/>
    <w:rsid w:val="00D94D48"/>
    <w:rsid w:val="00DC2449"/>
    <w:rsid w:val="00E16248"/>
    <w:rsid w:val="00E33A60"/>
    <w:rsid w:val="00F11451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546FF00"/>
  <w15:docId w15:val="{D56B3BAD-06F0-40D8-B3E9-E60F5F1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85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85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6"/>
      <w:ind w:left="85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4"/>
      <w:ind w:left="85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"/>
      <w:ind w:left="111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4"/>
      <w:ind w:left="151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1570" w:hanging="52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5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6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94D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217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ickettowork.org.au/school-work-%20transition-national-disability-insurance-scheme-ndis/" TargetMode="External"/><Relationship Id="rId18" Type="http://schemas.openxmlformats.org/officeDocument/2006/relationships/hyperlink" Target="mailto:Michelle@tickettowork.org.au" TargetMode="External"/><Relationship Id="rId26" Type="http://schemas.openxmlformats.org/officeDocument/2006/relationships/hyperlink" Target="http://www.tickettowork.org.au/school-work-transition-national-disability-insurance-scheme-nd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ckettowork.org.au/wp-content/uploads/2016/06/Ticket-to-work-pilot-outcomes-study-2016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ickettowork.org.au/wpcontent/uploads/2016/06/Ticket-to-%20work-pilot-outcomes-study-2016.pdf" TargetMode="External"/><Relationship Id="rId17" Type="http://schemas.openxmlformats.org/officeDocument/2006/relationships/hyperlink" Target="mailto:kerrie.langford@nds.org.au" TargetMode="External"/><Relationship Id="rId25" Type="http://schemas.openxmlformats.org/officeDocument/2006/relationships/hyperlink" Target="http://www.tickettowork.org.au/wp-content/uploads/2016/06/Ticket-to-work-pilot-outcomes-study-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l.gov/odep/topics/CustomizedEmployment.htm" TargetMode="External"/><Relationship Id="rId20" Type="http://schemas.openxmlformats.org/officeDocument/2006/relationships/hyperlink" Target="https://onlinelibrary.wiley.com/doi/10.1002/cd.284" TargetMode="External"/><Relationship Id="rId29" Type="http://schemas.openxmlformats.org/officeDocument/2006/relationships/hyperlink" Target="http://files.eric.ed.gov/fulltext/EJ78594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h.gov.au/Parliamentary_Business/Committees/House/%20Employment_Education_and_Training/School_to_WorkTransition/Submissions" TargetMode="External"/><Relationship Id="rId24" Type="http://schemas.openxmlformats.org/officeDocument/2006/relationships/hyperlink" Target="http://digitalcommons.ilr.cornell.edu/cgi/viewcontent.cgi?article=1450&amp;context=gladnetcollec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l.gov/odep/topics/CustomizedEmployment.htm" TargetMode="External"/><Relationship Id="rId23" Type="http://schemas.openxmlformats.org/officeDocument/2006/relationships/hyperlink" Target="http://www.educationandemployers.org/wp-content/uploads/2014/06/sen-transitions-wave-3-dfes.pdf" TargetMode="External"/><Relationship Id="rId28" Type="http://schemas.openxmlformats.org/officeDocument/2006/relationships/hyperlink" Target="http://www.tickettowork.org.au/wp-%20content/uploads/2014/05/Ticket-to-Work-Scoping-Report-2010.pdf%3e." TargetMode="External"/><Relationship Id="rId10" Type="http://schemas.openxmlformats.org/officeDocument/2006/relationships/hyperlink" Target="http://www.tickettowork.org.au/%20wp-content/uploads/2017/08/Ticket_to_work_policy_summary.pdf" TargetMode="External"/><Relationship Id="rId19" Type="http://schemas.openxmlformats.org/officeDocument/2006/relationships/hyperlink" Target="http://www.transitionta.org.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liament.vic.gov.au/images/stories/committees/eejsc/Career_Advice_Activities/Submission_69_-_National_Disability_Services_15122017.pdf" TargetMode="External"/><Relationship Id="rId14" Type="http://schemas.openxmlformats.org/officeDocument/2006/relationships/hyperlink" Target="http://www.tickettowork.org.au/research/transitions-employment-australian-young-people-%20disability-ticket-work-initiative/" TargetMode="External"/><Relationship Id="rId22" Type="http://schemas.openxmlformats.org/officeDocument/2006/relationships/hyperlink" Target="http://www.childassoc.org.au/post-school-transition-for-students-with-a-disability/" TargetMode="External"/><Relationship Id="rId27" Type="http://schemas.openxmlformats.org/officeDocument/2006/relationships/hyperlink" Target="10.3109/13668250.2017.131080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Trent</cp:lastModifiedBy>
  <cp:revision>26</cp:revision>
  <dcterms:created xsi:type="dcterms:W3CDTF">2022-11-28T02:29:00Z</dcterms:created>
  <dcterms:modified xsi:type="dcterms:W3CDTF">2022-11-28T03:27:00Z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10.0.1</vt:lpwstr>
  </property>
</Properties>
</file>