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83D8F" w14:textId="77777777" w:rsidR="007D4494" w:rsidRPr="00F80AA0" w:rsidRDefault="004D662D" w:rsidP="00A52A7A">
      <w:pPr>
        <w:pStyle w:val="Heading1"/>
        <w:spacing w:after="0" w:line="240" w:lineRule="auto"/>
        <w:rPr>
          <w:sz w:val="32"/>
        </w:rPr>
      </w:pPr>
      <w:bookmarkStart w:id="0" w:name="_GoBack"/>
      <w:bookmarkEnd w:id="0"/>
      <w:r w:rsidRPr="00F80AA0">
        <w:rPr>
          <w:sz w:val="32"/>
        </w:rPr>
        <w:t>N</w:t>
      </w:r>
      <w:r w:rsidR="00361CCB" w:rsidRPr="00F80AA0">
        <w:rPr>
          <w:sz w:val="32"/>
        </w:rPr>
        <w:t xml:space="preserve">ational </w:t>
      </w:r>
      <w:r w:rsidRPr="00F80AA0">
        <w:rPr>
          <w:sz w:val="32"/>
        </w:rPr>
        <w:t>D</w:t>
      </w:r>
      <w:r w:rsidR="00361CCB" w:rsidRPr="00F80AA0">
        <w:rPr>
          <w:sz w:val="32"/>
        </w:rPr>
        <w:t xml:space="preserve">isability </w:t>
      </w:r>
      <w:r w:rsidRPr="00F80AA0">
        <w:rPr>
          <w:sz w:val="32"/>
        </w:rPr>
        <w:t>S</w:t>
      </w:r>
      <w:r w:rsidR="00361CCB" w:rsidRPr="00F80AA0">
        <w:rPr>
          <w:sz w:val="32"/>
        </w:rPr>
        <w:t>ervices</w:t>
      </w:r>
      <w:r w:rsidRPr="00F80AA0">
        <w:rPr>
          <w:sz w:val="32"/>
        </w:rPr>
        <w:t xml:space="preserve"> </w:t>
      </w:r>
      <w:r w:rsidR="00F34F93" w:rsidRPr="00F80AA0">
        <w:rPr>
          <w:sz w:val="32"/>
        </w:rPr>
        <w:t>Ticket to Work S</w:t>
      </w:r>
      <w:r w:rsidRPr="00F80AA0">
        <w:rPr>
          <w:sz w:val="32"/>
        </w:rPr>
        <w:t>ubmission to the Select Committee on Autism</w:t>
      </w:r>
    </w:p>
    <w:p w14:paraId="1FA2035F" w14:textId="11EBD869" w:rsidR="00A52A7A" w:rsidRDefault="00A52A7A" w:rsidP="00A52A7A">
      <w:pPr>
        <w:pStyle w:val="Heading2"/>
        <w:spacing w:before="0" w:line="240" w:lineRule="auto"/>
      </w:pPr>
    </w:p>
    <w:p w14:paraId="256820B1" w14:textId="77777777" w:rsidR="00CB0EAA" w:rsidRPr="00F80AA0" w:rsidRDefault="00CB0EAA" w:rsidP="00A52A7A">
      <w:pPr>
        <w:pStyle w:val="Heading2"/>
        <w:spacing w:before="0" w:line="240" w:lineRule="auto"/>
        <w:rPr>
          <w:sz w:val="28"/>
        </w:rPr>
      </w:pPr>
      <w:r w:rsidRPr="00F80AA0">
        <w:rPr>
          <w:sz w:val="28"/>
        </w:rPr>
        <w:t>About National Disability Services</w:t>
      </w:r>
    </w:p>
    <w:p w14:paraId="26BAF43A" w14:textId="77777777" w:rsidR="00A52A7A" w:rsidRDefault="00A52A7A" w:rsidP="00A52A7A">
      <w:pPr>
        <w:spacing w:after="0" w:line="240" w:lineRule="auto"/>
      </w:pPr>
    </w:p>
    <w:p w14:paraId="6D382B4F" w14:textId="77777777" w:rsidR="00CB0EAA" w:rsidRDefault="00CB0EAA" w:rsidP="00A52A7A">
      <w:pPr>
        <w:spacing w:after="0" w:line="240" w:lineRule="auto"/>
      </w:pPr>
      <w:r w:rsidRPr="00A52A7A">
        <w:t xml:space="preserve">National Disability Services (NDS) is the peak industry body for non-government disability services. It represents service providers across Australia in their </w:t>
      </w:r>
      <w:r w:rsidR="00E15657" w:rsidRPr="00A52A7A">
        <w:t>W</w:t>
      </w:r>
      <w:r w:rsidRPr="00A52A7A">
        <w:t xml:space="preserve">ork to deliver high-quality supports and life opportunities for people with disability. Its Australia-wide membership includes </w:t>
      </w:r>
      <w:r w:rsidR="00787233">
        <w:t>over</w:t>
      </w:r>
      <w:r w:rsidRPr="00A52A7A">
        <w:t xml:space="preserve"> 1</w:t>
      </w:r>
      <w:r w:rsidR="00787233">
        <w:t>,18</w:t>
      </w:r>
      <w:r w:rsidRPr="00A52A7A">
        <w:t xml:space="preserve">0 non-government organisations which support people with all forms of disability. Its members collectively provide the full range of disability services - from accommodation support, respite and therapy to community access and employment. NDS provides information and networking opportunities to its members and policy advice to State, Territory and Federal governments. </w:t>
      </w:r>
    </w:p>
    <w:p w14:paraId="1EE27887" w14:textId="77777777" w:rsidR="00A52A7A" w:rsidRPr="00A52A7A" w:rsidRDefault="00A52A7A" w:rsidP="00A52A7A">
      <w:pPr>
        <w:spacing w:after="0" w:line="240" w:lineRule="auto"/>
      </w:pPr>
    </w:p>
    <w:p w14:paraId="71368C36" w14:textId="77777777" w:rsidR="00F936B0" w:rsidRPr="00F80AA0" w:rsidRDefault="00F936B0" w:rsidP="00A52A7A">
      <w:pPr>
        <w:pStyle w:val="Heading2"/>
        <w:spacing w:before="0" w:line="240" w:lineRule="auto"/>
        <w:rPr>
          <w:sz w:val="28"/>
        </w:rPr>
      </w:pPr>
      <w:r w:rsidRPr="00F80AA0">
        <w:rPr>
          <w:sz w:val="28"/>
        </w:rPr>
        <w:t>Introduction</w:t>
      </w:r>
    </w:p>
    <w:p w14:paraId="54ADE429" w14:textId="77777777" w:rsidR="00A52A7A" w:rsidRDefault="00A52A7A" w:rsidP="00A52A7A">
      <w:pPr>
        <w:spacing w:after="0" w:line="240" w:lineRule="auto"/>
      </w:pPr>
    </w:p>
    <w:p w14:paraId="2E16CC24" w14:textId="77777777" w:rsidR="005A5481" w:rsidRDefault="004C4541" w:rsidP="00A52A7A">
      <w:pPr>
        <w:spacing w:after="0" w:line="240" w:lineRule="auto"/>
      </w:pPr>
      <w:r>
        <w:t>NDS</w:t>
      </w:r>
      <w:r w:rsidR="00252640" w:rsidRPr="00A52A7A">
        <w:t xml:space="preserve"> welcome</w:t>
      </w:r>
      <w:r>
        <w:t>s</w:t>
      </w:r>
      <w:r w:rsidR="00252640" w:rsidRPr="00A52A7A">
        <w:t xml:space="preserve"> </w:t>
      </w:r>
      <w:r>
        <w:t>the</w:t>
      </w:r>
      <w:r w:rsidR="00252640" w:rsidRPr="00A52A7A">
        <w:t xml:space="preserve"> opportunity to </w:t>
      </w:r>
      <w:r>
        <w:t>provide</w:t>
      </w:r>
      <w:r w:rsidR="00787233">
        <w:t xml:space="preserve"> this </w:t>
      </w:r>
      <w:r w:rsidR="009E7DA3" w:rsidRPr="00A52A7A">
        <w:t>submi</w:t>
      </w:r>
      <w:r w:rsidR="00787233">
        <w:t xml:space="preserve">ssion </w:t>
      </w:r>
      <w:r>
        <w:t>to</w:t>
      </w:r>
      <w:r w:rsidR="00787233">
        <w:t xml:space="preserve"> the </w:t>
      </w:r>
      <w:r w:rsidR="00252640" w:rsidRPr="00A52A7A">
        <w:t>Select Committee on Autism.</w:t>
      </w:r>
      <w:r w:rsidR="00787233">
        <w:t xml:space="preserve"> </w:t>
      </w:r>
      <w:r w:rsidR="005A5481" w:rsidRPr="00A52A7A">
        <w:t xml:space="preserve">Ticket to </w:t>
      </w:r>
      <w:r w:rsidR="00E15657" w:rsidRPr="00A52A7A">
        <w:t>W</w:t>
      </w:r>
      <w:r w:rsidR="005A5481" w:rsidRPr="00A52A7A">
        <w:t>ork is a national initiative of National Disability Services (NDS) focusing on improving school to work pathways for young people with significant disability.</w:t>
      </w:r>
    </w:p>
    <w:p w14:paraId="3BA2535A" w14:textId="77777777" w:rsidR="00A52A7A" w:rsidRPr="00A52A7A" w:rsidRDefault="00A52A7A" w:rsidP="00A52A7A">
      <w:pPr>
        <w:spacing w:after="0" w:line="240" w:lineRule="auto"/>
      </w:pPr>
    </w:p>
    <w:p w14:paraId="5D64681A" w14:textId="77777777" w:rsidR="005A5481" w:rsidRDefault="005A5481" w:rsidP="00A52A7A">
      <w:pPr>
        <w:spacing w:after="0" w:line="240" w:lineRule="auto"/>
      </w:pPr>
      <w:r w:rsidRPr="00A52A7A">
        <w:t xml:space="preserve">Ticket to </w:t>
      </w:r>
      <w:r w:rsidR="00E15657" w:rsidRPr="00A52A7A">
        <w:t>W</w:t>
      </w:r>
      <w:r w:rsidRPr="00A52A7A">
        <w:t>ork was established in response to poor and falling school to work transition</w:t>
      </w:r>
      <w:r w:rsidR="00787233">
        <w:t xml:space="preserve"> rate</w:t>
      </w:r>
      <w:r w:rsidRPr="00A52A7A">
        <w:t>s for young Australian</w:t>
      </w:r>
      <w:r w:rsidR="004C4541">
        <w:t>s</w:t>
      </w:r>
      <w:r w:rsidRPr="00A52A7A">
        <w:t xml:space="preserve"> with disability</w:t>
      </w:r>
      <w:r w:rsidR="00787233">
        <w:t>. U</w:t>
      </w:r>
      <w:r w:rsidRPr="00A52A7A">
        <w:t xml:space="preserve">nsuccessful transition from school holds lifelong economic and social implications for the individual, their families and society. </w:t>
      </w:r>
    </w:p>
    <w:p w14:paraId="6FFAA76D" w14:textId="77777777" w:rsidR="00A52A7A" w:rsidRPr="00A52A7A" w:rsidRDefault="00A52A7A" w:rsidP="00A52A7A">
      <w:pPr>
        <w:spacing w:after="0" w:line="240" w:lineRule="auto"/>
      </w:pPr>
    </w:p>
    <w:p w14:paraId="7DF5F5B5" w14:textId="77777777" w:rsidR="005A5481" w:rsidRDefault="005A5481" w:rsidP="00A52A7A">
      <w:pPr>
        <w:spacing w:after="0" w:line="240" w:lineRule="auto"/>
      </w:pPr>
      <w:r w:rsidRPr="00A52A7A">
        <w:t xml:space="preserve">While not underestimating the challenges, Ticket to Work has demonstrated in </w:t>
      </w:r>
      <w:r w:rsidR="004C4541">
        <w:t>s</w:t>
      </w:r>
      <w:r w:rsidRPr="00A52A7A">
        <w:t>ignificant numbers that young people can thrive in open employment when prepared and supported whil</w:t>
      </w:r>
      <w:r w:rsidR="00D83B23" w:rsidRPr="00A52A7A">
        <w:t>e</w:t>
      </w:r>
      <w:r w:rsidRPr="00A52A7A">
        <w:t xml:space="preserve"> at school through a coordinated approach. Ticket to </w:t>
      </w:r>
      <w:r w:rsidR="00E15657" w:rsidRPr="00A52A7A">
        <w:t>W</w:t>
      </w:r>
      <w:r w:rsidRPr="00A52A7A">
        <w:t>ork ensure</w:t>
      </w:r>
      <w:r w:rsidR="00E87674" w:rsidRPr="00A52A7A">
        <w:t>s</w:t>
      </w:r>
      <w:r w:rsidRPr="00A52A7A">
        <w:t xml:space="preserve"> effective pathways</w:t>
      </w:r>
      <w:r w:rsidR="002F4739" w:rsidRPr="00A52A7A">
        <w:t xml:space="preserve"> from school</w:t>
      </w:r>
      <w:r w:rsidRPr="00A52A7A">
        <w:t xml:space="preserve"> into </w:t>
      </w:r>
      <w:r w:rsidR="003A7003" w:rsidRPr="00A52A7A">
        <w:t>open emplo</w:t>
      </w:r>
      <w:r w:rsidR="004E6A4F" w:rsidRPr="00A52A7A">
        <w:t>yment</w:t>
      </w:r>
      <w:r w:rsidRPr="00A52A7A">
        <w:t xml:space="preserve">, </w:t>
      </w:r>
      <w:r w:rsidR="002F4739" w:rsidRPr="00A52A7A">
        <w:t xml:space="preserve">or </w:t>
      </w:r>
      <w:r w:rsidRPr="00A52A7A">
        <w:t xml:space="preserve">further education and </w:t>
      </w:r>
      <w:r w:rsidR="00C63A46" w:rsidRPr="00A52A7A">
        <w:t>t</w:t>
      </w:r>
      <w:r w:rsidRPr="00A52A7A">
        <w:t xml:space="preserve">raining. The </w:t>
      </w:r>
      <w:r w:rsidR="004E6A4F" w:rsidRPr="00A52A7A">
        <w:t>m</w:t>
      </w:r>
      <w:r w:rsidRPr="00A52A7A">
        <w:t xml:space="preserve">odel </w:t>
      </w:r>
      <w:r w:rsidR="00787233">
        <w:t xml:space="preserve">was </w:t>
      </w:r>
      <w:r w:rsidRPr="00A52A7A">
        <w:t xml:space="preserve">developed </w:t>
      </w:r>
      <w:r w:rsidR="00787233">
        <w:t>by</w:t>
      </w:r>
      <w:r w:rsidRPr="00A52A7A">
        <w:t xml:space="preserve"> scoping ‘what works’ in other countries. That is:</w:t>
      </w:r>
    </w:p>
    <w:p w14:paraId="5FE01D5C" w14:textId="77777777" w:rsidR="00A52A7A" w:rsidRPr="00A52A7A" w:rsidRDefault="00A52A7A" w:rsidP="00A52A7A">
      <w:pPr>
        <w:spacing w:after="0" w:line="240" w:lineRule="auto"/>
      </w:pPr>
    </w:p>
    <w:p w14:paraId="33D32EF6" w14:textId="77777777" w:rsidR="005A5481" w:rsidRPr="00A52A7A" w:rsidRDefault="005A5481" w:rsidP="00A52A7A">
      <w:pPr>
        <w:shd w:val="clear" w:color="auto" w:fill="FFFFFF"/>
        <w:spacing w:after="0" w:line="240" w:lineRule="auto"/>
        <w:ind w:left="720"/>
        <w:textAlignment w:val="baseline"/>
        <w:rPr>
          <w:i/>
          <w:color w:val="000000"/>
        </w:rPr>
      </w:pPr>
      <w:r w:rsidRPr="009857E9">
        <w:t xml:space="preserve">Connecting a student with disability to the world of </w:t>
      </w:r>
      <w:r w:rsidR="00D83B23" w:rsidRPr="009857E9">
        <w:t>w</w:t>
      </w:r>
      <w:r w:rsidRPr="009857E9">
        <w:t xml:space="preserve">ork before they leave school through a coordinated approach greatly improves </w:t>
      </w:r>
      <w:r w:rsidR="00D83B23" w:rsidRPr="009857E9">
        <w:t xml:space="preserve">the </w:t>
      </w:r>
      <w:r w:rsidRPr="009857E9">
        <w:t>likelihood of securing ongoing open employment and creates better economic and social outcomes</w:t>
      </w:r>
      <w:r w:rsidRPr="00A52A7A">
        <w:rPr>
          <w:i/>
        </w:rPr>
        <w:t xml:space="preserve">. </w:t>
      </w:r>
    </w:p>
    <w:p w14:paraId="47BD535B" w14:textId="77777777" w:rsidR="00A52A7A" w:rsidRDefault="00A52A7A" w:rsidP="00A52A7A">
      <w:pPr>
        <w:spacing w:after="0" w:line="240" w:lineRule="auto"/>
      </w:pPr>
    </w:p>
    <w:p w14:paraId="4533A88B" w14:textId="77777777" w:rsidR="005A5481" w:rsidRDefault="005A5481" w:rsidP="00A52A7A">
      <w:pPr>
        <w:spacing w:after="0" w:line="240" w:lineRule="auto"/>
      </w:pPr>
      <w:r w:rsidRPr="00A52A7A">
        <w:t xml:space="preserve">Ticket to </w:t>
      </w:r>
      <w:r w:rsidR="00E15657" w:rsidRPr="00A52A7A">
        <w:t>W</w:t>
      </w:r>
      <w:r w:rsidRPr="00A52A7A">
        <w:t>ork’s c</w:t>
      </w:r>
      <w:r w:rsidR="00412953" w:rsidRPr="00A52A7A">
        <w:t>onnected approach consists of 34</w:t>
      </w:r>
      <w:r w:rsidRPr="00A52A7A">
        <w:t xml:space="preserve"> local networks; </w:t>
      </w:r>
      <w:r w:rsidR="00F13874" w:rsidRPr="00A52A7A">
        <w:t>205</w:t>
      </w:r>
      <w:r w:rsidRPr="00A52A7A">
        <w:t xml:space="preserve"> schools; </w:t>
      </w:r>
      <w:r w:rsidR="00F13874" w:rsidRPr="00A52A7A">
        <w:t>145</w:t>
      </w:r>
      <w:r w:rsidRPr="00A52A7A">
        <w:t xml:space="preserve"> local organisations</w:t>
      </w:r>
      <w:r w:rsidR="00787233">
        <w:t xml:space="preserve"> and </w:t>
      </w:r>
      <w:r w:rsidR="00F70057" w:rsidRPr="00A52A7A">
        <w:t xml:space="preserve">has delivered 1,621 </w:t>
      </w:r>
      <w:r w:rsidRPr="00A52A7A">
        <w:t>jobs for young people mainly with significant disability</w:t>
      </w:r>
      <w:r w:rsidR="00CC5983" w:rsidRPr="00A52A7A">
        <w:t>. A</w:t>
      </w:r>
      <w:r w:rsidR="005A51DC" w:rsidRPr="00A52A7A">
        <w:t>pproximately</w:t>
      </w:r>
      <w:r w:rsidR="00F70057" w:rsidRPr="00A52A7A">
        <w:t xml:space="preserve"> 38</w:t>
      </w:r>
      <w:r w:rsidR="00D31AB8" w:rsidRPr="00A52A7A">
        <w:t xml:space="preserve">% </w:t>
      </w:r>
      <w:r w:rsidR="00CC5983" w:rsidRPr="00A52A7A">
        <w:t>were students with</w:t>
      </w:r>
      <w:r w:rsidR="00F01994" w:rsidRPr="00A52A7A">
        <w:t xml:space="preserve"> autism</w:t>
      </w:r>
      <w:r w:rsidR="005D754E" w:rsidRPr="00A52A7A">
        <w:t>.</w:t>
      </w:r>
      <w:r w:rsidRPr="00A52A7A">
        <w:t xml:space="preserve"> </w:t>
      </w:r>
    </w:p>
    <w:p w14:paraId="69D5B835" w14:textId="77777777" w:rsidR="00A52A7A" w:rsidRPr="00A52A7A" w:rsidRDefault="00A52A7A" w:rsidP="00A52A7A">
      <w:pPr>
        <w:spacing w:after="0" w:line="240" w:lineRule="auto"/>
      </w:pPr>
    </w:p>
    <w:p w14:paraId="4708AFAE" w14:textId="77777777" w:rsidR="005A5481" w:rsidRPr="00F80AA0" w:rsidRDefault="005A5481" w:rsidP="00A52A7A">
      <w:pPr>
        <w:spacing w:after="0" w:line="240" w:lineRule="auto"/>
        <w:rPr>
          <w:b/>
          <w:sz w:val="28"/>
        </w:rPr>
      </w:pPr>
      <w:r w:rsidRPr="00F80AA0">
        <w:rPr>
          <w:b/>
          <w:sz w:val="28"/>
        </w:rPr>
        <w:t xml:space="preserve">Empirical research is the basis of the Ticket to Work model. </w:t>
      </w:r>
    </w:p>
    <w:p w14:paraId="33488BAA" w14:textId="77777777" w:rsidR="00A52A7A" w:rsidRDefault="00A52A7A" w:rsidP="00A52A7A">
      <w:pPr>
        <w:spacing w:after="0" w:line="240" w:lineRule="auto"/>
      </w:pPr>
    </w:p>
    <w:p w14:paraId="0122D05A" w14:textId="77777777" w:rsidR="005A5481" w:rsidRDefault="005A5481" w:rsidP="00A52A7A">
      <w:pPr>
        <w:spacing w:after="0" w:line="240" w:lineRule="auto"/>
      </w:pPr>
      <w:r w:rsidRPr="00A52A7A">
        <w:t>National Disability Services has collaborated with researchers and evaluators and ha</w:t>
      </w:r>
      <w:r w:rsidR="005D754E" w:rsidRPr="00A52A7A">
        <w:t>s developed</w:t>
      </w:r>
      <w:r w:rsidRPr="00A52A7A">
        <w:t xml:space="preserve"> a large body of </w:t>
      </w:r>
      <w:r w:rsidR="006D368A" w:rsidRPr="00A52A7A">
        <w:t>w</w:t>
      </w:r>
      <w:r w:rsidRPr="00A52A7A">
        <w:t xml:space="preserve">ork </w:t>
      </w:r>
      <w:r w:rsidR="0010125B" w:rsidRPr="00A52A7A">
        <w:t>regarding</w:t>
      </w:r>
      <w:r w:rsidRPr="00A52A7A">
        <w:t xml:space="preserve"> effective school to work transition</w:t>
      </w:r>
      <w:r w:rsidR="00E02F38" w:rsidRPr="00A52A7A">
        <w:t>s</w:t>
      </w:r>
      <w:r w:rsidRPr="00A52A7A">
        <w:t xml:space="preserve"> for young people with disability. </w:t>
      </w:r>
    </w:p>
    <w:p w14:paraId="2F9FCD23" w14:textId="77777777" w:rsidR="00787233" w:rsidRPr="00A52A7A" w:rsidRDefault="00787233" w:rsidP="00A52A7A">
      <w:pPr>
        <w:spacing w:after="0" w:line="240" w:lineRule="auto"/>
      </w:pPr>
    </w:p>
    <w:p w14:paraId="208D7349" w14:textId="77777777" w:rsidR="005A5481" w:rsidRPr="00A52A7A" w:rsidRDefault="004C4541" w:rsidP="00A52A7A">
      <w:pPr>
        <w:pStyle w:val="Default"/>
        <w:rPr>
          <w:rFonts w:ascii="Arial" w:hAnsi="Arial" w:cs="Arial"/>
        </w:rPr>
      </w:pPr>
      <w:r>
        <w:rPr>
          <w:rFonts w:ascii="Arial" w:hAnsi="Arial" w:cs="Arial"/>
        </w:rPr>
        <w:t>R</w:t>
      </w:r>
      <w:r w:rsidR="005A5481" w:rsidRPr="00A52A7A">
        <w:rPr>
          <w:rFonts w:ascii="Arial" w:hAnsi="Arial" w:cs="Arial"/>
        </w:rPr>
        <w:t xml:space="preserve">ecent evaluations on the elements of the Ticket to Work model have shown: </w:t>
      </w:r>
    </w:p>
    <w:p w14:paraId="6D8C8601" w14:textId="370297C7" w:rsidR="005A5481" w:rsidRPr="00A52A7A" w:rsidRDefault="005A5481" w:rsidP="00A52A7A">
      <w:pPr>
        <w:pStyle w:val="Default"/>
        <w:numPr>
          <w:ilvl w:val="0"/>
          <w:numId w:val="3"/>
        </w:numPr>
        <w:ind w:left="360"/>
        <w:rPr>
          <w:rFonts w:ascii="Arial" w:hAnsi="Arial" w:cs="Arial"/>
        </w:rPr>
      </w:pPr>
      <w:r w:rsidRPr="00A52A7A">
        <w:rPr>
          <w:rFonts w:ascii="Arial" w:hAnsi="Arial" w:cs="Arial"/>
        </w:rPr>
        <w:t xml:space="preserve">The Ticket to Work model has </w:t>
      </w:r>
      <w:r w:rsidR="001956FE" w:rsidRPr="00A52A7A">
        <w:rPr>
          <w:rFonts w:ascii="Arial" w:hAnsi="Arial" w:cs="Arial"/>
        </w:rPr>
        <w:t>many</w:t>
      </w:r>
      <w:r w:rsidRPr="00A52A7A">
        <w:rPr>
          <w:rFonts w:ascii="Arial" w:hAnsi="Arial" w:cs="Arial"/>
        </w:rPr>
        <w:t xml:space="preserve"> social and </w:t>
      </w:r>
      <w:r w:rsidR="004C4541">
        <w:rPr>
          <w:rFonts w:ascii="Arial" w:hAnsi="Arial" w:cs="Arial"/>
        </w:rPr>
        <w:t>economic</w:t>
      </w:r>
      <w:r w:rsidRPr="00A52A7A">
        <w:rPr>
          <w:rFonts w:ascii="Arial" w:hAnsi="Arial" w:cs="Arial"/>
        </w:rPr>
        <w:t xml:space="preserve"> benefits</w:t>
      </w:r>
      <w:r w:rsidR="009D7217">
        <w:rPr>
          <w:rFonts w:ascii="Arial" w:hAnsi="Arial" w:cs="Arial"/>
        </w:rPr>
        <w:t xml:space="preserve"> </w:t>
      </w:r>
      <w:r w:rsidR="00D930C3">
        <w:rPr>
          <w:rFonts w:ascii="Arial" w:hAnsi="Arial" w:cs="Arial"/>
        </w:rPr>
        <w:fldChar w:fldCharType="begin"/>
      </w:r>
      <w:r w:rsidR="00D930C3">
        <w:rPr>
          <w:rFonts w:ascii="Arial" w:hAnsi="Arial" w:cs="Arial"/>
        </w:rPr>
        <w:instrText xml:space="preserve"> ADDIN EN.CITE &lt;EndNote&gt;&lt;Cite&gt;&lt;Author&gt;Atkinson&lt;/Author&gt;&lt;Year&gt;2019&lt;/Year&gt;&lt;RecNum&gt;1738&lt;/RecNum&gt;&lt;DisplayText&gt;(Atkinson, 2019)&lt;/DisplayText&gt;&lt;record&gt;&lt;rec-number&gt;1738&lt;/rec-number&gt;&lt;foreign-keys&gt;&lt;key app="EN" db-id="afrvxfvzvvpp2tew2sbxfrtxszxsa992r2f0" timestamp="1585206115"&gt;1738&lt;/key&gt;&lt;/foreign-keys&gt;&lt;ref-type name="Report"&gt;27&lt;/ref-type&gt;&lt;contributors&gt;&lt;authors&gt;&lt;author&gt;Atkinson, G., Christian, F., Cassidy, J., Rutherford, J., &amp;amp; Hawkins, A. &lt;/author&gt;&lt;/authors&gt;&lt;/contributors&gt;&lt;titles&gt;&lt;title&gt;Ticket to Work Post School Outcomes Report for National Disability Services Final Report &lt;/title&gt;&lt;/titles&gt;&lt;dates&gt;&lt;year&gt;2019&lt;/year&gt;&lt;/dates&gt;&lt;pub-location&gt;Sydney&lt;/pub-location&gt;&lt;urls&gt;&lt;related-urls&gt;&lt;url&gt;www.tickettowork.org.au/research_evaluation/ticket-work-post-school-outcomes/    &lt;/url&gt;&lt;/related-urls&gt;&lt;/urls&gt;&lt;/record&gt;&lt;/Cite&gt;&lt;/EndNote&gt;</w:instrText>
      </w:r>
      <w:r w:rsidR="00D930C3">
        <w:rPr>
          <w:rFonts w:ascii="Arial" w:hAnsi="Arial" w:cs="Arial"/>
        </w:rPr>
        <w:fldChar w:fldCharType="separate"/>
      </w:r>
      <w:r w:rsidR="00D930C3">
        <w:rPr>
          <w:rFonts w:ascii="Arial" w:hAnsi="Arial" w:cs="Arial"/>
          <w:noProof/>
        </w:rPr>
        <w:t>(Atkinson, 2019)</w:t>
      </w:r>
      <w:r w:rsidR="00D930C3">
        <w:rPr>
          <w:rFonts w:ascii="Arial" w:hAnsi="Arial" w:cs="Arial"/>
        </w:rPr>
        <w:fldChar w:fldCharType="end"/>
      </w:r>
      <w:r w:rsidRPr="00A52A7A">
        <w:rPr>
          <w:rFonts w:ascii="Arial" w:hAnsi="Arial" w:cs="Arial"/>
        </w:rPr>
        <w:t xml:space="preserve">. </w:t>
      </w:r>
    </w:p>
    <w:p w14:paraId="42FDCBB0" w14:textId="77777777" w:rsidR="005A5481" w:rsidRPr="00A52A7A" w:rsidRDefault="00140B53" w:rsidP="00A52A7A">
      <w:pPr>
        <w:pStyle w:val="Default"/>
        <w:numPr>
          <w:ilvl w:val="0"/>
          <w:numId w:val="3"/>
        </w:numPr>
        <w:ind w:left="360" w:hanging="357"/>
        <w:rPr>
          <w:rFonts w:ascii="Arial" w:hAnsi="Arial" w:cs="Arial"/>
        </w:rPr>
      </w:pPr>
      <w:r w:rsidRPr="00A52A7A">
        <w:rPr>
          <w:rFonts w:ascii="Arial" w:hAnsi="Arial" w:cs="Arial"/>
        </w:rPr>
        <w:t>P</w:t>
      </w:r>
      <w:r w:rsidR="005B2734" w:rsidRPr="00A52A7A">
        <w:rPr>
          <w:rFonts w:ascii="Arial" w:hAnsi="Arial" w:cs="Arial"/>
        </w:rPr>
        <w:t xml:space="preserve">ost-school </w:t>
      </w:r>
      <w:r w:rsidR="005A5481" w:rsidRPr="00A52A7A">
        <w:rPr>
          <w:rFonts w:ascii="Arial" w:hAnsi="Arial" w:cs="Arial"/>
        </w:rPr>
        <w:t xml:space="preserve">Ticket to Work participants are substantially more likely than a </w:t>
      </w:r>
      <w:r w:rsidRPr="00A52A7A">
        <w:rPr>
          <w:rFonts w:ascii="Arial" w:hAnsi="Arial" w:cs="Arial"/>
        </w:rPr>
        <w:t>s</w:t>
      </w:r>
      <w:r w:rsidR="005A5481" w:rsidRPr="00A52A7A">
        <w:rPr>
          <w:rFonts w:ascii="Arial" w:hAnsi="Arial" w:cs="Arial"/>
        </w:rPr>
        <w:t xml:space="preserve">imilar comparison group to:  </w:t>
      </w:r>
    </w:p>
    <w:p w14:paraId="1D7BEFCA" w14:textId="77777777" w:rsidR="005A5481" w:rsidRPr="00A52A7A" w:rsidRDefault="005A5481" w:rsidP="00A52A7A">
      <w:pPr>
        <w:pStyle w:val="Default"/>
        <w:numPr>
          <w:ilvl w:val="1"/>
          <w:numId w:val="3"/>
        </w:numPr>
        <w:ind w:left="1080" w:hanging="357"/>
        <w:contextualSpacing/>
        <w:rPr>
          <w:rFonts w:ascii="Arial" w:hAnsi="Arial" w:cs="Arial"/>
        </w:rPr>
      </w:pPr>
      <w:r w:rsidRPr="00A52A7A">
        <w:rPr>
          <w:rFonts w:ascii="Arial" w:hAnsi="Arial" w:cs="Arial"/>
        </w:rPr>
        <w:t xml:space="preserve">work in open employment </w:t>
      </w:r>
    </w:p>
    <w:p w14:paraId="36AACB7C" w14:textId="77777777" w:rsidR="005A5481" w:rsidRPr="00A52A7A" w:rsidRDefault="005A5481" w:rsidP="00A52A7A">
      <w:pPr>
        <w:pStyle w:val="Default"/>
        <w:numPr>
          <w:ilvl w:val="1"/>
          <w:numId w:val="3"/>
        </w:numPr>
        <w:ind w:left="1080" w:hanging="357"/>
        <w:contextualSpacing/>
        <w:rPr>
          <w:rFonts w:ascii="Arial" w:hAnsi="Arial" w:cs="Arial"/>
        </w:rPr>
      </w:pPr>
      <w:r w:rsidRPr="00A52A7A">
        <w:rPr>
          <w:rFonts w:ascii="Arial" w:hAnsi="Arial" w:cs="Arial"/>
        </w:rPr>
        <w:t>complete year 12</w:t>
      </w:r>
    </w:p>
    <w:p w14:paraId="514D293D" w14:textId="77777777" w:rsidR="005A5481" w:rsidRPr="00A52A7A" w:rsidRDefault="005A5481" w:rsidP="00A52A7A">
      <w:pPr>
        <w:pStyle w:val="Default"/>
        <w:numPr>
          <w:ilvl w:val="1"/>
          <w:numId w:val="3"/>
        </w:numPr>
        <w:ind w:left="1080" w:hanging="357"/>
        <w:contextualSpacing/>
        <w:rPr>
          <w:rFonts w:ascii="Arial" w:hAnsi="Arial" w:cs="Arial"/>
        </w:rPr>
      </w:pPr>
      <w:r w:rsidRPr="00A52A7A">
        <w:rPr>
          <w:rFonts w:ascii="Arial" w:hAnsi="Arial" w:cs="Arial"/>
        </w:rPr>
        <w:t>participate in the labour force</w:t>
      </w:r>
    </w:p>
    <w:p w14:paraId="1833F728" w14:textId="31F8F95A" w:rsidR="005A5481" w:rsidRPr="00A52A7A" w:rsidRDefault="005A5481" w:rsidP="00A52A7A">
      <w:pPr>
        <w:pStyle w:val="Default"/>
        <w:numPr>
          <w:ilvl w:val="1"/>
          <w:numId w:val="3"/>
        </w:numPr>
        <w:ind w:left="1080" w:hanging="357"/>
        <w:contextualSpacing/>
        <w:rPr>
          <w:rFonts w:ascii="Arial" w:hAnsi="Arial" w:cs="Arial"/>
        </w:rPr>
      </w:pPr>
      <w:r w:rsidRPr="00A52A7A">
        <w:rPr>
          <w:rFonts w:ascii="Arial" w:hAnsi="Arial" w:cs="Arial"/>
        </w:rPr>
        <w:t xml:space="preserve">be involved in </w:t>
      </w:r>
      <w:r w:rsidR="009B7292" w:rsidRPr="00A52A7A">
        <w:rPr>
          <w:rFonts w:ascii="Arial" w:hAnsi="Arial" w:cs="Arial"/>
        </w:rPr>
        <w:t xml:space="preserve">the </w:t>
      </w:r>
      <w:r w:rsidRPr="00A52A7A">
        <w:rPr>
          <w:rFonts w:ascii="Arial" w:hAnsi="Arial" w:cs="Arial"/>
        </w:rPr>
        <w:t>community and socially active</w:t>
      </w:r>
      <w:r w:rsidR="00D930C3">
        <w:rPr>
          <w:rFonts w:ascii="Arial" w:hAnsi="Arial" w:cs="Arial"/>
        </w:rPr>
        <w:t xml:space="preserve"> </w:t>
      </w:r>
      <w:r w:rsidR="00D930C3">
        <w:rPr>
          <w:rFonts w:ascii="Arial" w:hAnsi="Arial" w:cs="Arial"/>
        </w:rPr>
        <w:fldChar w:fldCharType="begin"/>
      </w:r>
      <w:r w:rsidR="00D930C3">
        <w:rPr>
          <w:rFonts w:ascii="Arial" w:hAnsi="Arial" w:cs="Arial"/>
        </w:rPr>
        <w:instrText xml:space="preserve"> ADDIN EN.CITE &lt;EndNote&gt;&lt;Cite&gt;&lt;Author&gt;Atkinson&lt;/Author&gt;&lt;Year&gt;2019&lt;/Year&gt;&lt;RecNum&gt;1738&lt;/RecNum&gt;&lt;DisplayText&gt;(Atkinson, 2019)&lt;/DisplayText&gt;&lt;record&gt;&lt;rec-number&gt;1738&lt;/rec-number&gt;&lt;foreign-keys&gt;&lt;key app="EN" db-id="afrvxfvzvvpp2tew2sbxfrtxszxsa992r2f0" timestamp="1585206115"&gt;1738&lt;/key&gt;&lt;/foreign-keys&gt;&lt;ref-type name="Report"&gt;27&lt;/ref-type&gt;&lt;contributors&gt;&lt;authors&gt;&lt;author&gt;Atkinson, G., Christian, F., Cassidy, J., Rutherford, J., &amp;amp; Hawkins, A. &lt;/author&gt;&lt;/authors&gt;&lt;/contributors&gt;&lt;titles&gt;&lt;title&gt;Ticket to Work Post School Outcomes Report for National Disability Services Final Report &lt;/title&gt;&lt;/titles&gt;&lt;dates&gt;&lt;year&gt;2019&lt;/year&gt;&lt;/dates&gt;&lt;pub-location&gt;Sydney&lt;/pub-location&gt;&lt;urls&gt;&lt;related-urls&gt;&lt;url&gt;www.tickettowork.org.au/research_evaluation/ticket-work-post-school-outcomes/    &lt;/url&gt;&lt;/related-urls&gt;&lt;/urls&gt;&lt;/record&gt;&lt;/Cite&gt;&lt;/EndNote&gt;</w:instrText>
      </w:r>
      <w:r w:rsidR="00D930C3">
        <w:rPr>
          <w:rFonts w:ascii="Arial" w:hAnsi="Arial" w:cs="Arial"/>
        </w:rPr>
        <w:fldChar w:fldCharType="separate"/>
      </w:r>
      <w:r w:rsidR="00D930C3">
        <w:rPr>
          <w:rFonts w:ascii="Arial" w:hAnsi="Arial" w:cs="Arial"/>
          <w:noProof/>
        </w:rPr>
        <w:t>(Atkinson, 2019)</w:t>
      </w:r>
      <w:r w:rsidR="00D930C3">
        <w:rPr>
          <w:rFonts w:ascii="Arial" w:hAnsi="Arial" w:cs="Arial"/>
        </w:rPr>
        <w:fldChar w:fldCharType="end"/>
      </w:r>
      <w:r w:rsidRPr="00A52A7A">
        <w:rPr>
          <w:rFonts w:ascii="Arial" w:hAnsi="Arial" w:cs="Arial"/>
        </w:rPr>
        <w:t xml:space="preserve"> </w:t>
      </w:r>
    </w:p>
    <w:p w14:paraId="1C9D85E3" w14:textId="7A5FEF03" w:rsidR="005A5481" w:rsidRPr="00A52A7A" w:rsidRDefault="005A5481" w:rsidP="00A52A7A">
      <w:pPr>
        <w:pStyle w:val="Default"/>
        <w:numPr>
          <w:ilvl w:val="0"/>
          <w:numId w:val="3"/>
        </w:numPr>
        <w:ind w:left="360"/>
        <w:rPr>
          <w:rFonts w:ascii="Arial" w:hAnsi="Arial" w:cs="Arial"/>
        </w:rPr>
      </w:pPr>
      <w:r w:rsidRPr="00A52A7A">
        <w:rPr>
          <w:rFonts w:ascii="Arial" w:hAnsi="Arial" w:cs="Arial"/>
        </w:rPr>
        <w:t xml:space="preserve">Ticket to </w:t>
      </w:r>
      <w:r w:rsidR="00E15657" w:rsidRPr="00A52A7A">
        <w:rPr>
          <w:rFonts w:ascii="Arial" w:hAnsi="Arial" w:cs="Arial"/>
        </w:rPr>
        <w:t>W</w:t>
      </w:r>
      <w:r w:rsidRPr="00A52A7A">
        <w:rPr>
          <w:rFonts w:ascii="Arial" w:hAnsi="Arial" w:cs="Arial"/>
        </w:rPr>
        <w:t xml:space="preserve">ork’s approach is working for </w:t>
      </w:r>
      <w:r w:rsidR="00EB14C0" w:rsidRPr="00A52A7A">
        <w:rPr>
          <w:rFonts w:ascii="Arial" w:hAnsi="Arial" w:cs="Arial"/>
        </w:rPr>
        <w:t>critical</w:t>
      </w:r>
      <w:r w:rsidRPr="00A52A7A">
        <w:rPr>
          <w:rFonts w:ascii="Arial" w:hAnsi="Arial" w:cs="Arial"/>
        </w:rPr>
        <w:t xml:space="preserve"> stakeholders (evaluation of employers, parents and network members) and is in line with international good practice and research</w:t>
      </w:r>
      <w:r w:rsidR="007C442A">
        <w:rPr>
          <w:rFonts w:ascii="Arial" w:hAnsi="Arial" w:cs="Arial"/>
        </w:rPr>
        <w:t xml:space="preserve"> </w:t>
      </w:r>
      <w:r w:rsidR="007C442A">
        <w:rPr>
          <w:rFonts w:ascii="Arial" w:hAnsi="Arial" w:cs="Arial"/>
        </w:rPr>
        <w:fldChar w:fldCharType="begin">
          <w:fldData xml:space="preserve">PEVuZE5vdGU+PENpdGU+PEF1dGhvcj5BdGtpbnNvbjwvQXV0aG9yPjxZZWFyPjIwMTk8L1llYXI+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</w:fldData>
        </w:fldChar>
      </w:r>
      <w:r w:rsidR="005160C5">
        <w:rPr>
          <w:rFonts w:ascii="Arial" w:hAnsi="Arial" w:cs="Arial"/>
        </w:rPr>
        <w:instrText xml:space="preserve"> ADDIN EN.CITE </w:instrText>
      </w:r>
      <w:r w:rsidR="005160C5">
        <w:rPr>
          <w:rFonts w:ascii="Arial" w:hAnsi="Arial" w:cs="Arial"/>
        </w:rPr>
        <w:fldChar w:fldCharType="begin">
          <w:fldData xml:space="preserve">PEVuZE5vdGU+PENpdGU+PEF1dGhvcj5BdGtpbnNvbjwvQXV0aG9yPjxZZWFyPjIwMTk8L1llYXI+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</w:fldData>
        </w:fldChar>
      </w:r>
      <w:r w:rsidR="005160C5">
        <w:rPr>
          <w:rFonts w:ascii="Arial" w:hAnsi="Arial" w:cs="Arial"/>
        </w:rPr>
        <w:instrText xml:space="preserve"> ADDIN EN.CITE.DATA </w:instrText>
      </w:r>
      <w:r w:rsidR="005160C5">
        <w:rPr>
          <w:rFonts w:ascii="Arial" w:hAnsi="Arial" w:cs="Arial"/>
        </w:rPr>
      </w:r>
      <w:r w:rsidR="005160C5">
        <w:rPr>
          <w:rFonts w:ascii="Arial" w:hAnsi="Arial" w:cs="Arial"/>
        </w:rPr>
        <w:fldChar w:fldCharType="end"/>
      </w:r>
      <w:r w:rsidR="007C442A">
        <w:rPr>
          <w:rFonts w:ascii="Arial" w:hAnsi="Arial" w:cs="Arial"/>
        </w:rPr>
      </w:r>
      <w:r w:rsidR="007C442A">
        <w:rPr>
          <w:rFonts w:ascii="Arial" w:hAnsi="Arial" w:cs="Arial"/>
        </w:rPr>
        <w:fldChar w:fldCharType="separate"/>
      </w:r>
      <w:r w:rsidR="005160C5">
        <w:rPr>
          <w:rFonts w:ascii="Arial" w:hAnsi="Arial" w:cs="Arial"/>
          <w:noProof/>
        </w:rPr>
        <w:t>(Atkinson, 2019; Kellock, 2020; Wakeford, 2020)</w:t>
      </w:r>
      <w:r w:rsidR="007C442A">
        <w:rPr>
          <w:rFonts w:ascii="Arial" w:hAnsi="Arial" w:cs="Arial"/>
        </w:rPr>
        <w:fldChar w:fldCharType="end"/>
      </w:r>
      <w:r w:rsidRPr="00A52A7A">
        <w:rPr>
          <w:rFonts w:ascii="Arial" w:hAnsi="Arial" w:cs="Arial"/>
        </w:rPr>
        <w:t xml:space="preserve">. </w:t>
      </w:r>
    </w:p>
    <w:p w14:paraId="62260C76" w14:textId="5261AD9C" w:rsidR="005A5481" w:rsidRPr="00A52A7A" w:rsidRDefault="005A5481" w:rsidP="00A52A7A">
      <w:pPr>
        <w:pStyle w:val="Default"/>
        <w:numPr>
          <w:ilvl w:val="0"/>
          <w:numId w:val="3"/>
        </w:numPr>
        <w:ind w:left="360"/>
        <w:rPr>
          <w:rFonts w:ascii="Arial" w:hAnsi="Arial" w:cs="Arial"/>
        </w:rPr>
      </w:pPr>
      <w:r w:rsidRPr="00A52A7A">
        <w:rPr>
          <w:rFonts w:ascii="Arial" w:hAnsi="Arial" w:cs="Arial"/>
        </w:rPr>
        <w:t>There is a need to focus on how to get different sectors working in concert to improve employment outcomes and raises expectations</w:t>
      </w:r>
      <w:r w:rsidR="005160C5">
        <w:rPr>
          <w:rFonts w:ascii="Arial" w:hAnsi="Arial" w:cs="Arial"/>
        </w:rPr>
        <w:t xml:space="preserve"> </w:t>
      </w:r>
      <w:r w:rsidR="005160C5">
        <w:rPr>
          <w:rFonts w:ascii="Arial" w:hAnsi="Arial" w:cs="Arial"/>
        </w:rPr>
        <w:fldChar w:fldCharType="begin"/>
      </w:r>
      <w:r w:rsidR="005160C5">
        <w:rPr>
          <w:rFonts w:ascii="Arial" w:hAnsi="Arial" w:cs="Arial"/>
        </w:rPr>
        <w:instrText xml:space="preserve"> ADDIN EN.CITE &lt;EndNote&gt;&lt;Cite&gt;&lt;Author&gt;Meadows&lt;/Author&gt;&lt;Year&gt;2019&lt;/Year&gt;&lt;RecNum&gt;1790&lt;/RecNum&gt;&lt;DisplayText&gt;(Meadows, 2019)&lt;/DisplayText&gt;&lt;record&gt;&lt;rec-number&gt;1790&lt;/rec-number&gt;&lt;foreign-keys&gt;&lt;key app="EN" db-id="afrvxfvzvvpp2tew2sbxfrtxszxsa992r2f0" timestamp="1586855498"&gt;1790&lt;/key&gt;&lt;/foreign-keys&gt;&lt;ref-type name="Report"&gt;27&lt;/ref-type&gt;&lt;contributors&gt;&lt;authors&gt;&lt;author&gt;Meadows, D.&lt;/author&gt;&lt;/authors&gt;&lt;/contributors&gt;&lt;titles&gt;&lt;title&gt;Collaboration in school to work transition&lt;/title&gt;&lt;/titles&gt;&lt;dates&gt;&lt;year&gt;2019&lt;/year&gt;&lt;/dates&gt;&lt;pub-location&gt;Melbourne&lt;/pub-location&gt;&lt;publisher&gt;National Disability Services&lt;/publisher&gt;&lt;urls&gt;&lt;related-urls&gt;&lt;url&gt;https://tickettowork.org.au/resource/9/&lt;/url&gt;&lt;/related-urls&gt;&lt;/urls&gt;&lt;/record&gt;&lt;/Cite&gt;&lt;/EndNote&gt;</w:instrText>
      </w:r>
      <w:r w:rsidR="005160C5">
        <w:rPr>
          <w:rFonts w:ascii="Arial" w:hAnsi="Arial" w:cs="Arial"/>
        </w:rPr>
        <w:fldChar w:fldCharType="separate"/>
      </w:r>
      <w:r w:rsidR="005160C5">
        <w:rPr>
          <w:rFonts w:ascii="Arial" w:hAnsi="Arial" w:cs="Arial"/>
          <w:noProof/>
        </w:rPr>
        <w:t>(Meadows, 2019)</w:t>
      </w:r>
      <w:r w:rsidR="005160C5">
        <w:rPr>
          <w:rFonts w:ascii="Arial" w:hAnsi="Arial" w:cs="Arial"/>
        </w:rPr>
        <w:fldChar w:fldCharType="end"/>
      </w:r>
    </w:p>
    <w:p w14:paraId="56AA39FA" w14:textId="77777777" w:rsidR="00F80AA0" w:rsidRPr="00F80AA0" w:rsidRDefault="005A5481" w:rsidP="00F80AA0">
      <w:pPr>
        <w:pStyle w:val="Default"/>
        <w:numPr>
          <w:ilvl w:val="0"/>
          <w:numId w:val="3"/>
        </w:numPr>
        <w:ind w:left="360"/>
      </w:pPr>
      <w:r w:rsidRPr="00A52A7A">
        <w:rPr>
          <w:rFonts w:ascii="Arial" w:hAnsi="Arial" w:cs="Arial"/>
        </w:rPr>
        <w:t xml:space="preserve">Ticket to Work supports effective integration of mainstream and disability supports and reduces duplication </w:t>
      </w:r>
      <w:r w:rsidR="00675AD8">
        <w:rPr>
          <w:rFonts w:ascii="Arial" w:hAnsi="Arial" w:cs="Arial"/>
        </w:rPr>
        <w:fldChar w:fldCharType="begin"/>
      </w:r>
      <w:r w:rsidR="00675AD8">
        <w:rPr>
          <w:rFonts w:ascii="Arial" w:hAnsi="Arial" w:cs="Arial"/>
        </w:rPr>
        <w:instrText xml:space="preserve"> ADDIN EN.CITE &lt;EndNote&gt;&lt;Cite&gt;&lt;Author&gt;Atkinson&lt;/Author&gt;&lt;Year&gt;2019&lt;/Year&gt;&lt;RecNum&gt;1738&lt;/RecNum&gt;&lt;DisplayText&gt;(Atkinson, 2019)&lt;/DisplayText&gt;&lt;record&gt;&lt;rec-number&gt;1738&lt;/rec-number&gt;&lt;foreign-keys&gt;&lt;key app="EN" db-id="afrvxfvzvvpp2tew2sbxfrtxszxsa992r2f0" timestamp="1585206115"&gt;1738&lt;/key&gt;&lt;/foreign-keys&gt;&lt;ref-type name="Report"&gt;27&lt;/ref-type&gt;&lt;contributors&gt;&lt;authors&gt;&lt;author&gt;Atkinson, G., Christian, F., Cassidy, J., Rutherford, J., &amp;amp; Hawkins, A. &lt;/author&gt;&lt;/authors&gt;&lt;/contributors&gt;&lt;titles&gt;&lt;title&gt;Ticket to Work Post School Outcomes Report for National Disability Services Final Report &lt;/title&gt;&lt;/titles&gt;&lt;dates&gt;&lt;year&gt;2019&lt;/year&gt;&lt;/dates&gt;&lt;pub-location&gt;Sydney&lt;/pub-location&gt;&lt;urls&gt;&lt;related-urls&gt;&lt;url&gt;www.tickettowork.org.au/research_evaluation/ticket-work-post-school-outcomes/    &lt;/url&gt;&lt;/related-urls&gt;&lt;/urls&gt;&lt;/record&gt;&lt;/Cite&gt;&lt;/EndNote&gt;</w:instrText>
      </w:r>
      <w:r w:rsidR="00675AD8">
        <w:rPr>
          <w:rFonts w:ascii="Arial" w:hAnsi="Arial" w:cs="Arial"/>
        </w:rPr>
        <w:fldChar w:fldCharType="separate"/>
      </w:r>
      <w:r w:rsidR="00675AD8">
        <w:rPr>
          <w:rFonts w:ascii="Arial" w:hAnsi="Arial" w:cs="Arial"/>
          <w:noProof/>
        </w:rPr>
        <w:t>(Atkinson, 2019)</w:t>
      </w:r>
      <w:r w:rsidR="00675AD8">
        <w:rPr>
          <w:rFonts w:ascii="Arial" w:hAnsi="Arial" w:cs="Arial"/>
        </w:rPr>
        <w:fldChar w:fldCharType="end"/>
      </w:r>
    </w:p>
    <w:p w14:paraId="2DCAE946" w14:textId="77777777" w:rsidR="00F80AA0" w:rsidRDefault="00F80AA0" w:rsidP="00F80AA0">
      <w:pPr>
        <w:pStyle w:val="Default"/>
      </w:pPr>
    </w:p>
    <w:p w14:paraId="08C1A4FA" w14:textId="303E074C" w:rsidR="00787233" w:rsidRDefault="005A5481" w:rsidP="00F80AA0">
      <w:pPr>
        <w:pStyle w:val="Default"/>
        <w:rPr>
          <w:rFonts w:ascii="Arial" w:hAnsi="Arial" w:cs="Arial"/>
        </w:rPr>
      </w:pPr>
      <w:r w:rsidRPr="00F80AA0">
        <w:rPr>
          <w:rFonts w:ascii="Arial" w:hAnsi="Arial" w:cs="Arial"/>
        </w:rPr>
        <w:t xml:space="preserve">Ticket to Work participants </w:t>
      </w:r>
      <w:r w:rsidR="00D75469" w:rsidRPr="00F80AA0">
        <w:rPr>
          <w:rFonts w:ascii="Arial" w:hAnsi="Arial" w:cs="Arial"/>
        </w:rPr>
        <w:t>with</w:t>
      </w:r>
      <w:r w:rsidRPr="00F80AA0">
        <w:rPr>
          <w:rFonts w:ascii="Arial" w:hAnsi="Arial" w:cs="Arial"/>
        </w:rPr>
        <w:t xml:space="preserve"> opportunit</w:t>
      </w:r>
      <w:r w:rsidR="00AE6DA3" w:rsidRPr="00F80AA0">
        <w:rPr>
          <w:rFonts w:ascii="Arial" w:hAnsi="Arial" w:cs="Arial"/>
        </w:rPr>
        <w:t>ies</w:t>
      </w:r>
      <w:r w:rsidRPr="00F80AA0">
        <w:rPr>
          <w:rFonts w:ascii="Arial" w:hAnsi="Arial" w:cs="Arial"/>
        </w:rPr>
        <w:t xml:space="preserve"> to participate in work and career development </w:t>
      </w:r>
      <w:r w:rsidR="00AE6DA3" w:rsidRPr="00F80AA0">
        <w:rPr>
          <w:rFonts w:ascii="Arial" w:hAnsi="Arial" w:cs="Arial"/>
        </w:rPr>
        <w:t>activities</w:t>
      </w:r>
      <w:r w:rsidRPr="00F80AA0">
        <w:rPr>
          <w:rFonts w:ascii="Arial" w:hAnsi="Arial" w:cs="Arial"/>
        </w:rPr>
        <w:t xml:space="preserve"> at school showed improved employment, education and training outcomes compared to young people that did not have Ticket to Work support (</w:t>
      </w:r>
      <w:r w:rsidR="00787233" w:rsidRPr="00F80AA0">
        <w:rPr>
          <w:rFonts w:ascii="Arial" w:hAnsi="Arial" w:cs="Arial"/>
        </w:rPr>
        <w:t>the b</w:t>
      </w:r>
      <w:r w:rsidRPr="00F80AA0">
        <w:rPr>
          <w:rFonts w:ascii="Arial" w:hAnsi="Arial" w:cs="Arial"/>
        </w:rPr>
        <w:t>usiness as usual</w:t>
      </w:r>
      <w:r w:rsidR="00787233" w:rsidRPr="00F80AA0">
        <w:rPr>
          <w:rFonts w:ascii="Arial" w:hAnsi="Arial" w:cs="Arial"/>
        </w:rPr>
        <w:t xml:space="preserve"> scenario</w:t>
      </w:r>
      <w:r w:rsidR="00F80AA0">
        <w:rPr>
          <w:rFonts w:ascii="Arial" w:hAnsi="Arial" w:cs="Arial"/>
        </w:rPr>
        <w:t>).</w:t>
      </w:r>
    </w:p>
    <w:p w14:paraId="56AAB677" w14:textId="77777777" w:rsidR="00F80AA0" w:rsidRPr="00F80AA0" w:rsidRDefault="00F80AA0" w:rsidP="00F80AA0">
      <w:pPr>
        <w:pStyle w:val="Default"/>
        <w:rPr>
          <w:rFonts w:ascii="Arial" w:hAnsi="Arial" w:cs="Arial"/>
        </w:rPr>
      </w:pPr>
    </w:p>
    <w:p w14:paraId="150FB56E" w14:textId="210EBEC2" w:rsidR="005A5481" w:rsidRPr="00A52A7A" w:rsidRDefault="005A5481" w:rsidP="00A52A7A">
      <w:pPr>
        <w:pStyle w:val="Default"/>
        <w:rPr>
          <w:rFonts w:ascii="Arial" w:hAnsi="Arial" w:cs="Arial"/>
          <w:color w:val="auto"/>
        </w:rPr>
      </w:pPr>
      <w:r w:rsidRPr="00F80AA0">
        <w:rPr>
          <w:rFonts w:ascii="Arial" w:hAnsi="Arial" w:cs="Arial"/>
          <w:b/>
          <w:bCs/>
          <w:color w:val="auto"/>
          <w:sz w:val="28"/>
        </w:rPr>
        <w:t xml:space="preserve">Characteristics of the Ticket to Work Model </w:t>
      </w:r>
    </w:p>
    <w:p w14:paraId="16AFEB6B" w14:textId="77777777" w:rsidR="00A52A7A" w:rsidRDefault="00A52A7A" w:rsidP="00A52A7A">
      <w:pPr>
        <w:shd w:val="clear" w:color="auto" w:fill="FFFFFF"/>
        <w:spacing w:after="0" w:line="240" w:lineRule="auto"/>
        <w:textAlignment w:val="baseline"/>
        <w:rPr>
          <w:color w:val="000000"/>
          <w:lang w:eastAsia="en-AU"/>
        </w:rPr>
      </w:pPr>
    </w:p>
    <w:p w14:paraId="75E73305" w14:textId="77777777" w:rsidR="005A5481" w:rsidRDefault="005A5481" w:rsidP="00A52A7A">
      <w:pPr>
        <w:shd w:val="clear" w:color="auto" w:fill="FFFFFF"/>
        <w:spacing w:after="0" w:line="240" w:lineRule="auto"/>
        <w:textAlignment w:val="baseline"/>
        <w:rPr>
          <w:color w:val="000000"/>
          <w:lang w:eastAsia="en-AU"/>
        </w:rPr>
      </w:pPr>
      <w:r w:rsidRPr="00A52A7A">
        <w:rPr>
          <w:color w:val="000000"/>
          <w:lang w:eastAsia="en-AU"/>
        </w:rPr>
        <w:t xml:space="preserve">Ticket to </w:t>
      </w:r>
      <w:r w:rsidR="00E15657" w:rsidRPr="00A52A7A">
        <w:rPr>
          <w:color w:val="000000"/>
          <w:lang w:eastAsia="en-AU"/>
        </w:rPr>
        <w:t>W</w:t>
      </w:r>
      <w:r w:rsidRPr="00A52A7A">
        <w:rPr>
          <w:color w:val="000000"/>
          <w:lang w:eastAsia="en-AU"/>
        </w:rPr>
        <w:t xml:space="preserve">ork prepares young people for the world of </w:t>
      </w:r>
      <w:r w:rsidR="004C4541">
        <w:rPr>
          <w:color w:val="000000"/>
          <w:lang w:eastAsia="en-AU"/>
        </w:rPr>
        <w:t>w</w:t>
      </w:r>
      <w:r w:rsidRPr="00A52A7A">
        <w:rPr>
          <w:color w:val="000000"/>
          <w:lang w:eastAsia="en-AU"/>
        </w:rPr>
        <w:t>ork, providing them with an open employment pathway in their transition from school through a combination of vocational/career development and early contact with work environments.</w:t>
      </w:r>
    </w:p>
    <w:p w14:paraId="419D4E23" w14:textId="77777777" w:rsidR="00A52A7A" w:rsidRPr="00A52A7A" w:rsidRDefault="00A52A7A" w:rsidP="00A52A7A">
      <w:pPr>
        <w:shd w:val="clear" w:color="auto" w:fill="FFFFFF"/>
        <w:spacing w:after="0" w:line="240" w:lineRule="auto"/>
        <w:textAlignment w:val="baseline"/>
        <w:rPr>
          <w:color w:val="000000"/>
          <w:lang w:eastAsia="en-AU"/>
        </w:rPr>
      </w:pPr>
    </w:p>
    <w:p w14:paraId="4ACB705A" w14:textId="77777777" w:rsidR="005A5481" w:rsidRDefault="005A5481" w:rsidP="00A52A7A">
      <w:pPr>
        <w:spacing w:after="0" w:line="240" w:lineRule="auto"/>
      </w:pPr>
      <w:r w:rsidRPr="00A52A7A">
        <w:t>Community networks are developed and leverage the power of cross-sectoral partnerships to provide individualised support, blending existing resources, coordinating</w:t>
      </w:r>
      <w:r w:rsidR="000F7745">
        <w:t xml:space="preserve"> and</w:t>
      </w:r>
      <w:r w:rsidRPr="00A52A7A">
        <w:t xml:space="preserve"> scaffolding all relevant supports for young people with significant disability. </w:t>
      </w:r>
    </w:p>
    <w:p w14:paraId="79A20C27" w14:textId="77777777" w:rsidR="00A52A7A" w:rsidRPr="00A52A7A" w:rsidRDefault="00A52A7A" w:rsidP="00A52A7A">
      <w:pPr>
        <w:spacing w:after="0" w:line="240" w:lineRule="auto"/>
      </w:pPr>
    </w:p>
    <w:p w14:paraId="58B91DBE" w14:textId="77777777" w:rsidR="005A5481" w:rsidRDefault="005A5481" w:rsidP="00A52A7A">
      <w:pPr>
        <w:spacing w:after="0" w:line="240" w:lineRule="auto"/>
      </w:pPr>
      <w:r w:rsidRPr="00A52A7A">
        <w:t xml:space="preserve">The networks are coordinated by an intermediary, which supports </w:t>
      </w:r>
      <w:r w:rsidR="005C07E1" w:rsidRPr="00A52A7A">
        <w:t xml:space="preserve">the </w:t>
      </w:r>
      <w:r w:rsidRPr="00A52A7A">
        <w:t>development of a local community partnership, including schools, employment services, training organisations, post school providers and employers.</w:t>
      </w:r>
    </w:p>
    <w:p w14:paraId="50B6D950" w14:textId="77777777" w:rsidR="00A52A7A" w:rsidRPr="00A52A7A" w:rsidRDefault="00A52A7A" w:rsidP="00A52A7A">
      <w:pPr>
        <w:spacing w:after="0" w:line="240" w:lineRule="auto"/>
      </w:pPr>
    </w:p>
    <w:p w14:paraId="11BBC35B" w14:textId="77777777" w:rsidR="005A5481" w:rsidRPr="00A52A7A" w:rsidRDefault="005A5481" w:rsidP="00A52A7A">
      <w:pPr>
        <w:shd w:val="clear" w:color="auto" w:fill="FFFFFF"/>
        <w:spacing w:after="0" w:line="240" w:lineRule="auto"/>
        <w:textAlignment w:val="baseline"/>
        <w:rPr>
          <w:color w:val="000000"/>
          <w:lang w:eastAsia="en-AU"/>
        </w:rPr>
      </w:pPr>
      <w:r w:rsidRPr="00A52A7A">
        <w:rPr>
          <w:color w:val="000000"/>
          <w:lang w:eastAsia="en-AU"/>
        </w:rPr>
        <w:t>Ticket to Work:</w:t>
      </w:r>
    </w:p>
    <w:p w14:paraId="6B42461C" w14:textId="77777777" w:rsidR="005A5481" w:rsidRPr="00A52A7A" w:rsidRDefault="005A5481" w:rsidP="00A52A7A">
      <w:pPr>
        <w:numPr>
          <w:ilvl w:val="0"/>
          <w:numId w:val="4"/>
        </w:numPr>
        <w:shd w:val="clear" w:color="auto" w:fill="FFFFFF"/>
        <w:spacing w:after="0" w:line="240" w:lineRule="auto"/>
        <w:ind w:left="240"/>
        <w:textAlignment w:val="baseline"/>
        <w:rPr>
          <w:color w:val="000000"/>
          <w:lang w:eastAsia="en-AU"/>
        </w:rPr>
      </w:pPr>
      <w:r w:rsidRPr="00A52A7A">
        <w:rPr>
          <w:color w:val="000000"/>
          <w:lang w:eastAsia="en-AU"/>
        </w:rPr>
        <w:t>brings together disability-specific and mainstream representatives from a variety of sectors to work strategically and collaboratively</w:t>
      </w:r>
    </w:p>
    <w:p w14:paraId="68888805" w14:textId="77777777" w:rsidR="005A5481" w:rsidRPr="00A52A7A" w:rsidRDefault="005A5481" w:rsidP="00A52A7A">
      <w:pPr>
        <w:numPr>
          <w:ilvl w:val="0"/>
          <w:numId w:val="4"/>
        </w:numPr>
        <w:shd w:val="clear" w:color="auto" w:fill="FFFFFF"/>
        <w:spacing w:after="0" w:line="240" w:lineRule="auto"/>
        <w:ind w:left="240"/>
        <w:textAlignment w:val="baseline"/>
        <w:rPr>
          <w:color w:val="000000"/>
          <w:lang w:eastAsia="en-AU"/>
        </w:rPr>
      </w:pPr>
      <w:r w:rsidRPr="00A52A7A">
        <w:rPr>
          <w:color w:val="000000"/>
          <w:lang w:eastAsia="en-AU"/>
        </w:rPr>
        <w:t>supports young people to gain access to early experiences that positively influence their views of themselves as workers</w:t>
      </w:r>
    </w:p>
    <w:p w14:paraId="58D71EBA" w14:textId="77777777" w:rsidR="005A5481" w:rsidRPr="00A52A7A" w:rsidRDefault="005A5481" w:rsidP="00A52A7A">
      <w:pPr>
        <w:numPr>
          <w:ilvl w:val="0"/>
          <w:numId w:val="4"/>
        </w:numPr>
        <w:shd w:val="clear" w:color="auto" w:fill="FFFFFF"/>
        <w:spacing w:after="0" w:line="240" w:lineRule="auto"/>
        <w:ind w:left="240"/>
        <w:textAlignment w:val="baseline"/>
        <w:rPr>
          <w:color w:val="000000"/>
          <w:lang w:eastAsia="en-AU"/>
        </w:rPr>
      </w:pPr>
      <w:r w:rsidRPr="00A52A7A">
        <w:rPr>
          <w:color w:val="000000"/>
          <w:lang w:eastAsia="en-AU"/>
        </w:rPr>
        <w:t>prepares young people with disability for the workplace and gives them an employment pathway that is typical of other young adults</w:t>
      </w:r>
    </w:p>
    <w:p w14:paraId="416C82A8" w14:textId="76B54898" w:rsidR="005A5481" w:rsidRPr="00F80AA0" w:rsidRDefault="005A5481" w:rsidP="00F80AA0">
      <w:pPr>
        <w:numPr>
          <w:ilvl w:val="0"/>
          <w:numId w:val="4"/>
        </w:numPr>
        <w:shd w:val="clear" w:color="auto" w:fill="FFFFFF"/>
        <w:spacing w:after="0" w:line="240" w:lineRule="auto"/>
        <w:ind w:left="240"/>
        <w:textAlignment w:val="baseline"/>
        <w:rPr>
          <w:color w:val="000000"/>
          <w:lang w:eastAsia="en-AU"/>
        </w:rPr>
      </w:pPr>
      <w:r w:rsidRPr="00A52A7A">
        <w:rPr>
          <w:color w:val="000000"/>
          <w:lang w:eastAsia="en-AU"/>
        </w:rPr>
        <w:t>meets the needs of employers, providing enhanced retention and profitability.</w:t>
      </w:r>
      <w:r w:rsidR="009857E9" w:rsidRPr="00F80AA0">
        <w:rPr>
          <w:color w:val="000000"/>
          <w:lang w:eastAsia="en-AU"/>
        </w:rPr>
        <w:br w:type="page"/>
      </w:r>
    </w:p>
    <w:p w14:paraId="79EE5F5B" w14:textId="77777777" w:rsidR="00A52A7A" w:rsidRDefault="00A52A7A" w:rsidP="00A52A7A">
      <w:pPr>
        <w:pStyle w:val="Heading3"/>
        <w:spacing w:before="0" w:beforeAutospacing="0" w:after="0" w:afterAutospacing="0"/>
        <w:rPr>
          <w:rFonts w:ascii="Arial" w:hAnsi="Arial" w:cs="Arial"/>
          <w:sz w:val="24"/>
          <w:szCs w:val="24"/>
        </w:rPr>
      </w:pPr>
    </w:p>
    <w:p w14:paraId="48CD128E" w14:textId="77777777" w:rsidR="00364841" w:rsidRPr="00F80AA0" w:rsidRDefault="00F70057" w:rsidP="00A52A7A">
      <w:pPr>
        <w:pStyle w:val="Heading3"/>
        <w:spacing w:before="0" w:beforeAutospacing="0" w:after="0" w:afterAutospacing="0"/>
        <w:rPr>
          <w:rFonts w:ascii="Arial" w:hAnsi="Arial" w:cs="Arial"/>
          <w:sz w:val="28"/>
          <w:szCs w:val="24"/>
        </w:rPr>
      </w:pPr>
      <w:r w:rsidRPr="00F80AA0">
        <w:rPr>
          <w:rFonts w:ascii="Arial" w:hAnsi="Arial" w:cs="Arial"/>
          <w:sz w:val="28"/>
          <w:szCs w:val="24"/>
        </w:rPr>
        <w:t xml:space="preserve">Interaction between services: </w:t>
      </w:r>
      <w:r w:rsidR="00364841" w:rsidRPr="00F80AA0">
        <w:rPr>
          <w:rFonts w:ascii="Arial" w:hAnsi="Arial" w:cs="Arial"/>
          <w:sz w:val="28"/>
          <w:szCs w:val="24"/>
        </w:rPr>
        <w:t>The significance of collaboration</w:t>
      </w:r>
    </w:p>
    <w:p w14:paraId="7E4DAC05" w14:textId="77777777" w:rsidR="00A52A7A" w:rsidRDefault="00A52A7A" w:rsidP="00A52A7A">
      <w:pPr>
        <w:spacing w:after="0" w:line="240" w:lineRule="auto"/>
      </w:pPr>
    </w:p>
    <w:p w14:paraId="04CD453D" w14:textId="5684BCF7" w:rsidR="00364841" w:rsidRDefault="00B9246E" w:rsidP="00A52A7A">
      <w:pPr>
        <w:spacing w:after="0" w:line="240" w:lineRule="auto"/>
        <w:rPr>
          <w:lang w:val="en-US"/>
        </w:rPr>
      </w:pPr>
      <w:r w:rsidRPr="00A52A7A">
        <w:t>Ticket to Work demonstrates the significance of</w:t>
      </w:r>
      <w:r w:rsidR="006A676E" w:rsidRPr="00A52A7A">
        <w:t xml:space="preserve"> interaction </w:t>
      </w:r>
      <w:r w:rsidR="004C4541">
        <w:t>and</w:t>
      </w:r>
      <w:r w:rsidR="00B466A0" w:rsidRPr="00A52A7A">
        <w:t xml:space="preserve"> collaboration </w:t>
      </w:r>
      <w:r w:rsidR="006A676E" w:rsidRPr="00A52A7A">
        <w:t xml:space="preserve">between </w:t>
      </w:r>
      <w:r w:rsidR="00B466A0" w:rsidRPr="00A52A7A">
        <w:t>education</w:t>
      </w:r>
      <w:r w:rsidR="00E176C2" w:rsidRPr="00A52A7A">
        <w:t xml:space="preserve"> </w:t>
      </w:r>
      <w:r w:rsidR="00284C43" w:rsidRPr="00A52A7A">
        <w:t>funded</w:t>
      </w:r>
      <w:r w:rsidR="006A676E" w:rsidRPr="00A52A7A">
        <w:t xml:space="preserve"> by </w:t>
      </w:r>
      <w:r w:rsidR="00231E57" w:rsidRPr="00A52A7A">
        <w:t>s</w:t>
      </w:r>
      <w:r w:rsidR="00E176C2" w:rsidRPr="00A52A7A">
        <w:t>tate governments</w:t>
      </w:r>
      <w:r w:rsidR="00F70057" w:rsidRPr="00A52A7A">
        <w:t>, disability supports through the NDIS</w:t>
      </w:r>
      <w:r w:rsidR="00E176C2" w:rsidRPr="00A52A7A">
        <w:t xml:space="preserve"> and </w:t>
      </w:r>
      <w:r w:rsidR="00231E57" w:rsidRPr="00A52A7A">
        <w:t>e</w:t>
      </w:r>
      <w:r w:rsidR="00E176C2" w:rsidRPr="00A52A7A">
        <w:t xml:space="preserve">mployment services funded by the </w:t>
      </w:r>
      <w:r w:rsidR="006A676E" w:rsidRPr="00A52A7A">
        <w:t>Commonwealth</w:t>
      </w:r>
      <w:r w:rsidR="00231E57" w:rsidRPr="00A52A7A">
        <w:t xml:space="preserve">. </w:t>
      </w:r>
      <w:r w:rsidR="00364841" w:rsidRPr="00A52A7A">
        <w:rPr>
          <w:lang w:val="en-US"/>
        </w:rPr>
        <w:t>Programs are often ‘siloed’, in either schools or adult disability services, training or employment services</w:t>
      </w:r>
      <w:r w:rsidR="007E1B6F" w:rsidRPr="00A52A7A">
        <w:rPr>
          <w:lang w:val="en-US"/>
        </w:rPr>
        <w:t xml:space="preserve">, </w:t>
      </w:r>
      <w:r w:rsidR="00364841" w:rsidRPr="00A52A7A">
        <w:rPr>
          <w:lang w:val="en-US"/>
        </w:rPr>
        <w:t>creat</w:t>
      </w:r>
      <w:r w:rsidR="007E1B6F" w:rsidRPr="00A52A7A">
        <w:rPr>
          <w:lang w:val="en-US"/>
        </w:rPr>
        <w:t>ing</w:t>
      </w:r>
      <w:r w:rsidR="00364841" w:rsidRPr="00A52A7A">
        <w:rPr>
          <w:lang w:val="en-US"/>
        </w:rPr>
        <w:t xml:space="preserve"> a dichotomous model whose division of service delivery is reflective of traditional funding arrangements by governments</w:t>
      </w:r>
      <w:r w:rsidR="006622BC">
        <w:rPr>
          <w:lang w:val="en-US"/>
        </w:rPr>
        <w:t xml:space="preserve"> </w:t>
      </w:r>
      <w:r w:rsidR="006622BC">
        <w:rPr>
          <w:lang w:val="en-US"/>
        </w:rPr>
        <w:fldChar w:fldCharType="begin"/>
      </w:r>
      <w:r w:rsidR="006622BC">
        <w:rPr>
          <w:lang w:val="en-US"/>
        </w:rPr>
        <w:instrText xml:space="preserve"> ADDIN EN.CITE &lt;EndNote&gt;&lt;Cite&gt;&lt;Author&gt;Winn&lt;/Author&gt;&lt;Year&gt;2009&lt;/Year&gt;&lt;RecNum&gt;1734&lt;/RecNum&gt;&lt;DisplayText&gt;(Winn &amp;amp; Hay, 2009)&lt;/DisplayText&gt;&lt;record&gt;&lt;rec-number&gt;1734&lt;/rec-number&gt;&lt;foreign-keys&gt;&lt;key app="EN" db-id="afrvxfvzvvpp2tew2sbxfrtxszxsa992r2f0" timestamp="1585124747"&gt;1734&lt;/key&gt;&lt;/foreign-keys&gt;&lt;ref-type name="Journal Article"&gt;17&lt;/ref-type&gt;&lt;contributors&gt;&lt;authors&gt;&lt;author&gt;Winn, Stephen&lt;/author&gt;&lt;author&gt;Hay, Ian&lt;/author&gt;&lt;/authors&gt;&lt;/contributors&gt;&lt;titles&gt;&lt;title&gt;Transition from school for youths with a disability: issues and challenges&lt;/title&gt;&lt;secondary-title&gt;Disability &amp;amp; Society&lt;/secondary-title&gt;&lt;/titles&gt;&lt;periodical&gt;&lt;full-title&gt;Disability &amp;amp; Society&lt;/full-title&gt;&lt;/periodical&gt;&lt;pages&gt;103-115&lt;/pages&gt;&lt;volume&gt;24&lt;/volume&gt;&lt;number&gt;1&lt;/number&gt;&lt;keywords&gt;&lt;keyword&gt;Transition&lt;/keyword&gt;&lt;keyword&gt;Disability&lt;/keyword&gt;&lt;keyword&gt;Youth&lt;/keyword&gt;&lt;keyword&gt;Employment&lt;/keyword&gt;&lt;keyword&gt;Schooling&lt;/keyword&gt;&lt;keyword&gt;Community&lt;/keyword&gt;&lt;keyword&gt;Social Welfare &amp;amp; Social Work&lt;/keyword&gt;&lt;/keywords&gt;&lt;dates&gt;&lt;year&gt;2009&lt;/year&gt;&lt;/dates&gt;&lt;isbn&gt;0968-7599&lt;/isbn&gt;&lt;urls&gt;&lt;/urls&gt;&lt;electronic-resource-num&gt;10.1080/09687590802535725&lt;/electronic-resource-num&gt;&lt;/record&gt;&lt;/Cite&gt;&lt;/EndNote&gt;</w:instrText>
      </w:r>
      <w:r w:rsidR="006622BC">
        <w:rPr>
          <w:lang w:val="en-US"/>
        </w:rPr>
        <w:fldChar w:fldCharType="separate"/>
      </w:r>
      <w:r w:rsidR="006622BC">
        <w:rPr>
          <w:noProof/>
          <w:lang w:val="en-US"/>
        </w:rPr>
        <w:t>(Winn &amp; Hay, 2009)</w:t>
      </w:r>
      <w:r w:rsidR="006622BC">
        <w:rPr>
          <w:lang w:val="en-US"/>
        </w:rPr>
        <w:fldChar w:fldCharType="end"/>
      </w:r>
      <w:r w:rsidR="00364841" w:rsidRPr="00A52A7A">
        <w:rPr>
          <w:lang w:val="en-US"/>
        </w:rPr>
        <w:t xml:space="preserve">. </w:t>
      </w:r>
    </w:p>
    <w:p w14:paraId="51E5EDBB" w14:textId="77777777" w:rsidR="00A52A7A" w:rsidRPr="00A52A7A" w:rsidRDefault="00A52A7A" w:rsidP="00A52A7A">
      <w:pPr>
        <w:spacing w:after="0" w:line="240" w:lineRule="auto"/>
        <w:rPr>
          <w:lang w:val="en-US"/>
        </w:rPr>
      </w:pPr>
    </w:p>
    <w:p w14:paraId="7CDDFE17" w14:textId="4C1FD5A9" w:rsidR="00364841" w:rsidRDefault="00364841" w:rsidP="00A52A7A">
      <w:pPr>
        <w:spacing w:after="0" w:line="240" w:lineRule="auto"/>
        <w:rPr>
          <w:lang w:val="en-US"/>
        </w:rPr>
      </w:pPr>
      <w:r w:rsidRPr="00A52A7A">
        <w:rPr>
          <w:lang w:val="en-US"/>
        </w:rPr>
        <w:t>Young people with disability need to have access to supports enabl</w:t>
      </w:r>
      <w:r w:rsidR="00633454" w:rsidRPr="00A52A7A">
        <w:rPr>
          <w:lang w:val="en-US"/>
        </w:rPr>
        <w:t>ing</w:t>
      </w:r>
      <w:r w:rsidRPr="00A52A7A">
        <w:rPr>
          <w:lang w:val="en-US"/>
        </w:rPr>
        <w:t xml:space="preserve"> them to transition effectively from school into employment. Just as the impact of disability impacts upon individuals on a continuum, there needs to be a continuum of service responses to address the barriers individuals face. Post-school services need to connect with individuals while at school, with the initiation of career development and pre-employment skills training commencing </w:t>
      </w:r>
      <w:r w:rsidR="0050539C" w:rsidRPr="00A52A7A">
        <w:rPr>
          <w:lang w:val="en-US"/>
        </w:rPr>
        <w:t>before</w:t>
      </w:r>
      <w:r w:rsidRPr="00A52A7A">
        <w:rPr>
          <w:lang w:val="en-US"/>
        </w:rPr>
        <w:t xml:space="preserve"> school-leaving age</w:t>
      </w:r>
      <w:r w:rsidR="006622BC">
        <w:rPr>
          <w:lang w:val="en-US"/>
        </w:rPr>
        <w:t xml:space="preserve"> </w:t>
      </w:r>
      <w:r w:rsidR="006622BC">
        <w:rPr>
          <w:lang w:val="en-US"/>
        </w:rPr>
        <w:fldChar w:fldCharType="begin"/>
      </w:r>
      <w:r w:rsidR="006622BC">
        <w:rPr>
          <w:lang w:val="en-US"/>
        </w:rPr>
        <w:instrText xml:space="preserve"> ADDIN EN.CITE &lt;EndNote&gt;&lt;Cite&gt;&lt;Author&gt;Kruger&lt;/Author&gt;&lt;Year&gt;2006&lt;/Year&gt;&lt;RecNum&gt;1745&lt;/RecNum&gt;&lt;DisplayText&gt;(Kruger, Elinson, &amp;amp; Milfort, 2006)&lt;/DisplayText&gt;&lt;record&gt;&lt;rec-number&gt;1745&lt;/rec-number&gt;&lt;foreign-keys&gt;&lt;key app="EN" db-id="afrvxfvzvvpp2tew2sbxfrtxszxsa992r2f0" timestamp="1585266603"&gt;1745&lt;/key&gt;&lt;/foreign-keys&gt;&lt;ref-type name="Journal Article"&gt;17&lt;/ref-type&gt;&lt;contributors&gt;&lt;authors&gt;&lt;author&gt;Kruger, H. R.&lt;/author&gt;&lt;author&gt;Elinson, L&lt;/author&gt;&lt;author&gt;Milfort, R.&lt;/author&gt;&lt;/authors&gt;&lt;/contributors&gt;&lt;titles&gt;&lt;title&gt; Role of intermediaries in ODEP Youth Demonstration Programs.&lt;/title&gt;&lt;/titles&gt;&lt;dates&gt;&lt;year&gt;2006&lt;/year&gt;&lt;/dates&gt;&lt;urls&gt;&lt;related-urls&gt;&lt;url&gt;https://digitalcommons.ilr.cornell.edu/cgi/viewcontent.cgi?article=1330&amp;amp;context=gladnetcollect&lt;/url&gt;&lt;/related-urls&gt;&lt;/urls&gt;&lt;/record&gt;&lt;/Cite&gt;&lt;/EndNote&gt;</w:instrText>
      </w:r>
      <w:r w:rsidR="006622BC">
        <w:rPr>
          <w:lang w:val="en-US"/>
        </w:rPr>
        <w:fldChar w:fldCharType="separate"/>
      </w:r>
      <w:r w:rsidR="006622BC">
        <w:rPr>
          <w:noProof/>
          <w:lang w:val="en-US"/>
        </w:rPr>
        <w:t>(Kruger, Elinson, &amp; Milfort, 2006)</w:t>
      </w:r>
      <w:r w:rsidR="006622BC">
        <w:rPr>
          <w:lang w:val="en-US"/>
        </w:rPr>
        <w:fldChar w:fldCharType="end"/>
      </w:r>
      <w:r w:rsidRPr="00A52A7A">
        <w:rPr>
          <w:lang w:val="en-US"/>
        </w:rPr>
        <w:t>.</w:t>
      </w:r>
    </w:p>
    <w:p w14:paraId="6B69AC6B" w14:textId="77777777" w:rsidR="00A52A7A" w:rsidRPr="00A52A7A" w:rsidRDefault="00A52A7A" w:rsidP="00A52A7A">
      <w:pPr>
        <w:spacing w:after="0" w:line="240" w:lineRule="auto"/>
        <w:rPr>
          <w:lang w:val="en-US"/>
        </w:rPr>
      </w:pPr>
    </w:p>
    <w:p w14:paraId="50086CA5" w14:textId="38A52259" w:rsidR="00364841" w:rsidRDefault="00364841" w:rsidP="00A52A7A">
      <w:pPr>
        <w:spacing w:after="0" w:line="240" w:lineRule="auto"/>
        <w:rPr>
          <w:lang w:val="en-US"/>
        </w:rPr>
      </w:pPr>
      <w:r w:rsidRPr="00A52A7A">
        <w:rPr>
          <w:lang w:val="en-US"/>
        </w:rPr>
        <w:t>Interventions should include preventive and collaborative approaches that address the multiple causes of exclusion</w:t>
      </w:r>
      <w:r w:rsidR="006622BC">
        <w:rPr>
          <w:lang w:val="en-US"/>
        </w:rPr>
        <w:t xml:space="preserve"> </w:t>
      </w:r>
      <w:r w:rsidR="006622BC">
        <w:rPr>
          <w:lang w:val="en-US"/>
        </w:rPr>
        <w:fldChar w:fldCharType="begin"/>
      </w:r>
      <w:r w:rsidR="006622BC">
        <w:rPr>
          <w:lang w:val="en-US"/>
        </w:rPr>
        <w:instrText xml:space="preserve"> ADDIN EN.CITE &lt;EndNote&gt;&lt;Cite&gt;&lt;Author&gt;Dyson&lt;/Author&gt;&lt;Year&gt;2005&lt;/Year&gt;&lt;RecNum&gt;1746&lt;/RecNum&gt;&lt;DisplayText&gt;(Dyson, 2005)&lt;/DisplayText&gt;&lt;record&gt;&lt;rec-number&gt;1746&lt;/rec-number&gt;&lt;foreign-keys&gt;&lt;key app="EN" db-id="afrvxfvzvvpp2tew2sbxfrtxszxsa992r2f0" timestamp="1585267060"&gt;1746&lt;/key&gt;&lt;/foreign-keys&gt;&lt;ref-type name="Report"&gt;27&lt;/ref-type&gt;&lt;contributors&gt;&lt;authors&gt;&lt;author&gt;Dyson, A., Aston, J., Dewson, S., &amp;amp; Loukas, G.&lt;/author&gt;&lt;/authors&gt;&lt;/contributors&gt;&lt;titles&gt;&lt;title&gt; Post-16 transitions: a longitudinal study of young people with special educational needs (wave three).&lt;/title&gt;&lt;/titles&gt;&lt;dates&gt;&lt;year&gt;2005&lt;/year&gt;&lt;/dates&gt;&lt;pub-location&gt;Brighton UK &lt;/pub-location&gt;&lt;urls&gt;&lt;related-urls&gt;&lt;url&gt; https://www.educationandemployers.org/wp-content/uploads/2014/06/sen-transitions-wave-3-dfes.pdf&lt;/url&gt;&lt;/related-urls&gt;&lt;/urls&gt;&lt;/record&gt;&lt;/Cite&gt;&lt;/EndNote&gt;</w:instrText>
      </w:r>
      <w:r w:rsidR="006622BC">
        <w:rPr>
          <w:lang w:val="en-US"/>
        </w:rPr>
        <w:fldChar w:fldCharType="separate"/>
      </w:r>
      <w:r w:rsidR="006622BC">
        <w:rPr>
          <w:noProof/>
          <w:lang w:val="en-US"/>
        </w:rPr>
        <w:t>(Dyson, 2005)</w:t>
      </w:r>
      <w:r w:rsidR="006622BC">
        <w:rPr>
          <w:lang w:val="en-US"/>
        </w:rPr>
        <w:fldChar w:fldCharType="end"/>
      </w:r>
      <w:r w:rsidRPr="00A52A7A">
        <w:rPr>
          <w:lang w:val="en-US"/>
        </w:rPr>
        <w:t>.</w:t>
      </w:r>
    </w:p>
    <w:p w14:paraId="6E3CE5CF" w14:textId="77777777" w:rsidR="00A52A7A" w:rsidRPr="00A52A7A" w:rsidRDefault="00A52A7A" w:rsidP="00A52A7A">
      <w:pPr>
        <w:spacing w:after="0" w:line="240" w:lineRule="auto"/>
        <w:rPr>
          <w:lang w:val="en-US"/>
        </w:rPr>
      </w:pPr>
    </w:p>
    <w:p w14:paraId="3149174F" w14:textId="4A84C13C" w:rsidR="00364841" w:rsidRPr="00A52A7A" w:rsidRDefault="00364841" w:rsidP="00A52A7A">
      <w:pPr>
        <w:spacing w:after="0" w:line="240" w:lineRule="auto"/>
        <w:rPr>
          <w:lang w:val="en-US"/>
        </w:rPr>
      </w:pPr>
      <w:r w:rsidRPr="00A52A7A">
        <w:rPr>
          <w:lang w:val="en-US"/>
        </w:rPr>
        <w:t xml:space="preserve">Early intervention is </w:t>
      </w:r>
      <w:r w:rsidR="0050539C" w:rsidRPr="00A52A7A">
        <w:rPr>
          <w:lang w:val="en-US"/>
        </w:rPr>
        <w:t>vital</w:t>
      </w:r>
      <w:r w:rsidRPr="00A52A7A">
        <w:rPr>
          <w:lang w:val="en-US"/>
        </w:rPr>
        <w:t>. It is crucial for young people with disability</w:t>
      </w:r>
      <w:r w:rsidR="00E11450" w:rsidRPr="00A52A7A">
        <w:rPr>
          <w:lang w:val="en-US"/>
        </w:rPr>
        <w:t>, particularly those with autism</w:t>
      </w:r>
      <w:r w:rsidR="0050539C" w:rsidRPr="00A52A7A">
        <w:rPr>
          <w:lang w:val="en-US"/>
        </w:rPr>
        <w:t>,</w:t>
      </w:r>
      <w:r w:rsidRPr="00A52A7A">
        <w:rPr>
          <w:lang w:val="en-US"/>
        </w:rPr>
        <w:t xml:space="preserve"> to receive the support they require to participate in the workforce as early as possible. </w:t>
      </w:r>
      <w:r w:rsidR="00C956F1" w:rsidRPr="00A52A7A">
        <w:rPr>
          <w:lang w:val="en-US"/>
        </w:rPr>
        <w:t>It</w:t>
      </w:r>
      <w:r w:rsidRPr="00A52A7A">
        <w:rPr>
          <w:lang w:val="en-US"/>
        </w:rPr>
        <w:t xml:space="preserve"> will drive effective long-term employment outcomes and maximise the benefits of improved standards of living and social inclusion that come with employment </w:t>
      </w:r>
      <w:r w:rsidRPr="00A52A7A">
        <w:rPr>
          <w:lang w:val="en-US"/>
        </w:rPr>
        <w:fldChar w:fldCharType="begin"/>
      </w:r>
      <w:r w:rsidR="00D930C3">
        <w:rPr>
          <w:lang w:val="en-US"/>
        </w:rPr>
        <w:instrText xml:space="preserve"> ADDIN EN.CITE &lt;EndNote&gt;&lt;Cite&gt;&lt;Author&gt;Deloitte Access Economics&lt;/Author&gt;&lt;Year&gt;2011&lt;/Year&gt;&lt;RecNum&gt;1747&lt;/RecNum&gt;&lt;DisplayText&gt;(Deloitte Access Economics, 2011)&lt;/DisplayText&gt;&lt;record&gt;&lt;rec-number&gt;1747&lt;/rec-number&gt;&lt;foreign-keys&gt;&lt;key app="EN" db-id="afrvxfvzvvpp2tew2sbxfrtxszxsa992r2f0" timestamp="1585267299"&gt;1747&lt;/key&gt;&lt;/foreign-keys&gt;&lt;ref-type name="Report"&gt;27&lt;/ref-type&gt;&lt;contributors&gt;&lt;authors&gt;&lt;author&gt;Deloitte Access Economics, &lt;/author&gt;&lt;/authors&gt;&lt;/contributors&gt;&lt;titles&gt;&lt;title&gt;The economic benefits of increasing employment for people with disability&lt;/title&gt;&lt;/titles&gt;&lt;dates&gt;&lt;year&gt;2011&lt;/year&gt;&lt;/dates&gt;&lt;publisher&gt;Australian Network on Disability&lt;/publisher&gt;&lt;urls&gt;&lt;related-urls&gt;&lt;url&gt;https://www2.deloitte.com/au/en/pages/economics/articles/economic-benefits-increasing-employment-for-people-with-disability.html&lt;/url&gt;&lt;/related-urls&gt;&lt;/urls&gt;&lt;/record&gt;&lt;/Cite&gt;&lt;/EndNote&gt;</w:instrText>
      </w:r>
      <w:r w:rsidRPr="00A52A7A">
        <w:rPr>
          <w:lang w:val="en-US"/>
        </w:rPr>
        <w:fldChar w:fldCharType="separate"/>
      </w:r>
      <w:r w:rsidRPr="00A52A7A">
        <w:rPr>
          <w:noProof/>
          <w:lang w:val="en-US"/>
        </w:rPr>
        <w:t>(Deloitte Access Economics, 2011)</w:t>
      </w:r>
      <w:r w:rsidRPr="00A52A7A">
        <w:rPr>
          <w:lang w:val="en-US"/>
        </w:rPr>
        <w:fldChar w:fldCharType="end"/>
      </w:r>
      <w:r w:rsidRPr="00A52A7A">
        <w:rPr>
          <w:lang w:val="en-US"/>
        </w:rPr>
        <w:t>.</w:t>
      </w:r>
    </w:p>
    <w:p w14:paraId="5C0FF4C2" w14:textId="609BE25F" w:rsidR="00364841" w:rsidRDefault="00364841" w:rsidP="00A52A7A">
      <w:pPr>
        <w:spacing w:after="0" w:line="240" w:lineRule="auto"/>
      </w:pPr>
      <w:r w:rsidRPr="00A52A7A">
        <w:t xml:space="preserve">Collaboration between schools and agencies preparing people with disability for the world of </w:t>
      </w:r>
      <w:r w:rsidR="00E15657" w:rsidRPr="00A52A7A">
        <w:t>W</w:t>
      </w:r>
      <w:r w:rsidRPr="00A52A7A">
        <w:t xml:space="preserve">ork is a </w:t>
      </w:r>
      <w:r w:rsidR="00C956F1" w:rsidRPr="00A52A7A">
        <w:t>critical</w:t>
      </w:r>
      <w:r w:rsidRPr="00A52A7A">
        <w:t xml:space="preserve"> component in creating employment opportunities. Kohler</w:t>
      </w:r>
      <w:r w:rsidR="004275FC">
        <w:t xml:space="preserve"> </w:t>
      </w:r>
      <w:r w:rsidR="004275FC">
        <w:fldChar w:fldCharType="begin"/>
      </w:r>
      <w:r w:rsidR="004275FC">
        <w:instrText xml:space="preserve"> ADDIN EN.CITE &lt;EndNote&gt;&lt;Cite ExcludeAuth="1"&gt;&lt;Author&gt;Kohler&lt;/Author&gt;&lt;Year&gt;1993&lt;/Year&gt;&lt;RecNum&gt;1748&lt;/RecNum&gt;&lt;DisplayText&gt;(1993)&lt;/DisplayText&gt;&lt;record&gt;&lt;rec-number&gt;1748&lt;/rec-number&gt;&lt;foreign-keys&gt;&lt;key app="EN" db-id="afrvxfvzvvpp2tew2sbxfrtxszxsa992r2f0" timestamp="1585267596"&gt;1748&lt;/key&gt;&lt;/foreign-keys&gt;&lt;ref-type name="Journal Article"&gt;17&lt;/ref-type&gt;&lt;contributors&gt;&lt;authors&gt;&lt;author&gt;Kohler, Paula D&lt;/author&gt;&lt;/authors&gt;&lt;/contributors&gt;&lt;titles&gt;&lt;title&gt;Best practices in transition: Substantiated or implied?&lt;/title&gt;&lt;secondary-title&gt;Career Development for exceptional individuals&lt;/secondary-title&gt;&lt;/titles&gt;&lt;periodical&gt;&lt;full-title&gt;Career Development for Exceptional Individuals&lt;/full-title&gt;&lt;/periodical&gt;&lt;pages&gt;107-121&lt;/pages&gt;&lt;volume&gt;16&lt;/volume&gt;&lt;number&gt;2&lt;/number&gt;&lt;dates&gt;&lt;year&gt;1993&lt;/year&gt;&lt;/dates&gt;&lt;isbn&gt;0885-7288&lt;/isbn&gt;&lt;urls&gt;&lt;/urls&gt;&lt;/record&gt;&lt;/Cite&gt;&lt;/EndNote&gt;</w:instrText>
      </w:r>
      <w:r w:rsidR="004275FC">
        <w:fldChar w:fldCharType="separate"/>
      </w:r>
      <w:r w:rsidR="004275FC">
        <w:rPr>
          <w:noProof/>
        </w:rPr>
        <w:t>(1993)</w:t>
      </w:r>
      <w:r w:rsidR="004275FC">
        <w:fldChar w:fldCharType="end"/>
      </w:r>
      <w:r w:rsidRPr="00A52A7A">
        <w:t xml:space="preserve"> identified interagency cooperation and collaboration as one of the most frequently cited “best practices” for transition planning and included it as one of five key practice areas in her seminal </w:t>
      </w:r>
      <w:r w:rsidR="00E15657" w:rsidRPr="00A52A7A">
        <w:t>W</w:t>
      </w:r>
      <w:r w:rsidRPr="00A52A7A">
        <w:t>ork, the Taxonomy for Transition Progra</w:t>
      </w:r>
      <w:r w:rsidR="00C956F1" w:rsidRPr="00A52A7A">
        <w:t>m</w:t>
      </w:r>
      <w:r w:rsidRPr="00A52A7A">
        <w:t>ming</w:t>
      </w:r>
      <w:r w:rsidR="004275FC">
        <w:t xml:space="preserve"> </w:t>
      </w:r>
      <w:r w:rsidR="004275FC">
        <w:fldChar w:fldCharType="begin"/>
      </w:r>
      <w:r w:rsidR="004275FC">
        <w:instrText xml:space="preserve"> ADDIN EN.CITE &lt;EndNote&gt;&lt;Cite&gt;&lt;Author&gt;Kohler&lt;/Author&gt;&lt;Year&gt;1996&lt;/Year&gt;&lt;RecNum&gt;1749&lt;/RecNum&gt;&lt;DisplayText&gt;(Kohler, 1996)&lt;/DisplayText&gt;&lt;record&gt;&lt;rec-number&gt;1749&lt;/rec-number&gt;&lt;foreign-keys&gt;&lt;key app="EN" db-id="afrvxfvzvvpp2tew2sbxfrtxszxsa992r2f0" timestamp="1585267765"&gt;1749&lt;/key&gt;&lt;/foreign-keys&gt;&lt;ref-type name="Journal Article"&gt;17&lt;/ref-type&gt;&lt;contributors&gt;&lt;authors&gt;&lt;author&gt;Kohler, Paula D&lt;/author&gt;&lt;/authors&gt;&lt;/contributors&gt;&lt;titles&gt;&lt;title&gt;Taxonomy for transition programming&lt;/title&gt;&lt;secondary-title&gt;Champaign: University of Illinois&lt;/secondary-title&gt;&lt;/titles&gt;&lt;periodical&gt;&lt;full-title&gt;Champaign: University of Illinois&lt;/full-title&gt;&lt;/periodical&gt;&lt;dates&gt;&lt;year&gt;1996&lt;/year&gt;&lt;/dates&gt;&lt;urls&gt;&lt;/urls&gt;&lt;/record&gt;&lt;/Cite&gt;&lt;/EndNote&gt;</w:instrText>
      </w:r>
      <w:r w:rsidR="004275FC">
        <w:fldChar w:fldCharType="separate"/>
      </w:r>
      <w:r w:rsidR="004275FC">
        <w:rPr>
          <w:noProof/>
        </w:rPr>
        <w:t>(Kohler, 1996)</w:t>
      </w:r>
      <w:r w:rsidR="004275FC">
        <w:fldChar w:fldCharType="end"/>
      </w:r>
      <w:r w:rsidRPr="00A52A7A">
        <w:t xml:space="preserve">. </w:t>
      </w:r>
    </w:p>
    <w:p w14:paraId="6B2DA61E" w14:textId="77777777" w:rsidR="00A52A7A" w:rsidRPr="00A52A7A" w:rsidRDefault="00A52A7A" w:rsidP="00A52A7A">
      <w:pPr>
        <w:spacing w:after="0" w:line="240" w:lineRule="auto"/>
      </w:pPr>
    </w:p>
    <w:p w14:paraId="514ABF77" w14:textId="77777777" w:rsidR="00364841" w:rsidRDefault="00364841" w:rsidP="00A52A7A">
      <w:pPr>
        <w:spacing w:after="0" w:line="240" w:lineRule="auto"/>
      </w:pPr>
      <w:r w:rsidRPr="00A52A7A">
        <w:t>Exploration, preparation and implementation for employment pathways needs to occur while students are still attending school</w:t>
      </w:r>
      <w:r w:rsidR="00C956F1" w:rsidRPr="00A52A7A">
        <w:t>,</w:t>
      </w:r>
      <w:r w:rsidRPr="00A52A7A">
        <w:t xml:space="preserve"> and there needs to be collaboration between key stakeholders. These include mainstream post-school services with expertise in vocational training, apprenticeships and the provision of work experience, along with disability specific services with experience in teaching employment skills, school staff, families and the students.</w:t>
      </w:r>
    </w:p>
    <w:p w14:paraId="3BA007BB" w14:textId="77777777" w:rsidR="00A52A7A" w:rsidRPr="00A52A7A" w:rsidRDefault="00A52A7A" w:rsidP="00A52A7A">
      <w:pPr>
        <w:spacing w:after="0" w:line="240" w:lineRule="auto"/>
      </w:pPr>
    </w:p>
    <w:p w14:paraId="05556010" w14:textId="77777777" w:rsidR="00364841" w:rsidRDefault="004C4541" w:rsidP="00A52A7A">
      <w:pPr>
        <w:spacing w:after="0" w:line="240" w:lineRule="auto"/>
      </w:pPr>
      <w:r>
        <w:t>In the US it is acknowledged that:</w:t>
      </w:r>
    </w:p>
    <w:p w14:paraId="3752F219" w14:textId="77777777" w:rsidR="004C4541" w:rsidRPr="00A52A7A" w:rsidRDefault="004C4541" w:rsidP="00A52A7A">
      <w:pPr>
        <w:spacing w:after="0" w:line="240" w:lineRule="auto"/>
      </w:pPr>
    </w:p>
    <w:p w14:paraId="041E69F9" w14:textId="539E3E37" w:rsidR="00364841" w:rsidRPr="009857E9" w:rsidRDefault="00364841" w:rsidP="00A52A7A">
      <w:pPr>
        <w:pStyle w:val="Quote"/>
        <w:spacing w:after="0" w:line="240" w:lineRule="auto"/>
        <w:rPr>
          <w:rFonts w:ascii="Arial" w:hAnsi="Arial" w:cs="Arial"/>
        </w:rPr>
      </w:pPr>
      <w:r w:rsidRPr="009857E9">
        <w:rPr>
          <w:rFonts w:ascii="Arial" w:hAnsi="Arial" w:cs="Arial"/>
        </w:rPr>
        <w:t xml:space="preserve">Neither schools, nor workforce investment programs, human service agencies, or any other single system alone can pay for and provide the array of services needed to effectively meet the often complex needs of youth with disabilities. When collectively pooled, however, these resources can produce positive outcomes for youth, well beyond the scope of what any single system </w:t>
      </w:r>
      <w:r w:rsidRPr="009857E9">
        <w:rPr>
          <w:rFonts w:ascii="Arial" w:hAnsi="Arial" w:cs="Arial"/>
        </w:rPr>
        <w:lastRenderedPageBreak/>
        <w:t>can hope to mobilise on its own</w:t>
      </w:r>
      <w:r w:rsidR="00AD5C8E" w:rsidRPr="009857E9">
        <w:rPr>
          <w:rFonts w:ascii="Arial" w:hAnsi="Arial" w:cs="Arial"/>
        </w:rPr>
        <w:t xml:space="preserve"> </w:t>
      </w:r>
      <w:r w:rsidR="00AD5C8E" w:rsidRPr="009857E9">
        <w:rPr>
          <w:rFonts w:ascii="Arial" w:hAnsi="Arial" w:cs="Arial"/>
        </w:rPr>
        <w:fldChar w:fldCharType="begin"/>
      </w:r>
      <w:r w:rsidR="00AD5C8E" w:rsidRPr="009857E9">
        <w:rPr>
          <w:rFonts w:ascii="Arial" w:hAnsi="Arial" w:cs="Arial"/>
        </w:rPr>
        <w:instrText xml:space="preserve"> ADDIN EN.CITE &lt;EndNote&gt;&lt;Cite&gt;&lt;Author&gt;National Governors’ Association Center for Best Practice&lt;/Author&gt;&lt;Year&gt;2004&lt;/Year&gt;&lt;RecNum&gt;1757&lt;/RecNum&gt;&lt;DisplayText&gt;(National Governors’ Association Center for Best Practice, 2004)&lt;/DisplayText&gt;&lt;record&gt;&lt;rec-number&gt;1757&lt;/rec-number&gt;&lt;foreign-keys&gt;&lt;key app="EN" db-id="afrvxfvzvvpp2tew2sbxfrtxszxsa992r2f0" timestamp="1585269193"&gt;1757&lt;/key&gt;&lt;/foreign-keys&gt;&lt;ref-type name="Report"&gt;27&lt;/ref-type&gt;&lt;contributors&gt;&lt;authors&gt;&lt;author&gt;National Governors’ Association Center for Best Practice, &lt;/author&gt;&lt;/authors&gt;&lt;/contributors&gt;&lt;titles&gt;&lt;title&gt;Early lessons from states to promote youth development’&lt;/title&gt;&lt;/titles&gt;&lt;dates&gt;&lt;year&gt;2004&lt;/year&gt;&lt;/dates&gt;&lt;pub-location&gt;Washington, DC&lt;/pub-location&gt;&lt;publisher&gt; National Governor’s Association Social, Economic and Workforce Programs,&lt;/publisher&gt;&lt;urls&gt;&lt;/urls&gt;&lt;/record&gt;&lt;/Cite&gt;&lt;/EndNote&gt;</w:instrText>
      </w:r>
      <w:r w:rsidR="00AD5C8E" w:rsidRPr="009857E9">
        <w:rPr>
          <w:rFonts w:ascii="Arial" w:hAnsi="Arial" w:cs="Arial"/>
        </w:rPr>
        <w:fldChar w:fldCharType="separate"/>
      </w:r>
      <w:r w:rsidR="00AD5C8E" w:rsidRPr="009857E9">
        <w:rPr>
          <w:rFonts w:ascii="Arial" w:hAnsi="Arial" w:cs="Arial"/>
          <w:noProof/>
        </w:rPr>
        <w:t>(National Governors’ Association Center for Best Practice, 2004)</w:t>
      </w:r>
      <w:r w:rsidR="00AD5C8E" w:rsidRPr="009857E9">
        <w:rPr>
          <w:rFonts w:ascii="Arial" w:hAnsi="Arial" w:cs="Arial"/>
        </w:rPr>
        <w:fldChar w:fldCharType="end"/>
      </w:r>
      <w:r w:rsidRPr="009857E9">
        <w:rPr>
          <w:rFonts w:ascii="Arial" w:hAnsi="Arial" w:cs="Arial"/>
        </w:rPr>
        <w:t>.</w:t>
      </w:r>
    </w:p>
    <w:p w14:paraId="1DD43479" w14:textId="77777777" w:rsidR="00A52A7A" w:rsidRDefault="00A52A7A" w:rsidP="00A52A7A">
      <w:pPr>
        <w:spacing w:after="0" w:line="240" w:lineRule="auto"/>
      </w:pPr>
    </w:p>
    <w:p w14:paraId="6F4DD6B0" w14:textId="75ACF066" w:rsidR="00A52A7A" w:rsidRDefault="004C4541" w:rsidP="00A52A7A">
      <w:pPr>
        <w:spacing w:after="0" w:line="240" w:lineRule="auto"/>
      </w:pPr>
      <w:r>
        <w:t>Also in the US,</w:t>
      </w:r>
      <w:r w:rsidR="00DC3E1E" w:rsidRPr="00A52A7A">
        <w:t xml:space="preserve"> c</w:t>
      </w:r>
      <w:r w:rsidR="00364841" w:rsidRPr="00A52A7A">
        <w:t>ollaboration is mandat</w:t>
      </w:r>
      <w:r w:rsidR="00D40CFF" w:rsidRPr="00A52A7A">
        <w:t>ory,</w:t>
      </w:r>
      <w:r w:rsidR="00364841" w:rsidRPr="00A52A7A">
        <w:t xml:space="preserve"> and tran</w:t>
      </w:r>
      <w:r>
        <w:t>sition services/career decision-</w:t>
      </w:r>
      <w:r w:rsidR="00364841" w:rsidRPr="00A52A7A">
        <w:t xml:space="preserve">making </w:t>
      </w:r>
      <w:r w:rsidR="00D549B1" w:rsidRPr="00A52A7A">
        <w:t>take place</w:t>
      </w:r>
      <w:r w:rsidR="00364841" w:rsidRPr="00A52A7A">
        <w:t xml:space="preserve"> in partnership </w:t>
      </w:r>
      <w:r w:rsidR="00F80AA0">
        <w:t>with the post school supports.</w:t>
      </w:r>
    </w:p>
    <w:p w14:paraId="068F7AFC" w14:textId="77777777" w:rsidR="00F80AA0" w:rsidRPr="00A52A7A" w:rsidRDefault="00F80AA0" w:rsidP="00A52A7A">
      <w:pPr>
        <w:spacing w:after="0" w:line="240" w:lineRule="auto"/>
      </w:pPr>
    </w:p>
    <w:p w14:paraId="1831FF92" w14:textId="39759D2C" w:rsidR="00252640" w:rsidRDefault="00364841" w:rsidP="00A52A7A">
      <w:pPr>
        <w:spacing w:after="0" w:line="240" w:lineRule="auto"/>
      </w:pPr>
      <w:r w:rsidRPr="00A52A7A">
        <w:t>In Australia,</w:t>
      </w:r>
      <w:r w:rsidR="00CC5983" w:rsidRPr="00A52A7A">
        <w:t xml:space="preserve"> there is</w:t>
      </w:r>
      <w:r w:rsidR="004C4541">
        <w:t xml:space="preserve"> a</w:t>
      </w:r>
      <w:r w:rsidR="00CC5983" w:rsidRPr="00A52A7A">
        <w:t xml:space="preserve"> need to support col</w:t>
      </w:r>
      <w:r w:rsidR="0078540B" w:rsidRPr="00A52A7A">
        <w:t>laboration as in the Ticket to W</w:t>
      </w:r>
      <w:r w:rsidR="00CC5983" w:rsidRPr="00A52A7A">
        <w:t>ork model to ensure</w:t>
      </w:r>
      <w:r w:rsidRPr="00A52A7A">
        <w:t xml:space="preserve"> sectors and systems work together to improve career </w:t>
      </w:r>
      <w:r w:rsidR="00CC5983" w:rsidRPr="00A52A7A">
        <w:t xml:space="preserve">development </w:t>
      </w:r>
      <w:r w:rsidRPr="00A52A7A">
        <w:t xml:space="preserve">and school to work transition of young people with disability. </w:t>
      </w:r>
      <w:r w:rsidR="00DC3E1E" w:rsidRPr="00A52A7A">
        <w:t>Efforts to do so</w:t>
      </w:r>
      <w:r w:rsidRPr="00A52A7A">
        <w:t xml:space="preserve"> ha</w:t>
      </w:r>
      <w:r w:rsidR="00DC3E1E" w:rsidRPr="00A52A7A">
        <w:t>ve</w:t>
      </w:r>
      <w:r w:rsidRPr="00A52A7A">
        <w:t xml:space="preserve"> been the mainstay of recommendations of m</w:t>
      </w:r>
      <w:r w:rsidR="00DC3E1E" w:rsidRPr="00A52A7A">
        <w:t>ultiple</w:t>
      </w:r>
      <w:r w:rsidRPr="00A52A7A">
        <w:t xml:space="preserve"> Australian government </w:t>
      </w:r>
      <w:r w:rsidR="00AE51CD" w:rsidRPr="00A52A7A">
        <w:t>i</w:t>
      </w:r>
      <w:r w:rsidRPr="00A52A7A">
        <w:t>nquires and agreements, and yet it remains unaddressed</w:t>
      </w:r>
      <w:r w:rsidR="00AD5C8E">
        <w:t xml:space="preserve"> </w:t>
      </w:r>
      <w:r w:rsidR="00AD5C8E">
        <w:fldChar w:fldCharType="begin"/>
      </w:r>
      <w:r w:rsidR="00AD5C8E">
        <w:instrText xml:space="preserve"> ADDIN EN.CITE &lt;EndNote&gt;&lt;Cite&gt;&lt;Author&gt;Children with Disability Australia&lt;/Author&gt;&lt;Year&gt;2015&lt;/Year&gt;&lt;RecNum&gt;1758&lt;/RecNum&gt;&lt;DisplayText&gt;(Children with Disability Australia, 2015)&lt;/DisplayText&gt;&lt;record&gt;&lt;rec-number&gt;1758&lt;/rec-number&gt;&lt;foreign-keys&gt;&lt;key app="EN" db-id="afrvxfvzvvpp2tew2sbxfrtxszxsa992r2f0" timestamp="1585269732"&gt;1758&lt;/key&gt;&lt;/foreign-keys&gt;&lt;ref-type name="Report"&gt;27&lt;/ref-type&gt;&lt;contributors&gt;&lt;authors&gt;&lt;author&gt;Children with Disability Australia,&lt;/author&gt;&lt;/authors&gt;&lt;/contributors&gt;&lt;titles&gt;&lt;title&gt; Post school transition: the experiences of students with disability,&lt;/title&gt;&lt;/titles&gt;&lt;dates&gt;&lt;year&gt;2015&lt;/year&gt;&lt;/dates&gt;&lt;pub-location&gt;Clifton Hill.&lt;/pub-location&gt;&lt;publisher&gt; Children with Disability Australia, &lt;/publisher&gt;&lt;urls&gt;&lt;/urls&gt;&lt;/record&gt;&lt;/Cite&gt;&lt;/EndNote&gt;</w:instrText>
      </w:r>
      <w:r w:rsidR="00AD5C8E">
        <w:fldChar w:fldCharType="separate"/>
      </w:r>
      <w:r w:rsidR="00AD5C8E">
        <w:rPr>
          <w:noProof/>
        </w:rPr>
        <w:t>(Children with Disability Australia, 2015)</w:t>
      </w:r>
      <w:r w:rsidR="00AD5C8E">
        <w:fldChar w:fldCharType="end"/>
      </w:r>
      <w:r w:rsidRPr="00A52A7A">
        <w:t xml:space="preserve">. </w:t>
      </w:r>
    </w:p>
    <w:p w14:paraId="2B068978" w14:textId="77777777" w:rsidR="00A52A7A" w:rsidRPr="00A52A7A" w:rsidRDefault="00A52A7A" w:rsidP="00A52A7A">
      <w:pPr>
        <w:spacing w:after="0" w:line="240" w:lineRule="auto"/>
      </w:pPr>
    </w:p>
    <w:p w14:paraId="34D477BE" w14:textId="77777777" w:rsidR="00CB610B" w:rsidRPr="00F80AA0" w:rsidRDefault="007C46FE" w:rsidP="00A52A7A">
      <w:pPr>
        <w:pStyle w:val="Heading3"/>
        <w:spacing w:before="0" w:beforeAutospacing="0" w:after="0" w:afterAutospacing="0"/>
        <w:rPr>
          <w:rFonts w:ascii="Arial" w:hAnsi="Arial" w:cs="Arial"/>
          <w:sz w:val="28"/>
          <w:szCs w:val="24"/>
        </w:rPr>
      </w:pPr>
      <w:r w:rsidRPr="00F80AA0">
        <w:rPr>
          <w:rFonts w:ascii="Arial" w:hAnsi="Arial" w:cs="Arial"/>
          <w:sz w:val="28"/>
          <w:szCs w:val="24"/>
        </w:rPr>
        <w:t xml:space="preserve">After School </w:t>
      </w:r>
      <w:r w:rsidR="003C1FE1" w:rsidRPr="00F80AA0">
        <w:rPr>
          <w:rFonts w:ascii="Arial" w:hAnsi="Arial" w:cs="Arial"/>
          <w:sz w:val="28"/>
          <w:szCs w:val="24"/>
        </w:rPr>
        <w:t>Jobs Pilo</w:t>
      </w:r>
      <w:r w:rsidR="00CB610B" w:rsidRPr="00F80AA0">
        <w:rPr>
          <w:rFonts w:ascii="Arial" w:hAnsi="Arial" w:cs="Arial"/>
          <w:sz w:val="28"/>
          <w:szCs w:val="24"/>
        </w:rPr>
        <w:t>t</w:t>
      </w:r>
    </w:p>
    <w:p w14:paraId="560281DF" w14:textId="77777777" w:rsidR="00A52A7A" w:rsidRDefault="00A52A7A" w:rsidP="00A52A7A">
      <w:pPr>
        <w:spacing w:after="0" w:line="240" w:lineRule="auto"/>
      </w:pPr>
    </w:p>
    <w:p w14:paraId="393D3DA6" w14:textId="77777777" w:rsidR="007C46FE" w:rsidRDefault="007C46FE" w:rsidP="00A52A7A">
      <w:pPr>
        <w:spacing w:after="0" w:line="240" w:lineRule="auto"/>
      </w:pPr>
      <w:r w:rsidRPr="00A52A7A">
        <w:t>Between July 2017 and June 2020 Ticket to Work undertook a pilot program to create opportunities for secondary school students with a disability to engage in after school jobs. The pilot</w:t>
      </w:r>
      <w:r w:rsidR="0060515D" w:rsidRPr="00A52A7A">
        <w:t>,</w:t>
      </w:r>
      <w:r w:rsidRPr="00A52A7A">
        <w:t xml:space="preserve"> funded through </w:t>
      </w:r>
      <w:r w:rsidR="00CB610B" w:rsidRPr="00A52A7A">
        <w:t>philanthropic sources and Jobs Victoria</w:t>
      </w:r>
      <w:r w:rsidR="0060515D" w:rsidRPr="00A52A7A">
        <w:t xml:space="preserve">, demonstrated </w:t>
      </w:r>
      <w:r w:rsidR="004C4541" w:rsidRPr="00A52A7A">
        <w:t xml:space="preserve">clearly </w:t>
      </w:r>
      <w:r w:rsidR="0060515D" w:rsidRPr="00A52A7A">
        <w:t>the applicat</w:t>
      </w:r>
      <w:r w:rsidR="00AB432E" w:rsidRPr="00A52A7A">
        <w:t>ion of the Ticket to Work model for young people on the autism spectrum</w:t>
      </w:r>
      <w:r w:rsidR="0060515D" w:rsidRPr="00A52A7A">
        <w:t>.</w:t>
      </w:r>
    </w:p>
    <w:p w14:paraId="7D72E9E2" w14:textId="77777777" w:rsidR="00A52A7A" w:rsidRPr="00A52A7A" w:rsidRDefault="00A52A7A" w:rsidP="00A52A7A">
      <w:pPr>
        <w:spacing w:after="0" w:line="240" w:lineRule="auto"/>
      </w:pPr>
    </w:p>
    <w:p w14:paraId="3C838879" w14:textId="77777777" w:rsidR="004A0121" w:rsidRPr="00A52A7A" w:rsidRDefault="00163BF2" w:rsidP="00A52A7A">
      <w:pPr>
        <w:spacing w:after="0" w:line="240" w:lineRule="auto"/>
      </w:pPr>
      <w:r w:rsidRPr="00A52A7A">
        <w:t xml:space="preserve">An evaluation </w:t>
      </w:r>
      <w:r w:rsidR="00395755" w:rsidRPr="00A52A7A">
        <w:t>of the pilot demonstrate</w:t>
      </w:r>
      <w:r w:rsidR="00DC4E00" w:rsidRPr="00A52A7A">
        <w:t>s</w:t>
      </w:r>
      <w:r w:rsidR="00395755" w:rsidRPr="00A52A7A">
        <w:t xml:space="preserve"> </w:t>
      </w:r>
      <w:r w:rsidR="006E4F1B" w:rsidRPr="00A52A7A">
        <w:t xml:space="preserve">that </w:t>
      </w:r>
      <w:r w:rsidR="00395755" w:rsidRPr="00A52A7A">
        <w:t>collaboration between stakeholders is essential to ensuring successful outcomes for students</w:t>
      </w:r>
      <w:r w:rsidR="00337C99" w:rsidRPr="00A52A7A">
        <w:t xml:space="preserve">. </w:t>
      </w:r>
      <w:r w:rsidR="00C572D6" w:rsidRPr="00A52A7A">
        <w:t>B</w:t>
      </w:r>
      <w:r w:rsidR="00D421DA" w:rsidRPr="00A52A7A">
        <w:t>y b</w:t>
      </w:r>
      <w:r w:rsidR="00C572D6" w:rsidRPr="00A52A7A">
        <w:t>ringing stakeholders as parents, staff from schools and employment services together with employers</w:t>
      </w:r>
      <w:r w:rsidR="00151A13" w:rsidRPr="00A52A7A">
        <w:t>, students can be matched to workplaces which met their diverse needs</w:t>
      </w:r>
      <w:r w:rsidR="00D421DA" w:rsidRPr="00A52A7A">
        <w:t>.</w:t>
      </w:r>
      <w:r w:rsidR="00246083" w:rsidRPr="00A52A7A">
        <w:t xml:space="preserve"> </w:t>
      </w:r>
      <w:r w:rsidR="007B7D59" w:rsidRPr="00A52A7A">
        <w:t xml:space="preserve">Longitudinal studies have shown that engagement in work while in secondary school is the number one indicator of post school employment success. See our stories </w:t>
      </w:r>
      <w:hyperlink r:id="rId11" w:history="1">
        <w:r w:rsidR="007B7D59" w:rsidRPr="00A52A7A">
          <w:rPr>
            <w:rStyle w:val="Hyperlink"/>
          </w:rPr>
          <w:t>tickettowork.org.au/stories/?category=after_school</w:t>
        </w:r>
      </w:hyperlink>
      <w:r w:rsidR="000E7BE2" w:rsidRPr="00A52A7A">
        <w:t xml:space="preserve"> </w:t>
      </w:r>
    </w:p>
    <w:p w14:paraId="1D177016" w14:textId="77777777" w:rsidR="00A52A7A" w:rsidRDefault="00A52A7A" w:rsidP="00A52A7A">
      <w:pPr>
        <w:pStyle w:val="Heading2"/>
        <w:spacing w:before="0" w:line="240" w:lineRule="auto"/>
      </w:pPr>
    </w:p>
    <w:p w14:paraId="2733C593" w14:textId="77777777" w:rsidR="00662D44" w:rsidRPr="00F80AA0" w:rsidRDefault="00B872F8" w:rsidP="00A52A7A">
      <w:pPr>
        <w:pStyle w:val="Heading2"/>
        <w:spacing w:before="0" w:line="240" w:lineRule="auto"/>
        <w:rPr>
          <w:sz w:val="28"/>
        </w:rPr>
      </w:pPr>
      <w:r w:rsidRPr="00F80AA0">
        <w:rPr>
          <w:sz w:val="28"/>
        </w:rPr>
        <w:t>Conclusion</w:t>
      </w:r>
    </w:p>
    <w:p w14:paraId="082F5A1E" w14:textId="77777777" w:rsidR="00A52A7A" w:rsidRDefault="00A52A7A" w:rsidP="00A52A7A">
      <w:pPr>
        <w:spacing w:after="0" w:line="240" w:lineRule="auto"/>
      </w:pPr>
    </w:p>
    <w:p w14:paraId="1BA0EFD7" w14:textId="377CDEE2" w:rsidR="00544360" w:rsidRPr="00A52A7A" w:rsidRDefault="00006C1B" w:rsidP="00544360">
      <w:pPr>
        <w:spacing w:after="0" w:line="240" w:lineRule="auto"/>
      </w:pPr>
      <w:r w:rsidRPr="00A52A7A">
        <w:t>Ticket to Work demonstrate</w:t>
      </w:r>
      <w:r w:rsidR="002E479E" w:rsidRPr="00A52A7A">
        <w:t>s</w:t>
      </w:r>
      <w:r w:rsidRPr="00A52A7A">
        <w:t xml:space="preserve"> young people can </w:t>
      </w:r>
      <w:r w:rsidR="002E479E" w:rsidRPr="00A52A7A">
        <w:t>succeed</w:t>
      </w:r>
      <w:r w:rsidRPr="00A52A7A">
        <w:t xml:space="preserve"> in open employment when prepared and supported while at school through a coordinated approach</w:t>
      </w:r>
      <w:r w:rsidR="00B8710F" w:rsidRPr="00A52A7A">
        <w:t xml:space="preserve"> based upon empirical evidence</w:t>
      </w:r>
      <w:r w:rsidRPr="00A52A7A">
        <w:t xml:space="preserve">. </w:t>
      </w:r>
      <w:r w:rsidR="006A38EE" w:rsidRPr="00A52A7A">
        <w:rPr>
          <w:lang w:val="en-US"/>
        </w:rPr>
        <w:t>C</w:t>
      </w:r>
      <w:r w:rsidR="00AA4CCF" w:rsidRPr="00A52A7A">
        <w:rPr>
          <w:lang w:val="en-US"/>
        </w:rPr>
        <w:t xml:space="preserve">areer development and pre-employment skills training </w:t>
      </w:r>
      <w:r w:rsidR="006A38EE" w:rsidRPr="00A52A7A">
        <w:rPr>
          <w:lang w:val="en-US"/>
        </w:rPr>
        <w:t>need to begin</w:t>
      </w:r>
      <w:r w:rsidR="00AA4CCF" w:rsidRPr="00A52A7A">
        <w:rPr>
          <w:lang w:val="en-US"/>
        </w:rPr>
        <w:t xml:space="preserve"> before school-leaving age</w:t>
      </w:r>
      <w:r w:rsidR="004275FC">
        <w:rPr>
          <w:lang w:val="en-US"/>
        </w:rPr>
        <w:t xml:space="preserve"> </w:t>
      </w:r>
      <w:r w:rsidR="004275FC">
        <w:rPr>
          <w:lang w:val="en-US"/>
        </w:rPr>
        <w:fldChar w:fldCharType="begin"/>
      </w:r>
      <w:r w:rsidR="004275FC">
        <w:rPr>
          <w:lang w:val="en-US"/>
        </w:rPr>
        <w:instrText xml:space="preserve"> ADDIN EN.CITE &lt;EndNote&gt;&lt;Cite&gt;&lt;Author&gt;Kruger&lt;/Author&gt;&lt;Year&gt;2006&lt;/Year&gt;&lt;RecNum&gt;1745&lt;/RecNum&gt;&lt;DisplayText&gt;(Kruger et al., 2006)&lt;/DisplayText&gt;&lt;record&gt;&lt;rec-number&gt;1745&lt;/rec-number&gt;&lt;foreign-keys&gt;&lt;key app="EN" db-id="afrvxfvzvvpp2tew2sbxfrtxszxsa992r2f0" timestamp="1585266603"&gt;1745&lt;/key&gt;&lt;/foreign-keys&gt;&lt;ref-type name="Journal Article"&gt;17&lt;/ref-type&gt;&lt;contributors&gt;&lt;authors&gt;&lt;author&gt;Kruger, H. R.&lt;/author&gt;&lt;author&gt;Elinson, L&lt;/author&gt;&lt;author&gt;Milfort, R.&lt;/author&gt;&lt;/authors&gt;&lt;/contributors&gt;&lt;titles&gt;&lt;title&gt; Role of intermediaries in ODEP Youth Demonstration Programs.&lt;/title&gt;&lt;/titles&gt;&lt;dates&gt;&lt;year&gt;2006&lt;/year&gt;&lt;/dates&gt;&lt;urls&gt;&lt;related-urls&gt;&lt;url&gt;https://digitalcommons.ilr.cornell.edu/cgi/viewcontent.cgi?article=1330&amp;amp;context=gladnetcollect&lt;/url&gt;&lt;/related-urls&gt;&lt;/urls&gt;&lt;/record&gt;&lt;/Cite&gt;&lt;/EndNote&gt;</w:instrText>
      </w:r>
      <w:r w:rsidR="004275FC">
        <w:rPr>
          <w:lang w:val="en-US"/>
        </w:rPr>
        <w:fldChar w:fldCharType="separate"/>
      </w:r>
      <w:r w:rsidR="004275FC">
        <w:rPr>
          <w:noProof/>
          <w:lang w:val="en-US"/>
        </w:rPr>
        <w:t>(Kruger et al., 2006)</w:t>
      </w:r>
      <w:r w:rsidR="004275FC">
        <w:rPr>
          <w:lang w:val="en-US"/>
        </w:rPr>
        <w:fldChar w:fldCharType="end"/>
      </w:r>
      <w:r w:rsidR="00AA4CCF" w:rsidRPr="00A52A7A">
        <w:rPr>
          <w:lang w:val="en-US"/>
        </w:rPr>
        <w:t>.</w:t>
      </w:r>
      <w:r w:rsidR="00DC4B97" w:rsidRPr="00A52A7A">
        <w:rPr>
          <w:lang w:val="en-US"/>
        </w:rPr>
        <w:t xml:space="preserve"> </w:t>
      </w:r>
      <w:r w:rsidR="00116257" w:rsidRPr="00A52A7A">
        <w:t>Coll</w:t>
      </w:r>
      <w:r w:rsidR="006E1D96" w:rsidRPr="00A52A7A">
        <w:t>ab</w:t>
      </w:r>
      <w:r w:rsidR="00116257" w:rsidRPr="00A52A7A">
        <w:t>oration</w:t>
      </w:r>
      <w:r w:rsidR="006E1D96" w:rsidRPr="00A52A7A">
        <w:t xml:space="preserve"> between </w:t>
      </w:r>
      <w:r w:rsidR="00CF027E" w:rsidRPr="00A52A7A">
        <w:t xml:space="preserve">parents, staff from schools and </w:t>
      </w:r>
      <w:r w:rsidR="007B7D59" w:rsidRPr="00A52A7A">
        <w:t xml:space="preserve">disability and </w:t>
      </w:r>
      <w:r w:rsidR="00CF027E" w:rsidRPr="00A52A7A">
        <w:t>employment services together with employers,</w:t>
      </w:r>
      <w:r w:rsidR="0071428B" w:rsidRPr="00A52A7A">
        <w:t xml:space="preserve"> is essential to ensuring this occurs</w:t>
      </w:r>
      <w:r w:rsidR="00676170" w:rsidRPr="00A52A7A">
        <w:t xml:space="preserve">. </w:t>
      </w:r>
      <w:r w:rsidR="00544360" w:rsidRPr="00A52A7A">
        <w:t>Ticket to Work demonstrates young people can succeed in open employment when prepared and supported while at school through a coordinated approach</w:t>
      </w:r>
      <w:r w:rsidR="000B2C66">
        <w:t>.</w:t>
      </w:r>
    </w:p>
    <w:p w14:paraId="081DD4C4" w14:textId="77777777" w:rsidR="00544360" w:rsidRDefault="00544360" w:rsidP="00A52A7A">
      <w:pPr>
        <w:spacing w:after="0" w:line="240" w:lineRule="auto"/>
      </w:pPr>
    </w:p>
    <w:p w14:paraId="40E63C7C" w14:textId="77777777" w:rsidR="009857E9" w:rsidRPr="00F80AA0" w:rsidRDefault="00544360" w:rsidP="009857E9">
      <w:pPr>
        <w:pStyle w:val="NoSpacing"/>
        <w:spacing w:after="240"/>
        <w:rPr>
          <w:sz w:val="28"/>
        </w:rPr>
      </w:pPr>
      <w:r w:rsidRPr="00F80AA0">
        <w:rPr>
          <w:sz w:val="28"/>
        </w:rPr>
        <w:t xml:space="preserve">Contact </w:t>
      </w:r>
    </w:p>
    <w:p w14:paraId="1CB2189B" w14:textId="64D8C764" w:rsidR="005A3DE2" w:rsidRDefault="00544360" w:rsidP="009857E9">
      <w:pPr>
        <w:pStyle w:val="NoSpacing"/>
        <w:spacing w:after="240"/>
        <w:rPr>
          <w:b w:val="0"/>
        </w:rPr>
      </w:pPr>
      <w:r>
        <w:rPr>
          <w:b w:val="0"/>
        </w:rPr>
        <w:t>Thank you for your consideration of this submission. For further information on any issues raised in this submission, please get in touch.</w:t>
      </w:r>
    </w:p>
    <w:p w14:paraId="2182965E" w14:textId="6DE5127F" w:rsidR="009857E9" w:rsidRPr="00F80AA0" w:rsidRDefault="00F80AA0" w:rsidP="00F80AA0">
      <w:pPr>
        <w:pStyle w:val="NoSpacing"/>
        <w:spacing w:after="240"/>
      </w:pPr>
      <w:r>
        <w:rPr>
          <w:b w:val="0"/>
        </w:rPr>
        <w:t>David Moody, CEO, Mob: 0437 107 851, Email: david.moody@nds.org.au</w:t>
      </w:r>
    </w:p>
    <w:p w14:paraId="427130CC" w14:textId="3AE5EB59" w:rsidR="00CC5983" w:rsidRPr="00F80AA0" w:rsidRDefault="00CC5983" w:rsidP="009857E9">
      <w:pPr>
        <w:spacing w:after="160" w:line="259" w:lineRule="auto"/>
        <w:rPr>
          <w:b/>
          <w:sz w:val="28"/>
        </w:rPr>
      </w:pPr>
      <w:r w:rsidRPr="00F80AA0">
        <w:rPr>
          <w:b/>
          <w:sz w:val="28"/>
        </w:rPr>
        <w:lastRenderedPageBreak/>
        <w:t>Ticket to Work evidence</w:t>
      </w:r>
    </w:p>
    <w:p w14:paraId="0B69E877" w14:textId="77777777" w:rsidR="00A52A7A" w:rsidRDefault="00A52A7A" w:rsidP="00A52A7A">
      <w:pPr>
        <w:pStyle w:val="Default"/>
        <w:rPr>
          <w:rFonts w:ascii="Arial" w:hAnsi="Arial" w:cs="Arial"/>
          <w:color w:val="auto"/>
        </w:rPr>
      </w:pPr>
    </w:p>
    <w:p w14:paraId="7907D559" w14:textId="77777777" w:rsidR="00CC5983" w:rsidRPr="00A52A7A" w:rsidRDefault="00CC5983" w:rsidP="00A52A7A">
      <w:pPr>
        <w:pStyle w:val="Default"/>
        <w:rPr>
          <w:rFonts w:ascii="Arial" w:hAnsi="Arial" w:cs="Arial"/>
          <w:color w:val="auto"/>
        </w:rPr>
      </w:pPr>
      <w:r w:rsidRPr="00A52A7A">
        <w:rPr>
          <w:rFonts w:ascii="Arial" w:hAnsi="Arial" w:cs="Arial"/>
          <w:color w:val="auto"/>
        </w:rPr>
        <w:t xml:space="preserve">We have commissioned and conducted a significant amount of research/evaluation evidenced based school to work transition for young people with disability. </w:t>
      </w:r>
    </w:p>
    <w:p w14:paraId="3C90B968" w14:textId="57602075" w:rsidR="00CC5983" w:rsidRPr="00A52A7A" w:rsidRDefault="00CC5983" w:rsidP="000B2C66">
      <w:pPr>
        <w:pStyle w:val="Heading2"/>
        <w:spacing w:before="0" w:line="240" w:lineRule="auto"/>
        <w:rPr>
          <w:b w:val="0"/>
          <w:bCs w:val="0"/>
          <w:iCs/>
        </w:rPr>
      </w:pPr>
    </w:p>
    <w:p w14:paraId="1725B136" w14:textId="35F5203C" w:rsidR="00CC5983" w:rsidRPr="00A52A7A" w:rsidRDefault="00CC5983" w:rsidP="00A52A7A">
      <w:pPr>
        <w:pStyle w:val="Default"/>
        <w:ind w:left="709" w:hanging="709"/>
        <w:rPr>
          <w:rFonts w:ascii="Arial" w:hAnsi="Arial" w:cs="Arial"/>
          <w:color w:val="auto"/>
        </w:rPr>
      </w:pPr>
      <w:r w:rsidRPr="00A52A7A">
        <w:rPr>
          <w:rFonts w:ascii="Arial" w:hAnsi="Arial" w:cs="Arial"/>
          <w:color w:val="auto"/>
        </w:rPr>
        <w:t>Atkinson, G., Christian, F., Cassidy, J., Rutherford, J., &amp; Hawkins, A. (20</w:t>
      </w:r>
      <w:r w:rsidR="000B2C66">
        <w:rPr>
          <w:rFonts w:ascii="Arial" w:hAnsi="Arial" w:cs="Arial"/>
          <w:color w:val="auto"/>
        </w:rPr>
        <w:t>20</w:t>
      </w:r>
      <w:r w:rsidRPr="00A52A7A">
        <w:rPr>
          <w:rFonts w:ascii="Arial" w:hAnsi="Arial" w:cs="Arial"/>
          <w:color w:val="auto"/>
        </w:rPr>
        <w:t xml:space="preserve">). </w:t>
      </w:r>
      <w:r w:rsidRPr="00A52A7A">
        <w:rPr>
          <w:rFonts w:ascii="Arial" w:hAnsi="Arial" w:cs="Arial"/>
          <w:i/>
          <w:iCs/>
          <w:color w:val="auto"/>
        </w:rPr>
        <w:t xml:space="preserve">Ticket to Work Post School Outcomes Report for National Disability Services Final Report </w:t>
      </w:r>
      <w:r w:rsidRPr="00A52A7A">
        <w:rPr>
          <w:rFonts w:ascii="Arial" w:hAnsi="Arial" w:cs="Arial"/>
          <w:color w:val="auto"/>
        </w:rPr>
        <w:t>Sydney.</w:t>
      </w:r>
      <w:r w:rsidR="00F80AA0">
        <w:rPr>
          <w:rFonts w:ascii="Arial" w:hAnsi="Arial" w:cs="Arial"/>
          <w:color w:val="auto"/>
        </w:rPr>
        <w:t xml:space="preserve"> </w:t>
      </w:r>
      <w:hyperlink r:id="rId12" w:history="1">
        <w:r w:rsidR="00F80AA0" w:rsidRPr="00F80AA0">
          <w:rPr>
            <w:rStyle w:val="Hyperlink"/>
            <w:rFonts w:ascii="Arial" w:hAnsi="Arial" w:cs="Arial"/>
          </w:rPr>
          <w:t>Ticket to Work research article- post school outcomes</w:t>
        </w:r>
      </w:hyperlink>
      <w:r w:rsidRPr="00A52A7A">
        <w:rPr>
          <w:rFonts w:ascii="Arial" w:hAnsi="Arial" w:cs="Arial"/>
          <w:color w:val="auto"/>
        </w:rPr>
        <w:t xml:space="preserve"> </w:t>
      </w:r>
    </w:p>
    <w:p w14:paraId="1C0C23B6" w14:textId="7E7EF5FF" w:rsidR="00BA03E9" w:rsidRPr="00A52A7A" w:rsidRDefault="00CC5983" w:rsidP="00A52A7A">
      <w:pPr>
        <w:spacing w:after="0" w:line="240" w:lineRule="auto"/>
        <w:ind w:left="709" w:hanging="709"/>
        <w:rPr>
          <w:rFonts w:eastAsiaTheme="minorHAnsi"/>
          <w:color w:val="EC1C4C"/>
          <w:w w:val="100"/>
          <w:kern w:val="0"/>
          <w:shd w:val="clear" w:color="auto" w:fill="FFFFFF"/>
          <w:lang w:val="en-US"/>
        </w:rPr>
      </w:pPr>
      <w:r w:rsidRPr="00A52A7A">
        <w:t xml:space="preserve">Meadows, D (2019) </w:t>
      </w:r>
      <w:r w:rsidRPr="00A52A7A">
        <w:rPr>
          <w:i/>
          <w:iCs/>
        </w:rPr>
        <w:t xml:space="preserve">Collaboration in school to work transition, </w:t>
      </w:r>
      <w:r w:rsidRPr="00A52A7A">
        <w:t xml:space="preserve">(Melbourne) </w:t>
      </w:r>
      <w:hyperlink r:id="rId13" w:history="1">
        <w:r w:rsidR="00F80AA0" w:rsidRPr="00F80AA0">
          <w:rPr>
            <w:rStyle w:val="Hyperlink"/>
          </w:rPr>
          <w:t>Ticket to Work Resource</w:t>
        </w:r>
      </w:hyperlink>
      <w:r w:rsidR="00F80AA0">
        <w:t xml:space="preserve"> </w:t>
      </w:r>
    </w:p>
    <w:p w14:paraId="18C2AE59" w14:textId="4D2092CC" w:rsidR="00CC5983" w:rsidRPr="00A52A7A" w:rsidRDefault="00CC5983" w:rsidP="00A52A7A">
      <w:pPr>
        <w:pStyle w:val="Default"/>
        <w:ind w:left="709" w:hanging="709"/>
        <w:rPr>
          <w:rFonts w:ascii="Arial" w:hAnsi="Arial" w:cs="Arial"/>
          <w:color w:val="auto"/>
        </w:rPr>
      </w:pPr>
      <w:r w:rsidRPr="00A52A7A">
        <w:rPr>
          <w:rFonts w:ascii="Arial" w:hAnsi="Arial" w:cs="Arial"/>
          <w:color w:val="auto"/>
        </w:rPr>
        <w:t xml:space="preserve">Kellock, P (2020) </w:t>
      </w:r>
      <w:r w:rsidRPr="00A52A7A">
        <w:rPr>
          <w:rFonts w:ascii="Arial" w:hAnsi="Arial" w:cs="Arial"/>
          <w:i/>
          <w:iCs/>
          <w:color w:val="auto"/>
        </w:rPr>
        <w:t xml:space="preserve">Employer Experience of employing young people with Intellectual/Cognitive disability </w:t>
      </w:r>
      <w:r w:rsidRPr="00A52A7A">
        <w:rPr>
          <w:rFonts w:ascii="Arial" w:hAnsi="Arial" w:cs="Arial"/>
          <w:color w:val="auto"/>
        </w:rPr>
        <w:t xml:space="preserve">(Melbourne) </w:t>
      </w:r>
      <w:hyperlink r:id="rId14" w:history="1">
        <w:r w:rsidR="00F80AA0" w:rsidRPr="00F80AA0">
          <w:rPr>
            <w:rStyle w:val="Hyperlink"/>
            <w:rFonts w:ascii="Arial" w:hAnsi="Arial" w:cs="Arial"/>
          </w:rPr>
          <w:t>Ticket to Work research articles employer experience hiring young people with disability.</w:t>
        </w:r>
      </w:hyperlink>
    </w:p>
    <w:p w14:paraId="7FA74CC4" w14:textId="10A8D04B" w:rsidR="00CC5983" w:rsidRPr="00A52A7A" w:rsidRDefault="00CC5983" w:rsidP="00A52A7A">
      <w:pPr>
        <w:pStyle w:val="Default"/>
        <w:ind w:left="709" w:hanging="709"/>
        <w:rPr>
          <w:rFonts w:ascii="Arial" w:hAnsi="Arial" w:cs="Arial"/>
          <w:color w:val="auto"/>
        </w:rPr>
      </w:pPr>
      <w:r w:rsidRPr="00A52A7A">
        <w:rPr>
          <w:rFonts w:ascii="Arial" w:hAnsi="Arial" w:cs="Arial"/>
          <w:color w:val="auto"/>
        </w:rPr>
        <w:t xml:space="preserve">Wakeford, M (2020) </w:t>
      </w:r>
      <w:r w:rsidRPr="00A52A7A">
        <w:rPr>
          <w:rFonts w:ascii="Arial" w:hAnsi="Arial" w:cs="Arial"/>
          <w:i/>
          <w:iCs/>
          <w:color w:val="auto"/>
        </w:rPr>
        <w:t>Parent engagement in school to work transition for their child with disability</w:t>
      </w:r>
      <w:r w:rsidRPr="00A52A7A">
        <w:rPr>
          <w:rFonts w:ascii="Arial" w:hAnsi="Arial" w:cs="Arial"/>
          <w:color w:val="auto"/>
        </w:rPr>
        <w:t xml:space="preserve">. National Disability Services (Melbourne) </w:t>
      </w:r>
      <w:hyperlink r:id="rId15" w:history="1">
        <w:r w:rsidR="00F80AA0" w:rsidRPr="00F80AA0">
          <w:rPr>
            <w:rStyle w:val="Hyperlink"/>
            <w:rFonts w:ascii="Arial" w:hAnsi="Arial" w:cs="Arial"/>
          </w:rPr>
          <w:t>Ticket to Work r</w:t>
        </w:r>
        <w:r w:rsidR="00836918" w:rsidRPr="00F80AA0">
          <w:rPr>
            <w:rStyle w:val="Hyperlink"/>
            <w:rFonts w:ascii="Arial" w:hAnsi="Arial" w:cs="Arial"/>
          </w:rPr>
          <w:t>esearch/article/parent-engagement-i</w:t>
        </w:r>
        <w:r w:rsidR="00F80AA0" w:rsidRPr="00F80AA0">
          <w:rPr>
            <w:rStyle w:val="Hyperlink"/>
            <w:rFonts w:ascii="Arial" w:hAnsi="Arial" w:cs="Arial"/>
          </w:rPr>
          <w:t>n-school-to-work-transition</w:t>
        </w:r>
      </w:hyperlink>
    </w:p>
    <w:p w14:paraId="5039037F" w14:textId="2D69AD3C" w:rsidR="00EE2620" w:rsidRPr="00A52A7A" w:rsidRDefault="00CC5983" w:rsidP="00A52A7A">
      <w:pPr>
        <w:pStyle w:val="Default"/>
        <w:ind w:left="709" w:hanging="709"/>
        <w:rPr>
          <w:rFonts w:ascii="Arial" w:hAnsi="Arial" w:cs="Arial"/>
          <w:color w:val="auto"/>
        </w:rPr>
      </w:pPr>
      <w:r w:rsidRPr="00A52A7A">
        <w:rPr>
          <w:rFonts w:ascii="Arial" w:hAnsi="Arial" w:cs="Arial"/>
          <w:color w:val="auto"/>
        </w:rPr>
        <w:t xml:space="preserve">ARTD Consultants. (2019). </w:t>
      </w:r>
      <w:r w:rsidRPr="00A52A7A">
        <w:rPr>
          <w:rFonts w:ascii="Arial" w:hAnsi="Arial" w:cs="Arial"/>
          <w:i/>
          <w:iCs/>
          <w:color w:val="auto"/>
        </w:rPr>
        <w:t>Ticket to Work Network Analysis</w:t>
      </w:r>
      <w:r w:rsidRPr="00A52A7A">
        <w:rPr>
          <w:rFonts w:ascii="Arial" w:hAnsi="Arial" w:cs="Arial"/>
          <w:color w:val="auto"/>
        </w:rPr>
        <w:t xml:space="preserve">. (Sydney). </w:t>
      </w:r>
      <w:hyperlink r:id="rId16" w:history="1">
        <w:r w:rsidR="00EE2620" w:rsidRPr="00F80AA0">
          <w:rPr>
            <w:rStyle w:val="Hyperlink"/>
            <w:rFonts w:ascii="Arial" w:hAnsi="Arial" w:cs="Arial"/>
          </w:rPr>
          <w:t>tickettowork.org.au/research/article/network/</w:t>
        </w:r>
      </w:hyperlink>
    </w:p>
    <w:p w14:paraId="36480890" w14:textId="77777777" w:rsidR="00CC5983" w:rsidRPr="00A52A7A" w:rsidRDefault="00CC5983" w:rsidP="00A52A7A">
      <w:pPr>
        <w:pStyle w:val="Default"/>
        <w:ind w:left="709" w:hanging="709"/>
        <w:rPr>
          <w:rFonts w:ascii="Arial" w:hAnsi="Arial" w:cs="Arial"/>
          <w:color w:val="auto"/>
        </w:rPr>
      </w:pPr>
      <w:r w:rsidRPr="00A52A7A">
        <w:rPr>
          <w:rFonts w:ascii="Arial" w:hAnsi="Arial" w:cs="Arial"/>
          <w:color w:val="auto"/>
        </w:rPr>
        <w:t>ARTD Consultants (2019) Stakeholder report. (Sydney)</w:t>
      </w:r>
    </w:p>
    <w:p w14:paraId="047D4599" w14:textId="2B90E720" w:rsidR="0090486D" w:rsidRPr="00A52A7A" w:rsidRDefault="0090486D" w:rsidP="00A52A7A">
      <w:pPr>
        <w:pStyle w:val="Default"/>
        <w:ind w:left="709" w:hanging="709"/>
        <w:rPr>
          <w:rFonts w:ascii="Arial" w:hAnsi="Arial" w:cs="Arial"/>
        </w:rPr>
      </w:pPr>
      <w:r w:rsidRPr="00A52A7A">
        <w:rPr>
          <w:rFonts w:ascii="Arial" w:hAnsi="Arial" w:cs="Arial"/>
        </w:rPr>
        <w:t>Thiele, R., Bigby, C., Tideman, M. (2018). Young people with intellectual disabilities and work in after school jobs: a literature review. Living with Disability Research Centre, La Trobe University: Bundoora, VIC.</w:t>
      </w:r>
      <w:r w:rsidR="00092EBF" w:rsidRPr="00A52A7A">
        <w:rPr>
          <w:rFonts w:ascii="Arial" w:hAnsi="Arial" w:cs="Arial"/>
        </w:rPr>
        <w:t xml:space="preserve"> </w:t>
      </w:r>
      <w:hyperlink r:id="rId17" w:history="1">
        <w:r w:rsidR="00677536" w:rsidRPr="00F80AA0">
          <w:rPr>
            <w:rStyle w:val="Hyperlink"/>
            <w:rFonts w:ascii="Arial" w:hAnsi="Arial" w:cs="Arial"/>
          </w:rPr>
          <w:t>tickettowork.org.au/media/research_submissions_files/After-School-Jobs-Literature-Review_Final.pdf</w:t>
        </w:r>
      </w:hyperlink>
    </w:p>
    <w:p w14:paraId="54E3A46B" w14:textId="2F22763D" w:rsidR="00CC5983" w:rsidRPr="00A52A7A" w:rsidRDefault="00CC5983" w:rsidP="00A52A7A">
      <w:pPr>
        <w:pStyle w:val="Default"/>
        <w:ind w:left="709" w:hanging="709"/>
        <w:rPr>
          <w:rFonts w:ascii="Arial" w:hAnsi="Arial" w:cs="Arial"/>
          <w:color w:val="auto"/>
        </w:rPr>
      </w:pPr>
      <w:r w:rsidRPr="00A52A7A">
        <w:rPr>
          <w:rFonts w:ascii="Arial" w:hAnsi="Arial" w:cs="Arial"/>
          <w:color w:val="auto"/>
        </w:rPr>
        <w:t xml:space="preserve">Sheppard, L., Harrington, R. &amp; Howard, K. (2017). </w:t>
      </w:r>
      <w:r w:rsidRPr="00A52A7A">
        <w:rPr>
          <w:rFonts w:ascii="Arial" w:hAnsi="Arial" w:cs="Arial"/>
          <w:i/>
          <w:iCs/>
          <w:color w:val="auto"/>
        </w:rPr>
        <w:t>Leaving School and Getting a Job. Research to Action Guide, A guide for young people with disability who want to work</w:t>
      </w:r>
      <w:r w:rsidR="00F80AA0">
        <w:rPr>
          <w:rFonts w:ascii="Arial" w:hAnsi="Arial" w:cs="Arial"/>
          <w:color w:val="auto"/>
        </w:rPr>
        <w:t xml:space="preserve">. NDS CADR (Sydney) </w:t>
      </w:r>
      <w:hyperlink r:id="rId18" w:history="1">
        <w:r w:rsidR="00960F0A" w:rsidRPr="00F80AA0">
          <w:rPr>
            <w:rStyle w:val="Hyperlink"/>
            <w:rFonts w:ascii="Arial" w:hAnsi="Arial" w:cs="Arial"/>
          </w:rPr>
          <w:t>cadr.org.au/research-to-action-guides/research-to-action-sheets/school-to-employment-transitions</w:t>
        </w:r>
      </w:hyperlink>
    </w:p>
    <w:p w14:paraId="3C2792A9" w14:textId="501C2314" w:rsidR="00CC5983" w:rsidRPr="00A52A7A" w:rsidRDefault="00CC5983" w:rsidP="00A52A7A">
      <w:pPr>
        <w:pStyle w:val="Default"/>
        <w:ind w:left="709" w:hanging="709"/>
        <w:rPr>
          <w:rFonts w:ascii="Arial" w:hAnsi="Arial" w:cs="Arial"/>
          <w:color w:val="auto"/>
        </w:rPr>
      </w:pPr>
      <w:r w:rsidRPr="00A52A7A">
        <w:rPr>
          <w:rFonts w:ascii="Arial" w:hAnsi="Arial" w:cs="Arial"/>
          <w:color w:val="auto"/>
        </w:rPr>
        <w:t xml:space="preserve">Hawkins, A., &amp; Rasheed, E. (2016). </w:t>
      </w:r>
      <w:r w:rsidRPr="00A52A7A">
        <w:rPr>
          <w:rFonts w:ascii="Arial" w:hAnsi="Arial" w:cs="Arial"/>
          <w:i/>
          <w:iCs/>
          <w:color w:val="auto"/>
        </w:rPr>
        <w:t>Ticket to Work pilot outcomes study: a quasi-experimental evaluation of pathways from school to economic and social inclusion</w:t>
      </w:r>
      <w:r w:rsidRPr="00A52A7A">
        <w:rPr>
          <w:rFonts w:ascii="Arial" w:hAnsi="Arial" w:cs="Arial"/>
          <w:color w:val="auto"/>
        </w:rPr>
        <w:t>. (Sydney).</w:t>
      </w:r>
      <w:hyperlink r:id="rId19" w:history="1">
        <w:r w:rsidRPr="00F80AA0">
          <w:rPr>
            <w:rStyle w:val="Hyperlink"/>
            <w:rFonts w:ascii="Arial" w:hAnsi="Arial" w:cs="Arial"/>
          </w:rPr>
          <w:t xml:space="preserve"> </w:t>
        </w:r>
        <w:r w:rsidR="001D2D1C" w:rsidRPr="00F80AA0">
          <w:rPr>
            <w:rStyle w:val="Hyperlink"/>
            <w:rFonts w:ascii="Arial" w:hAnsi="Arial" w:cs="Arial"/>
          </w:rPr>
          <w:t>tickettowork.org.au/research/article/ticket-to-work-pilot-outcome-study/</w:t>
        </w:r>
      </w:hyperlink>
    </w:p>
    <w:p w14:paraId="5532258D" w14:textId="13F50393" w:rsidR="000F7745" w:rsidRDefault="00CC5983" w:rsidP="00A52A7A">
      <w:pPr>
        <w:pStyle w:val="Default"/>
        <w:ind w:left="709" w:hanging="709"/>
        <w:rPr>
          <w:rStyle w:val="Hyperlink"/>
          <w:rFonts w:ascii="Arial" w:hAnsi="Arial" w:cs="Arial"/>
        </w:rPr>
      </w:pPr>
      <w:r w:rsidRPr="00A52A7A">
        <w:rPr>
          <w:rFonts w:ascii="Arial" w:hAnsi="Arial" w:cs="Arial"/>
          <w:color w:val="auto"/>
        </w:rPr>
        <w:t xml:space="preserve">Wakeford, M, Waugh, F (2014), </w:t>
      </w:r>
      <w:r w:rsidRPr="00A52A7A">
        <w:rPr>
          <w:rFonts w:ascii="Arial" w:hAnsi="Arial" w:cs="Arial"/>
          <w:i/>
          <w:iCs/>
          <w:color w:val="auto"/>
        </w:rPr>
        <w:t>Transitions to employment of Australian young people with disability and the Ticket to Work initiative</w:t>
      </w:r>
      <w:r w:rsidRPr="00A52A7A">
        <w:rPr>
          <w:rFonts w:ascii="Arial" w:hAnsi="Arial" w:cs="Arial"/>
          <w:color w:val="auto"/>
        </w:rPr>
        <w:t>, Ticket to Work, (Melbourne).</w:t>
      </w:r>
      <w:r w:rsidR="00417AD1" w:rsidRPr="00A52A7A">
        <w:rPr>
          <w:rFonts w:ascii="Arial" w:hAnsi="Arial" w:cs="Arial"/>
        </w:rPr>
        <w:t xml:space="preserve"> </w:t>
      </w:r>
      <w:r w:rsidR="00417AD1" w:rsidRPr="00F80AA0">
        <w:rPr>
          <w:rFonts w:ascii="Arial" w:hAnsi="Arial" w:cs="Arial"/>
        </w:rPr>
        <w:t>https://tickettowork.org.au/research/article/transitions-to-employment-of-australian-young-peop/</w:t>
      </w:r>
    </w:p>
    <w:p w14:paraId="7FD768FC" w14:textId="77777777" w:rsidR="000F7745" w:rsidRDefault="000F7745" w:rsidP="00A52A7A">
      <w:pPr>
        <w:pStyle w:val="Heading2"/>
        <w:spacing w:before="0" w:line="240" w:lineRule="auto"/>
      </w:pPr>
    </w:p>
    <w:p w14:paraId="7A1D6966" w14:textId="77777777" w:rsidR="000B2C66" w:rsidRDefault="000B2C66">
      <w:pPr>
        <w:spacing w:after="160" w:line="259" w:lineRule="auto"/>
        <w:rPr>
          <w:rFonts w:eastAsiaTheme="majorEastAsia"/>
          <w:b/>
          <w:bCs/>
        </w:rPr>
      </w:pPr>
      <w:r>
        <w:br w:type="page"/>
      </w:r>
    </w:p>
    <w:p w14:paraId="05E398CA" w14:textId="3AC386F6" w:rsidR="00AC0BC3" w:rsidRPr="00A52A7A" w:rsidRDefault="0020108F" w:rsidP="00A52A7A">
      <w:pPr>
        <w:pStyle w:val="Heading2"/>
        <w:spacing w:before="0" w:line="240" w:lineRule="auto"/>
      </w:pPr>
      <w:r w:rsidRPr="00A52A7A">
        <w:lastRenderedPageBreak/>
        <w:t>References</w:t>
      </w:r>
    </w:p>
    <w:p w14:paraId="26AA5467" w14:textId="17A7FD31" w:rsidR="004275FC" w:rsidRPr="004275FC" w:rsidRDefault="001C0803" w:rsidP="004275FC">
      <w:pPr>
        <w:pStyle w:val="EndNoteBibliography"/>
        <w:spacing w:after="0"/>
        <w:ind w:left="720" w:hanging="720"/>
      </w:pPr>
      <w:r w:rsidRPr="00A52A7A">
        <w:fldChar w:fldCharType="begin"/>
      </w:r>
      <w:r w:rsidRPr="00A52A7A">
        <w:instrText xml:space="preserve"> ADDIN EN.REFLIST </w:instrText>
      </w:r>
      <w:r w:rsidRPr="00A52A7A">
        <w:fldChar w:fldCharType="separate"/>
      </w:r>
      <w:r w:rsidR="004275FC" w:rsidRPr="004275FC">
        <w:t xml:space="preserve">Atkinson, G., Christian, F., Cassidy, J., Rutherford, J., &amp; Hawkins, A. . (2019). </w:t>
      </w:r>
      <w:r w:rsidR="004275FC" w:rsidRPr="004275FC">
        <w:rPr>
          <w:i/>
        </w:rPr>
        <w:t xml:space="preserve">Ticket to Work Post School Outcomes Report for National Disability Services Final Report </w:t>
      </w:r>
      <w:r w:rsidR="004275FC" w:rsidRPr="004275FC">
        <w:t xml:space="preserve">Sydney. Retrieved from </w:t>
      </w:r>
      <w:hyperlink r:id="rId20" w:history="1">
        <w:r w:rsidR="004275FC" w:rsidRPr="004275FC">
          <w:rPr>
            <w:rStyle w:val="Hyperlink"/>
          </w:rPr>
          <w:t>tickettowork.org.au/research_evaluation/ticket-work-post-school-outcomes/</w:t>
        </w:r>
      </w:hyperlink>
    </w:p>
    <w:p w14:paraId="69758DE3" w14:textId="77777777" w:rsidR="004275FC" w:rsidRPr="004275FC" w:rsidRDefault="004275FC" w:rsidP="004275FC">
      <w:pPr>
        <w:pStyle w:val="EndNoteBibliography"/>
        <w:spacing w:after="0"/>
        <w:ind w:left="720" w:hanging="720"/>
      </w:pPr>
      <w:r w:rsidRPr="004275FC">
        <w:t>Children with Disability Australia. (2015).</w:t>
      </w:r>
      <w:r w:rsidRPr="004275FC">
        <w:rPr>
          <w:i/>
        </w:rPr>
        <w:t xml:space="preserve"> Post school transition: the experiences of students with disability,</w:t>
      </w:r>
      <w:r w:rsidRPr="004275FC">
        <w:t>. Clifton Hill.</w:t>
      </w:r>
    </w:p>
    <w:p w14:paraId="5B907608" w14:textId="3EE818B2" w:rsidR="004275FC" w:rsidRPr="004275FC" w:rsidRDefault="004275FC" w:rsidP="004275FC">
      <w:pPr>
        <w:pStyle w:val="EndNoteBibliography"/>
        <w:spacing w:after="0"/>
        <w:ind w:left="720" w:hanging="720"/>
      </w:pPr>
      <w:r w:rsidRPr="004275FC">
        <w:t xml:space="preserve">Deloitte Access Economics. (2011). </w:t>
      </w:r>
      <w:r w:rsidRPr="004275FC">
        <w:rPr>
          <w:i/>
        </w:rPr>
        <w:t>The economic benefits of increasing employment for people with disability</w:t>
      </w:r>
      <w:r w:rsidRPr="004275FC">
        <w:t xml:space="preserve">. Retrieved from </w:t>
      </w:r>
      <w:hyperlink r:id="rId21" w:history="1">
        <w:r w:rsidRPr="004275FC">
          <w:rPr>
            <w:rStyle w:val="Hyperlink"/>
          </w:rPr>
          <w:t>deloitte.com/au/en/pages/economics/articles/economic-benefits-increasing-employment-for-people-with-disability.html</w:t>
        </w:r>
      </w:hyperlink>
    </w:p>
    <w:p w14:paraId="24515555" w14:textId="080E1237" w:rsidR="004275FC" w:rsidRPr="004275FC" w:rsidRDefault="004275FC" w:rsidP="004275FC">
      <w:pPr>
        <w:pStyle w:val="EndNoteBibliography"/>
        <w:spacing w:after="0"/>
        <w:ind w:left="720" w:hanging="720"/>
      </w:pPr>
      <w:r w:rsidRPr="004275FC">
        <w:t>Dyson, A., Aston, J., Dewson, S., &amp; Loukas, G. (2005).</w:t>
      </w:r>
      <w:r w:rsidRPr="004275FC">
        <w:rPr>
          <w:i/>
        </w:rPr>
        <w:t xml:space="preserve"> Post-16 transitions: a longitudinal study of young people with special educational needs (wave three).</w:t>
      </w:r>
      <w:r w:rsidRPr="004275FC">
        <w:t xml:space="preserve"> Brighton UK Retrieved from </w:t>
      </w:r>
      <w:hyperlink r:id="rId22" w:history="1">
        <w:r w:rsidRPr="004275FC">
          <w:rPr>
            <w:rStyle w:val="Hyperlink"/>
          </w:rPr>
          <w:t>educationandemployers.org/wp-content/uploads/2014/06/sen-transitions-wave-3-dfes.pdf</w:t>
        </w:r>
      </w:hyperlink>
    </w:p>
    <w:p w14:paraId="36D902B4" w14:textId="2FB6E985" w:rsidR="004275FC" w:rsidRPr="004275FC" w:rsidRDefault="004275FC" w:rsidP="004275FC">
      <w:pPr>
        <w:pStyle w:val="EndNoteBibliography"/>
        <w:spacing w:after="0"/>
        <w:ind w:left="720" w:hanging="720"/>
      </w:pPr>
      <w:r w:rsidRPr="004275FC">
        <w:t xml:space="preserve">Kellock, P. (2020). </w:t>
      </w:r>
      <w:r w:rsidRPr="004275FC">
        <w:rPr>
          <w:i/>
        </w:rPr>
        <w:t>Employer Experience of employing young people with Intellectual/Cognitive disability</w:t>
      </w:r>
      <w:r w:rsidRPr="004275FC">
        <w:t xml:space="preserve">. Melbourne. Retrieved from </w:t>
      </w:r>
      <w:hyperlink r:id="rId23" w:history="1">
        <w:r w:rsidRPr="004275FC">
          <w:rPr>
            <w:rStyle w:val="Hyperlink"/>
          </w:rPr>
          <w:t>tickettowork.org.au/research/article/the-employer-experience-hiring-young-people-with-i/</w:t>
        </w:r>
      </w:hyperlink>
    </w:p>
    <w:p w14:paraId="486E1A04" w14:textId="77777777" w:rsidR="004275FC" w:rsidRPr="004275FC" w:rsidRDefault="004275FC" w:rsidP="004275FC">
      <w:pPr>
        <w:pStyle w:val="EndNoteBibliography"/>
        <w:spacing w:after="0"/>
        <w:ind w:left="720" w:hanging="720"/>
      </w:pPr>
      <w:r w:rsidRPr="004275FC">
        <w:t xml:space="preserve">Kohler, P. D. (1993). Best practices in transition: Substantiated or implied? </w:t>
      </w:r>
      <w:r w:rsidRPr="004275FC">
        <w:rPr>
          <w:i/>
        </w:rPr>
        <w:t>Career Development for exceptional individuals, 16</w:t>
      </w:r>
      <w:r w:rsidRPr="004275FC">
        <w:t xml:space="preserve">(2), 107-121. </w:t>
      </w:r>
    </w:p>
    <w:p w14:paraId="7E74601A" w14:textId="77777777" w:rsidR="004275FC" w:rsidRPr="004275FC" w:rsidRDefault="004275FC" w:rsidP="004275FC">
      <w:pPr>
        <w:pStyle w:val="EndNoteBibliography"/>
        <w:spacing w:after="0"/>
        <w:ind w:left="720" w:hanging="720"/>
      </w:pPr>
      <w:r w:rsidRPr="004275FC">
        <w:t xml:space="preserve">Kohler, P. D. (1996). Taxonomy for transition programming. </w:t>
      </w:r>
      <w:r w:rsidRPr="004275FC">
        <w:rPr>
          <w:i/>
        </w:rPr>
        <w:t>Champaign: University of Illinois</w:t>
      </w:r>
      <w:r w:rsidRPr="004275FC">
        <w:t xml:space="preserve">. </w:t>
      </w:r>
    </w:p>
    <w:p w14:paraId="2A2A8293" w14:textId="43D5E1D9" w:rsidR="004275FC" w:rsidRPr="004275FC" w:rsidRDefault="004275FC" w:rsidP="004275FC">
      <w:pPr>
        <w:pStyle w:val="EndNoteBibliography"/>
        <w:spacing w:after="0"/>
        <w:ind w:left="720" w:hanging="720"/>
      </w:pPr>
      <w:r w:rsidRPr="004275FC">
        <w:t xml:space="preserve">Kruger, H. R., Elinson, L., &amp; Milfort, R. (2006). Role of intermediaries in ODEP Youth Demonstration Programs. Retrieved from </w:t>
      </w:r>
      <w:hyperlink r:id="rId24" w:history="1">
        <w:r w:rsidRPr="004275FC">
          <w:rPr>
            <w:rStyle w:val="Hyperlink"/>
          </w:rPr>
          <w:t>digitalcommons.ilr.cornell.edu/cgi/viewcontent.cgi?article=1330&amp;context=gladnetcollect</w:t>
        </w:r>
      </w:hyperlink>
    </w:p>
    <w:p w14:paraId="1C1252C6" w14:textId="3F1CD5BC" w:rsidR="004275FC" w:rsidRPr="004275FC" w:rsidRDefault="004275FC" w:rsidP="004275FC">
      <w:pPr>
        <w:pStyle w:val="EndNoteBibliography"/>
        <w:spacing w:after="0"/>
        <w:ind w:left="720" w:hanging="720"/>
      </w:pPr>
      <w:r w:rsidRPr="004275FC">
        <w:t xml:space="preserve">Meadows, D. (2019). </w:t>
      </w:r>
      <w:r w:rsidRPr="004275FC">
        <w:rPr>
          <w:i/>
        </w:rPr>
        <w:t>Collaboration in school to work transition</w:t>
      </w:r>
      <w:r w:rsidRPr="004275FC">
        <w:t xml:space="preserve">. Melbourne. Retrieved from </w:t>
      </w:r>
      <w:hyperlink r:id="rId25" w:history="1">
        <w:r w:rsidRPr="004275FC">
          <w:rPr>
            <w:rStyle w:val="Hyperlink"/>
          </w:rPr>
          <w:t>tickettowork.org.au/resource/9/</w:t>
        </w:r>
      </w:hyperlink>
    </w:p>
    <w:p w14:paraId="17BF0F68" w14:textId="77777777" w:rsidR="004275FC" w:rsidRPr="004275FC" w:rsidRDefault="004275FC" w:rsidP="004275FC">
      <w:pPr>
        <w:pStyle w:val="EndNoteBibliography"/>
        <w:spacing w:after="0"/>
        <w:ind w:left="720" w:hanging="720"/>
      </w:pPr>
      <w:r w:rsidRPr="004275FC">
        <w:t xml:space="preserve">National Governors’ Association Center for Best Practice. (2004). </w:t>
      </w:r>
      <w:r w:rsidRPr="004275FC">
        <w:rPr>
          <w:i/>
        </w:rPr>
        <w:t>Early lessons from states to promote youth development’</w:t>
      </w:r>
      <w:r w:rsidRPr="004275FC">
        <w:t>. Washington, DC.</w:t>
      </w:r>
    </w:p>
    <w:p w14:paraId="43705152" w14:textId="316A8C55" w:rsidR="004275FC" w:rsidRPr="004275FC" w:rsidRDefault="004275FC" w:rsidP="004275FC">
      <w:pPr>
        <w:pStyle w:val="EndNoteBibliography"/>
        <w:spacing w:after="0"/>
        <w:ind w:left="720" w:hanging="720"/>
      </w:pPr>
      <w:r w:rsidRPr="004275FC">
        <w:t xml:space="preserve">Wakeford, M. (2020). </w:t>
      </w:r>
      <w:r w:rsidRPr="004275FC">
        <w:rPr>
          <w:i/>
        </w:rPr>
        <w:t>Parent engagement in school to work transition for their child with disability</w:t>
      </w:r>
      <w:r w:rsidRPr="004275FC">
        <w:t xml:space="preserve">. Melbourne. Retrieved from </w:t>
      </w:r>
      <w:hyperlink r:id="rId26" w:history="1">
        <w:r w:rsidRPr="004275FC">
          <w:rPr>
            <w:rStyle w:val="Hyperlink"/>
          </w:rPr>
          <w:t>tickettowork.org.au/research/article/parent-engagement-in-school-to-work-transition-for/</w:t>
        </w:r>
      </w:hyperlink>
    </w:p>
    <w:p w14:paraId="7AAC36B8" w14:textId="77777777" w:rsidR="004275FC" w:rsidRPr="004275FC" w:rsidRDefault="004275FC" w:rsidP="004275FC">
      <w:pPr>
        <w:pStyle w:val="EndNoteBibliography"/>
        <w:ind w:left="720" w:hanging="720"/>
      </w:pPr>
      <w:r w:rsidRPr="004275FC">
        <w:t xml:space="preserve">Winn, S., &amp; Hay, I. (2009). Transition from school for youths with a disability: issues and challenges. </w:t>
      </w:r>
      <w:r w:rsidRPr="004275FC">
        <w:rPr>
          <w:i/>
        </w:rPr>
        <w:t>Disability &amp; Society, 24</w:t>
      </w:r>
      <w:r w:rsidRPr="004275FC">
        <w:t>(1), 103-115. doi:10.1080/09687590802535725</w:t>
      </w:r>
    </w:p>
    <w:p w14:paraId="210E487D" w14:textId="4BF0DA5B" w:rsidR="00325F40" w:rsidRPr="00A52A7A" w:rsidRDefault="001C0803" w:rsidP="003264E8">
      <w:pPr>
        <w:autoSpaceDE w:val="0"/>
        <w:autoSpaceDN w:val="0"/>
        <w:adjustRightInd w:val="0"/>
        <w:spacing w:after="0" w:line="240" w:lineRule="auto"/>
        <w:ind w:left="720" w:hanging="720"/>
        <w:rPr>
          <w:rFonts w:eastAsiaTheme="minorHAnsi"/>
          <w:w w:val="100"/>
          <w:kern w:val="0"/>
        </w:rPr>
      </w:pPr>
      <w:r w:rsidRPr="00A52A7A">
        <w:fldChar w:fldCharType="end"/>
      </w:r>
    </w:p>
    <w:p w14:paraId="3BFF9C48" w14:textId="77777777" w:rsidR="003856DD" w:rsidRPr="00A52A7A" w:rsidRDefault="003856DD" w:rsidP="00A52A7A">
      <w:pPr>
        <w:spacing w:after="0" w:line="240" w:lineRule="auto"/>
        <w:ind w:left="720"/>
      </w:pPr>
    </w:p>
    <w:sectPr w:rsidR="003856DD" w:rsidRPr="00A52A7A" w:rsidSect="00F80AA0">
      <w:headerReference w:type="default" r:id="rId27"/>
      <w:footerReference w:type="default" r:id="rId28"/>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0CC5D" w14:textId="77777777" w:rsidR="00D64279" w:rsidRDefault="00D64279" w:rsidP="005A5481">
      <w:pPr>
        <w:spacing w:after="0" w:line="240" w:lineRule="auto"/>
      </w:pPr>
      <w:r>
        <w:separator/>
      </w:r>
    </w:p>
  </w:endnote>
  <w:endnote w:type="continuationSeparator" w:id="0">
    <w:p w14:paraId="694A901B" w14:textId="77777777" w:rsidR="00D64279" w:rsidRDefault="00D64279" w:rsidP="005A5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515141"/>
      <w:docPartObj>
        <w:docPartGallery w:val="Page Numbers (Bottom of Page)"/>
        <w:docPartUnique/>
      </w:docPartObj>
    </w:sdtPr>
    <w:sdtEndPr>
      <w:rPr>
        <w:noProof/>
      </w:rPr>
    </w:sdtEndPr>
    <w:sdtContent>
      <w:p w14:paraId="58E82CD5" w14:textId="4E012D99" w:rsidR="005A3DE2" w:rsidRDefault="005A3DE2">
        <w:pPr>
          <w:pStyle w:val="Footer"/>
          <w:jc w:val="right"/>
        </w:pPr>
        <w:r>
          <w:fldChar w:fldCharType="begin"/>
        </w:r>
        <w:r>
          <w:instrText xml:space="preserve"> PAGE   \* MERGEFORMAT </w:instrText>
        </w:r>
        <w:r>
          <w:fldChar w:fldCharType="separate"/>
        </w:r>
        <w:r w:rsidR="00525AB7">
          <w:rPr>
            <w:noProof/>
          </w:rPr>
          <w:t>1</w:t>
        </w:r>
        <w:r>
          <w:rPr>
            <w:noProof/>
          </w:rPr>
          <w:fldChar w:fldCharType="end"/>
        </w:r>
      </w:p>
    </w:sdtContent>
  </w:sdt>
  <w:p w14:paraId="5E0CC231" w14:textId="77777777" w:rsidR="005A3DE2" w:rsidRDefault="005A3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B000B" w14:textId="77777777" w:rsidR="00D64279" w:rsidRDefault="00D64279" w:rsidP="005A5481">
      <w:pPr>
        <w:spacing w:after="0" w:line="240" w:lineRule="auto"/>
      </w:pPr>
      <w:r>
        <w:separator/>
      </w:r>
    </w:p>
  </w:footnote>
  <w:footnote w:type="continuationSeparator" w:id="0">
    <w:p w14:paraId="44B4938E" w14:textId="77777777" w:rsidR="00D64279" w:rsidRDefault="00D64279" w:rsidP="005A5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34C65" w14:textId="77777777" w:rsidR="005A3DE2" w:rsidRPr="00D172E7" w:rsidRDefault="005A3DE2" w:rsidP="00D172E7">
    <w:pPr>
      <w:pStyle w:val="Header"/>
    </w:pPr>
    <w:r>
      <w:rPr>
        <w:noProof/>
        <w:lang w:eastAsia="en-AU"/>
      </w:rPr>
      <w:drawing>
        <wp:inline distT="0" distB="0" distL="0" distR="0" wp14:anchorId="60C7F61E" wp14:editId="7239CB31">
          <wp:extent cx="1300480" cy="996950"/>
          <wp:effectExtent l="0" t="0" r="0" b="0"/>
          <wp:docPr id="7" name="Picture 7" descr="Ticket to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et to Work TM logo_RGB_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0480" cy="996950"/>
                  </a:xfrm>
                  <a:prstGeom prst="rect">
                    <a:avLst/>
                  </a:prstGeom>
                </pic:spPr>
              </pic:pic>
            </a:graphicData>
          </a:graphic>
        </wp:inline>
      </w:drawing>
    </w:r>
    <w:r>
      <w:tab/>
    </w:r>
    <w:r>
      <w:tab/>
    </w:r>
    <w:r>
      <w:rPr>
        <w:noProof/>
        <w:color w:val="0563C1"/>
        <w:sz w:val="2"/>
        <w:szCs w:val="2"/>
        <w:lang w:eastAsia="en-AU"/>
      </w:rPr>
      <w:drawing>
        <wp:inline distT="0" distB="0" distL="0" distR="0" wp14:anchorId="06543B82" wp14:editId="21F025EA">
          <wp:extent cx="1143000" cy="676275"/>
          <wp:effectExtent l="0" t="0" r="0" b="9525"/>
          <wp:docPr id="1" name="Picture 1" descr="National Disability Services Logo&#10;">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to visit our website.">
                    <a:hlinkClick r:id="rId2" tgtFrame="&quot;_blank&quot;"/>
                  </pic:cNvPr>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147799" cy="6791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80795"/>
    <w:multiLevelType w:val="hybridMultilevel"/>
    <w:tmpl w:val="3C9800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417DEC"/>
    <w:multiLevelType w:val="multilevel"/>
    <w:tmpl w:val="4AF4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1B3961"/>
    <w:multiLevelType w:val="multilevel"/>
    <w:tmpl w:val="F32430A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979368E"/>
    <w:multiLevelType w:val="multilevel"/>
    <w:tmpl w:val="33E8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5E7048"/>
    <w:multiLevelType w:val="multilevel"/>
    <w:tmpl w:val="F32430A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6th-LTU-v14-X7&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frvxfvzvvpp2tew2sbxfrtxszxsa992r2f0&quot;&gt;My EndNote Library Jul 15-Saved-Saved&lt;record-ids&gt;&lt;item&gt;1734&lt;/item&gt;&lt;item&gt;1738&lt;/item&gt;&lt;item&gt;1745&lt;/item&gt;&lt;item&gt;1746&lt;/item&gt;&lt;item&gt;1747&lt;/item&gt;&lt;item&gt;1748&lt;/item&gt;&lt;item&gt;1749&lt;/item&gt;&lt;item&gt;1757&lt;/item&gt;&lt;item&gt;1758&lt;/item&gt;&lt;item&gt;1790&lt;/item&gt;&lt;item&gt;1830&lt;/item&gt;&lt;item&gt;1833&lt;/item&gt;&lt;/record-ids&gt;&lt;/item&gt;&lt;/Libraries&gt;"/>
  </w:docVars>
  <w:rsids>
    <w:rsidRoot w:val="00787CB4"/>
    <w:rsid w:val="0000687D"/>
    <w:rsid w:val="00006C1B"/>
    <w:rsid w:val="000224F5"/>
    <w:rsid w:val="000468B4"/>
    <w:rsid w:val="00046F24"/>
    <w:rsid w:val="00072F12"/>
    <w:rsid w:val="00084E8D"/>
    <w:rsid w:val="00092EBF"/>
    <w:rsid w:val="000A3E5E"/>
    <w:rsid w:val="000A5ED5"/>
    <w:rsid w:val="000B2C66"/>
    <w:rsid w:val="000E0FD7"/>
    <w:rsid w:val="000E7BE2"/>
    <w:rsid w:val="000F7745"/>
    <w:rsid w:val="000F7FAF"/>
    <w:rsid w:val="0010125B"/>
    <w:rsid w:val="00110655"/>
    <w:rsid w:val="00111365"/>
    <w:rsid w:val="00116257"/>
    <w:rsid w:val="001265F6"/>
    <w:rsid w:val="00140B53"/>
    <w:rsid w:val="00151A13"/>
    <w:rsid w:val="00151EF6"/>
    <w:rsid w:val="00163BF2"/>
    <w:rsid w:val="001671F3"/>
    <w:rsid w:val="0018251F"/>
    <w:rsid w:val="0018674D"/>
    <w:rsid w:val="001956FE"/>
    <w:rsid w:val="001A4CBB"/>
    <w:rsid w:val="001B1D19"/>
    <w:rsid w:val="001C0803"/>
    <w:rsid w:val="001D070D"/>
    <w:rsid w:val="001D2D1C"/>
    <w:rsid w:val="001E2580"/>
    <w:rsid w:val="001F6CD9"/>
    <w:rsid w:val="0020108F"/>
    <w:rsid w:val="002132A0"/>
    <w:rsid w:val="00215207"/>
    <w:rsid w:val="00224909"/>
    <w:rsid w:val="00230DD8"/>
    <w:rsid w:val="00231E57"/>
    <w:rsid w:val="002423A2"/>
    <w:rsid w:val="00246083"/>
    <w:rsid w:val="00247755"/>
    <w:rsid w:val="0025247B"/>
    <w:rsid w:val="00252640"/>
    <w:rsid w:val="00262F42"/>
    <w:rsid w:val="00263604"/>
    <w:rsid w:val="00264811"/>
    <w:rsid w:val="00276322"/>
    <w:rsid w:val="00284C43"/>
    <w:rsid w:val="00291265"/>
    <w:rsid w:val="00297797"/>
    <w:rsid w:val="002D1436"/>
    <w:rsid w:val="002E0163"/>
    <w:rsid w:val="002E479E"/>
    <w:rsid w:val="002E62D0"/>
    <w:rsid w:val="002F4739"/>
    <w:rsid w:val="002F5633"/>
    <w:rsid w:val="002F6BF6"/>
    <w:rsid w:val="00322B08"/>
    <w:rsid w:val="00325F40"/>
    <w:rsid w:val="003264E8"/>
    <w:rsid w:val="0033461C"/>
    <w:rsid w:val="00337C99"/>
    <w:rsid w:val="00361CCB"/>
    <w:rsid w:val="00364841"/>
    <w:rsid w:val="00370304"/>
    <w:rsid w:val="003716BA"/>
    <w:rsid w:val="00373A96"/>
    <w:rsid w:val="003856DD"/>
    <w:rsid w:val="00395755"/>
    <w:rsid w:val="003A135A"/>
    <w:rsid w:val="003A7003"/>
    <w:rsid w:val="003B01A0"/>
    <w:rsid w:val="003C1FE1"/>
    <w:rsid w:val="003D0A15"/>
    <w:rsid w:val="00412953"/>
    <w:rsid w:val="004156CD"/>
    <w:rsid w:val="00417AD1"/>
    <w:rsid w:val="004275FC"/>
    <w:rsid w:val="0045555F"/>
    <w:rsid w:val="00467481"/>
    <w:rsid w:val="004676C6"/>
    <w:rsid w:val="00491CD4"/>
    <w:rsid w:val="004A0121"/>
    <w:rsid w:val="004B2750"/>
    <w:rsid w:val="004C4541"/>
    <w:rsid w:val="004D0493"/>
    <w:rsid w:val="004D662D"/>
    <w:rsid w:val="004E6A4F"/>
    <w:rsid w:val="0050539C"/>
    <w:rsid w:val="00513685"/>
    <w:rsid w:val="005145F0"/>
    <w:rsid w:val="005160C5"/>
    <w:rsid w:val="00525AB7"/>
    <w:rsid w:val="00525EF0"/>
    <w:rsid w:val="00544360"/>
    <w:rsid w:val="00555310"/>
    <w:rsid w:val="00556066"/>
    <w:rsid w:val="00556496"/>
    <w:rsid w:val="0057499A"/>
    <w:rsid w:val="00587C4A"/>
    <w:rsid w:val="00593609"/>
    <w:rsid w:val="00594753"/>
    <w:rsid w:val="005A3DE2"/>
    <w:rsid w:val="005A51DC"/>
    <w:rsid w:val="005A5481"/>
    <w:rsid w:val="005B2734"/>
    <w:rsid w:val="005B4F5D"/>
    <w:rsid w:val="005C07E1"/>
    <w:rsid w:val="005D754E"/>
    <w:rsid w:val="005E3C09"/>
    <w:rsid w:val="0060258A"/>
    <w:rsid w:val="00604629"/>
    <w:rsid w:val="0060515D"/>
    <w:rsid w:val="00614E0C"/>
    <w:rsid w:val="00633454"/>
    <w:rsid w:val="0064039E"/>
    <w:rsid w:val="00640D7D"/>
    <w:rsid w:val="0066166C"/>
    <w:rsid w:val="006622BC"/>
    <w:rsid w:val="00662D44"/>
    <w:rsid w:val="006714F9"/>
    <w:rsid w:val="00675AD8"/>
    <w:rsid w:val="00676170"/>
    <w:rsid w:val="0067658B"/>
    <w:rsid w:val="00677536"/>
    <w:rsid w:val="00684F3F"/>
    <w:rsid w:val="006869BE"/>
    <w:rsid w:val="0069437E"/>
    <w:rsid w:val="006A2EC7"/>
    <w:rsid w:val="006A38EE"/>
    <w:rsid w:val="006A41F6"/>
    <w:rsid w:val="006A676E"/>
    <w:rsid w:val="006D368A"/>
    <w:rsid w:val="006E1D96"/>
    <w:rsid w:val="006E34C3"/>
    <w:rsid w:val="006E4F1B"/>
    <w:rsid w:val="006E6059"/>
    <w:rsid w:val="0071428B"/>
    <w:rsid w:val="00760705"/>
    <w:rsid w:val="007668B7"/>
    <w:rsid w:val="00767D19"/>
    <w:rsid w:val="007769E8"/>
    <w:rsid w:val="0078540B"/>
    <w:rsid w:val="00787233"/>
    <w:rsid w:val="00787CB4"/>
    <w:rsid w:val="0079091E"/>
    <w:rsid w:val="007B7D59"/>
    <w:rsid w:val="007C442A"/>
    <w:rsid w:val="007C46FE"/>
    <w:rsid w:val="007D4494"/>
    <w:rsid w:val="007E1B6F"/>
    <w:rsid w:val="007E6397"/>
    <w:rsid w:val="00834AA9"/>
    <w:rsid w:val="00836918"/>
    <w:rsid w:val="00860F7C"/>
    <w:rsid w:val="00881A20"/>
    <w:rsid w:val="008A2E12"/>
    <w:rsid w:val="008A385E"/>
    <w:rsid w:val="008F4A8B"/>
    <w:rsid w:val="0090486D"/>
    <w:rsid w:val="00912692"/>
    <w:rsid w:val="009172D9"/>
    <w:rsid w:val="0094650F"/>
    <w:rsid w:val="00952C06"/>
    <w:rsid w:val="00960F0A"/>
    <w:rsid w:val="00977FB0"/>
    <w:rsid w:val="009857E9"/>
    <w:rsid w:val="009B0C3A"/>
    <w:rsid w:val="009B4CDE"/>
    <w:rsid w:val="009B51C0"/>
    <w:rsid w:val="009B7292"/>
    <w:rsid w:val="009D7217"/>
    <w:rsid w:val="009E7DA3"/>
    <w:rsid w:val="009F027A"/>
    <w:rsid w:val="009F2D2A"/>
    <w:rsid w:val="00A1638D"/>
    <w:rsid w:val="00A21A2D"/>
    <w:rsid w:val="00A30E30"/>
    <w:rsid w:val="00A45635"/>
    <w:rsid w:val="00A50B06"/>
    <w:rsid w:val="00A52A7A"/>
    <w:rsid w:val="00A6067D"/>
    <w:rsid w:val="00A83562"/>
    <w:rsid w:val="00AA38CA"/>
    <w:rsid w:val="00AA4CCF"/>
    <w:rsid w:val="00AB432E"/>
    <w:rsid w:val="00AB52B0"/>
    <w:rsid w:val="00AC0BC3"/>
    <w:rsid w:val="00AC67CA"/>
    <w:rsid w:val="00AD5C8E"/>
    <w:rsid w:val="00AE51CD"/>
    <w:rsid w:val="00AE6DA3"/>
    <w:rsid w:val="00AF6B19"/>
    <w:rsid w:val="00B014F2"/>
    <w:rsid w:val="00B12883"/>
    <w:rsid w:val="00B1401E"/>
    <w:rsid w:val="00B324F6"/>
    <w:rsid w:val="00B43142"/>
    <w:rsid w:val="00B466A0"/>
    <w:rsid w:val="00B61AE7"/>
    <w:rsid w:val="00B6330D"/>
    <w:rsid w:val="00B73757"/>
    <w:rsid w:val="00B7379F"/>
    <w:rsid w:val="00B8710F"/>
    <w:rsid w:val="00B872F8"/>
    <w:rsid w:val="00B9246E"/>
    <w:rsid w:val="00B94EE3"/>
    <w:rsid w:val="00BA03E9"/>
    <w:rsid w:val="00BA4543"/>
    <w:rsid w:val="00BC46C7"/>
    <w:rsid w:val="00BF2A50"/>
    <w:rsid w:val="00C12777"/>
    <w:rsid w:val="00C160FD"/>
    <w:rsid w:val="00C572D6"/>
    <w:rsid w:val="00C63A46"/>
    <w:rsid w:val="00C7041E"/>
    <w:rsid w:val="00C84C22"/>
    <w:rsid w:val="00C956F1"/>
    <w:rsid w:val="00CA1774"/>
    <w:rsid w:val="00CA2E27"/>
    <w:rsid w:val="00CB0EAA"/>
    <w:rsid w:val="00CB610B"/>
    <w:rsid w:val="00CC16B3"/>
    <w:rsid w:val="00CC5983"/>
    <w:rsid w:val="00CE1D80"/>
    <w:rsid w:val="00CF027E"/>
    <w:rsid w:val="00D1379E"/>
    <w:rsid w:val="00D172E7"/>
    <w:rsid w:val="00D26269"/>
    <w:rsid w:val="00D31AB8"/>
    <w:rsid w:val="00D40CFF"/>
    <w:rsid w:val="00D421DA"/>
    <w:rsid w:val="00D44F6F"/>
    <w:rsid w:val="00D549B1"/>
    <w:rsid w:val="00D64279"/>
    <w:rsid w:val="00D75469"/>
    <w:rsid w:val="00D80A9C"/>
    <w:rsid w:val="00D83B23"/>
    <w:rsid w:val="00D9020B"/>
    <w:rsid w:val="00D930C3"/>
    <w:rsid w:val="00D94DDD"/>
    <w:rsid w:val="00D96DFC"/>
    <w:rsid w:val="00D97AEE"/>
    <w:rsid w:val="00DA1157"/>
    <w:rsid w:val="00DC3E1E"/>
    <w:rsid w:val="00DC4B97"/>
    <w:rsid w:val="00DC4E00"/>
    <w:rsid w:val="00DC5537"/>
    <w:rsid w:val="00DD7EE4"/>
    <w:rsid w:val="00E02F38"/>
    <w:rsid w:val="00E0618C"/>
    <w:rsid w:val="00E101A2"/>
    <w:rsid w:val="00E11450"/>
    <w:rsid w:val="00E11F18"/>
    <w:rsid w:val="00E15657"/>
    <w:rsid w:val="00E176C2"/>
    <w:rsid w:val="00E22FE1"/>
    <w:rsid w:val="00E523FC"/>
    <w:rsid w:val="00E56366"/>
    <w:rsid w:val="00E56B9A"/>
    <w:rsid w:val="00E63D22"/>
    <w:rsid w:val="00E66B8B"/>
    <w:rsid w:val="00E72BC5"/>
    <w:rsid w:val="00E84C9D"/>
    <w:rsid w:val="00E8626A"/>
    <w:rsid w:val="00E87674"/>
    <w:rsid w:val="00E90DAF"/>
    <w:rsid w:val="00E92898"/>
    <w:rsid w:val="00E94F07"/>
    <w:rsid w:val="00E96A4B"/>
    <w:rsid w:val="00EA772E"/>
    <w:rsid w:val="00EB0203"/>
    <w:rsid w:val="00EB14C0"/>
    <w:rsid w:val="00ED00E4"/>
    <w:rsid w:val="00EE2620"/>
    <w:rsid w:val="00EF2498"/>
    <w:rsid w:val="00F01994"/>
    <w:rsid w:val="00F13874"/>
    <w:rsid w:val="00F21920"/>
    <w:rsid w:val="00F34F93"/>
    <w:rsid w:val="00F40E03"/>
    <w:rsid w:val="00F53741"/>
    <w:rsid w:val="00F6270A"/>
    <w:rsid w:val="00F70057"/>
    <w:rsid w:val="00F76094"/>
    <w:rsid w:val="00F80AA0"/>
    <w:rsid w:val="00F936B0"/>
    <w:rsid w:val="00F96C30"/>
    <w:rsid w:val="00FA4A56"/>
    <w:rsid w:val="00FC4E4F"/>
    <w:rsid w:val="00FD5F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56CB1"/>
  <w15:chartTrackingRefBased/>
  <w15:docId w15:val="{B239EA0E-7C80-4769-A17B-2DB1E346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CB4"/>
    <w:pPr>
      <w:spacing w:after="200" w:line="360" w:lineRule="auto"/>
    </w:pPr>
    <w:rPr>
      <w:rFonts w:ascii="Arial" w:eastAsia="Calibri" w:hAnsi="Arial" w:cs="Arial"/>
      <w:w w:val="105"/>
      <w:kern w:val="40"/>
      <w:sz w:val="24"/>
      <w:szCs w:val="24"/>
    </w:rPr>
  </w:style>
  <w:style w:type="paragraph" w:styleId="Heading1">
    <w:name w:val="heading 1"/>
    <w:basedOn w:val="Normal"/>
    <w:next w:val="Normal"/>
    <w:link w:val="Heading1Char"/>
    <w:uiPriority w:val="9"/>
    <w:qFormat/>
    <w:rsid w:val="00084E8D"/>
    <w:pPr>
      <w:jc w:val="center"/>
      <w:outlineLvl w:val="0"/>
    </w:pPr>
    <w:rPr>
      <w:b/>
      <w:bCs/>
    </w:rPr>
  </w:style>
  <w:style w:type="paragraph" w:styleId="Heading2">
    <w:name w:val="heading 2"/>
    <w:basedOn w:val="Normal"/>
    <w:next w:val="Normal"/>
    <w:link w:val="Heading2Char"/>
    <w:uiPriority w:val="9"/>
    <w:unhideWhenUsed/>
    <w:qFormat/>
    <w:rsid w:val="00361CCB"/>
    <w:pPr>
      <w:keepNext/>
      <w:keepLines/>
      <w:spacing w:before="40" w:after="0"/>
      <w:outlineLvl w:val="1"/>
    </w:pPr>
    <w:rPr>
      <w:rFonts w:eastAsiaTheme="majorEastAsia"/>
      <w:b/>
      <w:bCs/>
    </w:rPr>
  </w:style>
  <w:style w:type="paragraph" w:styleId="Heading3">
    <w:name w:val="heading 3"/>
    <w:basedOn w:val="Normal"/>
    <w:link w:val="Heading3Char"/>
    <w:uiPriority w:val="9"/>
    <w:qFormat/>
    <w:rsid w:val="00787CB4"/>
    <w:pPr>
      <w:spacing w:before="100" w:beforeAutospacing="1" w:after="100" w:afterAutospacing="1" w:line="240" w:lineRule="auto"/>
      <w:outlineLvl w:val="2"/>
    </w:pPr>
    <w:rPr>
      <w:rFonts w:ascii="Times New Roman" w:eastAsia="Times New Roman" w:hAnsi="Times New Roman" w:cs="Times New Roman"/>
      <w:b/>
      <w:bCs/>
      <w:w w:val="100"/>
      <w:kern w:val="0"/>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7CB4"/>
    <w:pPr>
      <w:spacing w:before="100" w:beforeAutospacing="1" w:after="100" w:afterAutospacing="1" w:line="240" w:lineRule="auto"/>
    </w:pPr>
    <w:rPr>
      <w:rFonts w:ascii="Times New Roman" w:eastAsia="Times New Roman" w:hAnsi="Times New Roman" w:cs="Times New Roman"/>
      <w:w w:val="100"/>
      <w:kern w:val="0"/>
      <w:lang w:eastAsia="en-AU"/>
    </w:rPr>
  </w:style>
  <w:style w:type="table" w:styleId="TableGrid">
    <w:name w:val="Table Grid"/>
    <w:basedOn w:val="TableNormal"/>
    <w:uiPriority w:val="39"/>
    <w:rsid w:val="00787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87CB4"/>
    <w:rPr>
      <w:rFonts w:ascii="Times New Roman" w:eastAsia="Times New Roman" w:hAnsi="Times New Roman" w:cs="Times New Roman"/>
      <w:b/>
      <w:bCs/>
      <w:sz w:val="27"/>
      <w:szCs w:val="27"/>
      <w:lang w:eastAsia="en-AU"/>
    </w:rPr>
  </w:style>
  <w:style w:type="character" w:customStyle="1" w:styleId="Heading1Char">
    <w:name w:val="Heading 1 Char"/>
    <w:basedOn w:val="DefaultParagraphFont"/>
    <w:link w:val="Heading1"/>
    <w:uiPriority w:val="9"/>
    <w:rsid w:val="00084E8D"/>
    <w:rPr>
      <w:rFonts w:ascii="Arial" w:eastAsia="Calibri" w:hAnsi="Arial" w:cs="Arial"/>
      <w:b/>
      <w:bCs/>
      <w:w w:val="105"/>
      <w:kern w:val="40"/>
      <w:sz w:val="24"/>
      <w:szCs w:val="24"/>
    </w:rPr>
  </w:style>
  <w:style w:type="character" w:customStyle="1" w:styleId="Heading2Char">
    <w:name w:val="Heading 2 Char"/>
    <w:basedOn w:val="DefaultParagraphFont"/>
    <w:link w:val="Heading2"/>
    <w:uiPriority w:val="9"/>
    <w:rsid w:val="00361CCB"/>
    <w:rPr>
      <w:rFonts w:ascii="Arial" w:eastAsiaTheme="majorEastAsia" w:hAnsi="Arial" w:cs="Arial"/>
      <w:b/>
      <w:bCs/>
      <w:w w:val="105"/>
      <w:kern w:val="40"/>
      <w:sz w:val="24"/>
      <w:szCs w:val="24"/>
    </w:rPr>
  </w:style>
  <w:style w:type="paragraph" w:customStyle="1" w:styleId="Default">
    <w:name w:val="Default"/>
    <w:rsid w:val="005A5481"/>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rsid w:val="005A5481"/>
    <w:pPr>
      <w:spacing w:after="0" w:line="240" w:lineRule="auto"/>
    </w:pPr>
    <w:rPr>
      <w:rFonts w:ascii="Times New Roman" w:eastAsia="Times New Roman" w:hAnsi="Times New Roman" w:cs="Times New Roman"/>
      <w:w w:val="100"/>
      <w:kern w:val="0"/>
      <w:sz w:val="20"/>
      <w:szCs w:val="20"/>
      <w:shd w:val="clear" w:color="auto" w:fill="FFFFFF"/>
      <w:lang w:eastAsia="en-AU"/>
    </w:rPr>
  </w:style>
  <w:style w:type="character" w:customStyle="1" w:styleId="FootnoteTextChar">
    <w:name w:val="Footnote Text Char"/>
    <w:basedOn w:val="DefaultParagraphFont"/>
    <w:link w:val="FootnoteText"/>
    <w:uiPriority w:val="99"/>
    <w:semiHidden/>
    <w:rsid w:val="005A5481"/>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rsid w:val="005A5481"/>
    <w:rPr>
      <w:vertAlign w:val="superscript"/>
    </w:rPr>
  </w:style>
  <w:style w:type="paragraph" w:styleId="Quote">
    <w:name w:val="Quote"/>
    <w:basedOn w:val="Normal"/>
    <w:next w:val="Normal"/>
    <w:link w:val="QuoteChar"/>
    <w:uiPriority w:val="29"/>
    <w:qFormat/>
    <w:rsid w:val="00364841"/>
    <w:pPr>
      <w:spacing w:after="160" w:line="259" w:lineRule="auto"/>
      <w:ind w:left="720"/>
    </w:pPr>
    <w:rPr>
      <w:rFonts w:ascii="Times New Roman" w:eastAsiaTheme="minorHAnsi" w:hAnsi="Times New Roman" w:cs="Times New Roman"/>
      <w:w w:val="100"/>
      <w:kern w:val="0"/>
      <w:shd w:val="clear" w:color="auto" w:fill="FFFFFF"/>
    </w:rPr>
  </w:style>
  <w:style w:type="character" w:customStyle="1" w:styleId="QuoteChar">
    <w:name w:val="Quote Char"/>
    <w:basedOn w:val="DefaultParagraphFont"/>
    <w:link w:val="Quote"/>
    <w:uiPriority w:val="29"/>
    <w:rsid w:val="00364841"/>
    <w:rPr>
      <w:rFonts w:ascii="Times New Roman" w:hAnsi="Times New Roman" w:cs="Times New Roman"/>
      <w:sz w:val="24"/>
      <w:szCs w:val="24"/>
    </w:rPr>
  </w:style>
  <w:style w:type="paragraph" w:styleId="BodyText">
    <w:name w:val="Body Text"/>
    <w:basedOn w:val="Normal"/>
    <w:link w:val="BodyTextChar"/>
    <w:uiPriority w:val="99"/>
    <w:unhideWhenUsed/>
    <w:qFormat/>
    <w:rsid w:val="00364841"/>
    <w:pPr>
      <w:spacing w:before="120" w:after="240" w:line="276" w:lineRule="auto"/>
    </w:pPr>
    <w:rPr>
      <w:rFonts w:eastAsia="Times New Roman"/>
      <w:b/>
      <w:w w:val="100"/>
      <w:kern w:val="0"/>
      <w:lang w:eastAsia="ja-JP"/>
    </w:rPr>
  </w:style>
  <w:style w:type="character" w:customStyle="1" w:styleId="BodyTextChar">
    <w:name w:val="Body Text Char"/>
    <w:basedOn w:val="DefaultParagraphFont"/>
    <w:link w:val="BodyText"/>
    <w:uiPriority w:val="99"/>
    <w:rsid w:val="00364841"/>
    <w:rPr>
      <w:rFonts w:ascii="Arial" w:eastAsia="Times New Roman" w:hAnsi="Arial" w:cs="Arial"/>
      <w:b/>
      <w:sz w:val="24"/>
      <w:szCs w:val="24"/>
      <w:lang w:eastAsia="ja-JP"/>
    </w:rPr>
  </w:style>
  <w:style w:type="character" w:styleId="CommentReference">
    <w:name w:val="annotation reference"/>
    <w:basedOn w:val="DefaultParagraphFont"/>
    <w:uiPriority w:val="99"/>
    <w:semiHidden/>
    <w:unhideWhenUsed/>
    <w:rsid w:val="008A385E"/>
    <w:rPr>
      <w:sz w:val="16"/>
      <w:szCs w:val="16"/>
    </w:rPr>
  </w:style>
  <w:style w:type="paragraph" w:styleId="CommentText">
    <w:name w:val="annotation text"/>
    <w:basedOn w:val="Normal"/>
    <w:link w:val="CommentTextChar"/>
    <w:uiPriority w:val="99"/>
    <w:semiHidden/>
    <w:unhideWhenUsed/>
    <w:rsid w:val="008A385E"/>
    <w:pPr>
      <w:spacing w:after="160" w:line="240" w:lineRule="auto"/>
    </w:pPr>
    <w:rPr>
      <w:rFonts w:asciiTheme="minorHAnsi" w:eastAsiaTheme="minorHAnsi" w:hAnsiTheme="minorHAnsi" w:cstheme="minorBidi"/>
      <w:w w:val="100"/>
      <w:kern w:val="0"/>
      <w:sz w:val="20"/>
      <w:szCs w:val="20"/>
    </w:rPr>
  </w:style>
  <w:style w:type="character" w:customStyle="1" w:styleId="CommentTextChar">
    <w:name w:val="Comment Text Char"/>
    <w:basedOn w:val="DefaultParagraphFont"/>
    <w:link w:val="CommentText"/>
    <w:uiPriority w:val="99"/>
    <w:semiHidden/>
    <w:rsid w:val="008A385E"/>
    <w:rPr>
      <w:sz w:val="20"/>
      <w:szCs w:val="20"/>
    </w:rPr>
  </w:style>
  <w:style w:type="paragraph" w:styleId="BalloonText">
    <w:name w:val="Balloon Text"/>
    <w:basedOn w:val="Normal"/>
    <w:link w:val="BalloonTextChar"/>
    <w:uiPriority w:val="99"/>
    <w:semiHidden/>
    <w:unhideWhenUsed/>
    <w:rsid w:val="008A3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85E"/>
    <w:rPr>
      <w:rFonts w:ascii="Segoe UI" w:eastAsia="Calibri" w:hAnsi="Segoe UI" w:cs="Segoe UI"/>
      <w:w w:val="105"/>
      <w:kern w:val="40"/>
      <w:sz w:val="18"/>
      <w:szCs w:val="18"/>
    </w:rPr>
  </w:style>
  <w:style w:type="character" w:styleId="Hyperlink">
    <w:name w:val="Hyperlink"/>
    <w:basedOn w:val="DefaultParagraphFont"/>
    <w:uiPriority w:val="99"/>
    <w:unhideWhenUsed/>
    <w:rsid w:val="000468B4"/>
    <w:rPr>
      <w:color w:val="0563C1" w:themeColor="hyperlink"/>
      <w:u w:val="single"/>
    </w:rPr>
  </w:style>
  <w:style w:type="character" w:customStyle="1" w:styleId="UnresolvedMention1">
    <w:name w:val="Unresolved Mention1"/>
    <w:basedOn w:val="DefaultParagraphFont"/>
    <w:uiPriority w:val="99"/>
    <w:semiHidden/>
    <w:unhideWhenUsed/>
    <w:rsid w:val="000468B4"/>
    <w:rPr>
      <w:color w:val="605E5C"/>
      <w:shd w:val="clear" w:color="auto" w:fill="E1DFDD"/>
    </w:rPr>
  </w:style>
  <w:style w:type="paragraph" w:customStyle="1" w:styleId="EndNoteBibliographyTitle">
    <w:name w:val="EndNote Bibliography Title"/>
    <w:basedOn w:val="Normal"/>
    <w:link w:val="EndNoteBibliographyTitleChar"/>
    <w:rsid w:val="00325F40"/>
    <w:pPr>
      <w:spacing w:after="0"/>
      <w:jc w:val="center"/>
    </w:pPr>
    <w:rPr>
      <w:noProof/>
      <w:lang w:val="en-US"/>
    </w:rPr>
  </w:style>
  <w:style w:type="character" w:customStyle="1" w:styleId="EndNoteBibliographyTitleChar">
    <w:name w:val="EndNote Bibliography Title Char"/>
    <w:basedOn w:val="FootnoteTextChar"/>
    <w:link w:val="EndNoteBibliographyTitle"/>
    <w:rsid w:val="00325F40"/>
    <w:rPr>
      <w:rFonts w:ascii="Arial" w:eastAsia="Calibri" w:hAnsi="Arial" w:cs="Arial"/>
      <w:noProof/>
      <w:w w:val="105"/>
      <w:kern w:val="40"/>
      <w:sz w:val="24"/>
      <w:szCs w:val="24"/>
      <w:lang w:val="en-US" w:eastAsia="en-AU"/>
    </w:rPr>
  </w:style>
  <w:style w:type="paragraph" w:customStyle="1" w:styleId="EndNoteBibliography">
    <w:name w:val="EndNote Bibliography"/>
    <w:basedOn w:val="Normal"/>
    <w:link w:val="EndNoteBibliographyChar"/>
    <w:rsid w:val="00325F40"/>
    <w:pPr>
      <w:spacing w:line="240" w:lineRule="auto"/>
    </w:pPr>
    <w:rPr>
      <w:noProof/>
      <w:lang w:val="en-US"/>
    </w:rPr>
  </w:style>
  <w:style w:type="character" w:customStyle="1" w:styleId="EndNoteBibliographyChar">
    <w:name w:val="EndNote Bibliography Char"/>
    <w:basedOn w:val="FootnoteTextChar"/>
    <w:link w:val="EndNoteBibliography"/>
    <w:rsid w:val="00325F40"/>
    <w:rPr>
      <w:rFonts w:ascii="Arial" w:eastAsia="Calibri" w:hAnsi="Arial" w:cs="Arial"/>
      <w:noProof/>
      <w:w w:val="105"/>
      <w:kern w:val="40"/>
      <w:sz w:val="24"/>
      <w:szCs w:val="24"/>
      <w:lang w:val="en-US" w:eastAsia="en-AU"/>
    </w:rPr>
  </w:style>
  <w:style w:type="paragraph" w:styleId="CommentSubject">
    <w:name w:val="annotation subject"/>
    <w:basedOn w:val="CommentText"/>
    <w:next w:val="CommentText"/>
    <w:link w:val="CommentSubjectChar"/>
    <w:uiPriority w:val="99"/>
    <w:semiHidden/>
    <w:unhideWhenUsed/>
    <w:rsid w:val="00CC5983"/>
    <w:pPr>
      <w:spacing w:after="200"/>
    </w:pPr>
    <w:rPr>
      <w:rFonts w:ascii="Arial" w:eastAsia="Calibri" w:hAnsi="Arial" w:cs="Arial"/>
      <w:b/>
      <w:bCs/>
      <w:w w:val="105"/>
      <w:kern w:val="40"/>
    </w:rPr>
  </w:style>
  <w:style w:type="character" w:customStyle="1" w:styleId="CommentSubjectChar">
    <w:name w:val="Comment Subject Char"/>
    <w:basedOn w:val="CommentTextChar"/>
    <w:link w:val="CommentSubject"/>
    <w:uiPriority w:val="99"/>
    <w:semiHidden/>
    <w:rsid w:val="00CC5983"/>
    <w:rPr>
      <w:rFonts w:ascii="Arial" w:eastAsia="Calibri" w:hAnsi="Arial" w:cs="Arial"/>
      <w:b/>
      <w:bCs/>
      <w:w w:val="105"/>
      <w:kern w:val="40"/>
      <w:sz w:val="20"/>
      <w:szCs w:val="20"/>
    </w:rPr>
  </w:style>
  <w:style w:type="paragraph" w:styleId="Header">
    <w:name w:val="header"/>
    <w:basedOn w:val="Normal"/>
    <w:link w:val="HeaderChar"/>
    <w:uiPriority w:val="99"/>
    <w:unhideWhenUsed/>
    <w:rsid w:val="00D17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2E7"/>
    <w:rPr>
      <w:rFonts w:ascii="Arial" w:eastAsia="Calibri" w:hAnsi="Arial" w:cs="Arial"/>
      <w:w w:val="105"/>
      <w:kern w:val="40"/>
      <w:sz w:val="24"/>
      <w:szCs w:val="24"/>
    </w:rPr>
  </w:style>
  <w:style w:type="paragraph" w:styleId="Footer">
    <w:name w:val="footer"/>
    <w:basedOn w:val="Normal"/>
    <w:link w:val="FooterChar"/>
    <w:uiPriority w:val="99"/>
    <w:unhideWhenUsed/>
    <w:rsid w:val="00D17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2E7"/>
    <w:rPr>
      <w:rFonts w:ascii="Arial" w:eastAsia="Calibri" w:hAnsi="Arial" w:cs="Arial"/>
      <w:w w:val="105"/>
      <w:kern w:val="40"/>
      <w:sz w:val="24"/>
      <w:szCs w:val="24"/>
    </w:rPr>
  </w:style>
  <w:style w:type="character" w:customStyle="1" w:styleId="NoSpacingChar">
    <w:name w:val="No Spacing Char"/>
    <w:basedOn w:val="DefaultParagraphFont"/>
    <w:link w:val="NoSpacing"/>
    <w:uiPriority w:val="1"/>
    <w:locked/>
    <w:rsid w:val="00544360"/>
    <w:rPr>
      <w:rFonts w:ascii="Arial" w:eastAsiaTheme="minorEastAsia" w:hAnsi="Arial" w:cs="Arial"/>
      <w:b/>
      <w:sz w:val="24"/>
      <w:szCs w:val="28"/>
      <w:lang w:val="en-US"/>
    </w:rPr>
  </w:style>
  <w:style w:type="paragraph" w:styleId="NoSpacing">
    <w:name w:val="No Spacing"/>
    <w:link w:val="NoSpacingChar"/>
    <w:autoRedefine/>
    <w:uiPriority w:val="1"/>
    <w:qFormat/>
    <w:rsid w:val="00544360"/>
    <w:pPr>
      <w:spacing w:after="120" w:line="360" w:lineRule="auto"/>
    </w:pPr>
    <w:rPr>
      <w:rFonts w:ascii="Arial" w:eastAsiaTheme="minorEastAsia" w:hAnsi="Arial" w:cs="Arial"/>
      <w:b/>
      <w:sz w:val="24"/>
      <w:szCs w:val="28"/>
      <w:lang w:val="en-US"/>
    </w:rPr>
  </w:style>
  <w:style w:type="character" w:styleId="Strong">
    <w:name w:val="Strong"/>
    <w:basedOn w:val="DefaultParagraphFont"/>
    <w:uiPriority w:val="22"/>
    <w:qFormat/>
    <w:rsid w:val="00544360"/>
    <w:rPr>
      <w:b/>
      <w:bCs/>
    </w:rPr>
  </w:style>
  <w:style w:type="character" w:styleId="FollowedHyperlink">
    <w:name w:val="FollowedHyperlink"/>
    <w:basedOn w:val="DefaultParagraphFont"/>
    <w:uiPriority w:val="99"/>
    <w:semiHidden/>
    <w:unhideWhenUsed/>
    <w:rsid w:val="009D7217"/>
    <w:rPr>
      <w:color w:val="954F72" w:themeColor="followedHyperlink"/>
      <w:u w:val="single"/>
    </w:rPr>
  </w:style>
  <w:style w:type="character" w:customStyle="1" w:styleId="UnresolvedMention">
    <w:name w:val="Unresolved Mention"/>
    <w:basedOn w:val="DefaultParagraphFont"/>
    <w:uiPriority w:val="99"/>
    <w:semiHidden/>
    <w:unhideWhenUsed/>
    <w:rsid w:val="00D93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78144">
      <w:bodyDiv w:val="1"/>
      <w:marLeft w:val="0"/>
      <w:marRight w:val="0"/>
      <w:marTop w:val="0"/>
      <w:marBottom w:val="0"/>
      <w:divBdr>
        <w:top w:val="none" w:sz="0" w:space="0" w:color="auto"/>
        <w:left w:val="none" w:sz="0" w:space="0" w:color="auto"/>
        <w:bottom w:val="none" w:sz="0" w:space="0" w:color="auto"/>
        <w:right w:val="none" w:sz="0" w:space="0" w:color="auto"/>
      </w:divBdr>
    </w:div>
    <w:div w:id="846672148">
      <w:bodyDiv w:val="1"/>
      <w:marLeft w:val="0"/>
      <w:marRight w:val="0"/>
      <w:marTop w:val="0"/>
      <w:marBottom w:val="0"/>
      <w:divBdr>
        <w:top w:val="none" w:sz="0" w:space="0" w:color="auto"/>
        <w:left w:val="none" w:sz="0" w:space="0" w:color="auto"/>
        <w:bottom w:val="none" w:sz="0" w:space="0" w:color="auto"/>
        <w:right w:val="none" w:sz="0" w:space="0" w:color="auto"/>
      </w:divBdr>
    </w:div>
    <w:div w:id="1208640845">
      <w:bodyDiv w:val="1"/>
      <w:marLeft w:val="0"/>
      <w:marRight w:val="0"/>
      <w:marTop w:val="0"/>
      <w:marBottom w:val="0"/>
      <w:divBdr>
        <w:top w:val="none" w:sz="0" w:space="0" w:color="auto"/>
        <w:left w:val="none" w:sz="0" w:space="0" w:color="auto"/>
        <w:bottom w:val="none" w:sz="0" w:space="0" w:color="auto"/>
        <w:right w:val="none" w:sz="0" w:space="0" w:color="auto"/>
      </w:divBdr>
    </w:div>
    <w:div w:id="1277180020">
      <w:bodyDiv w:val="1"/>
      <w:marLeft w:val="0"/>
      <w:marRight w:val="0"/>
      <w:marTop w:val="0"/>
      <w:marBottom w:val="0"/>
      <w:divBdr>
        <w:top w:val="none" w:sz="0" w:space="0" w:color="auto"/>
        <w:left w:val="none" w:sz="0" w:space="0" w:color="auto"/>
        <w:bottom w:val="none" w:sz="0" w:space="0" w:color="auto"/>
        <w:right w:val="none" w:sz="0" w:space="0" w:color="auto"/>
      </w:divBdr>
      <w:divsChild>
        <w:div w:id="1918055149">
          <w:marLeft w:val="0"/>
          <w:marRight w:val="0"/>
          <w:marTop w:val="0"/>
          <w:marBottom w:val="0"/>
          <w:divBdr>
            <w:top w:val="none" w:sz="0" w:space="0" w:color="auto"/>
            <w:left w:val="none" w:sz="0" w:space="0" w:color="auto"/>
            <w:bottom w:val="none" w:sz="0" w:space="0" w:color="auto"/>
            <w:right w:val="none" w:sz="0" w:space="0" w:color="auto"/>
          </w:divBdr>
          <w:divsChild>
            <w:div w:id="15118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97440">
      <w:bodyDiv w:val="1"/>
      <w:marLeft w:val="0"/>
      <w:marRight w:val="0"/>
      <w:marTop w:val="0"/>
      <w:marBottom w:val="0"/>
      <w:divBdr>
        <w:top w:val="none" w:sz="0" w:space="0" w:color="auto"/>
        <w:left w:val="none" w:sz="0" w:space="0" w:color="auto"/>
        <w:bottom w:val="none" w:sz="0" w:space="0" w:color="auto"/>
        <w:right w:val="none" w:sz="0" w:space="0" w:color="auto"/>
      </w:divBdr>
    </w:div>
    <w:div w:id="1914660376">
      <w:bodyDiv w:val="1"/>
      <w:marLeft w:val="0"/>
      <w:marRight w:val="0"/>
      <w:marTop w:val="0"/>
      <w:marBottom w:val="0"/>
      <w:divBdr>
        <w:top w:val="none" w:sz="0" w:space="0" w:color="auto"/>
        <w:left w:val="none" w:sz="0" w:space="0" w:color="auto"/>
        <w:bottom w:val="none" w:sz="0" w:space="0" w:color="auto"/>
        <w:right w:val="none" w:sz="0" w:space="0" w:color="auto"/>
      </w:divBdr>
    </w:div>
    <w:div w:id="197239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ickettowork.org.au/resource/9/" TargetMode="External"/><Relationship Id="rId18" Type="http://schemas.openxmlformats.org/officeDocument/2006/relationships/hyperlink" Target="https://www.cadr.org.au/research-to-action-guides/research-to-action-sheets/school-to-employment-transitions" TargetMode="External"/><Relationship Id="rId26" Type="http://schemas.openxmlformats.org/officeDocument/2006/relationships/hyperlink" Target="https://tickettowork.org.au/research/article/parent-engagement-in-school-to-work-transition-for/" TargetMode="External"/><Relationship Id="rId3" Type="http://schemas.openxmlformats.org/officeDocument/2006/relationships/customXml" Target="../customXml/item3.xml"/><Relationship Id="rId21" Type="http://schemas.openxmlformats.org/officeDocument/2006/relationships/hyperlink" Target="https://www2.deloitte.com/au/en/pages/economics/articles/economic-benefits-increasing-employment-for-people-with-disability.html" TargetMode="External"/><Relationship Id="rId7" Type="http://schemas.openxmlformats.org/officeDocument/2006/relationships/settings" Target="settings.xml"/><Relationship Id="rId12" Type="http://schemas.openxmlformats.org/officeDocument/2006/relationships/hyperlink" Target="https://tickettowork.org.au/research/article/ticket-to-work-post-school-outcomes/" TargetMode="External"/><Relationship Id="rId17" Type="http://schemas.openxmlformats.org/officeDocument/2006/relationships/hyperlink" Target="https://tickettowork.org.au/media/research_submissions_files/After-School-Jobs-Literature-Review_Final.pdf" TargetMode="External"/><Relationship Id="rId25" Type="http://schemas.openxmlformats.org/officeDocument/2006/relationships/hyperlink" Target="https://tickettowork.org.au/resource/9/" TargetMode="External"/><Relationship Id="rId2" Type="http://schemas.openxmlformats.org/officeDocument/2006/relationships/customXml" Target="../customXml/item2.xml"/><Relationship Id="rId16" Type="http://schemas.openxmlformats.org/officeDocument/2006/relationships/hyperlink" Target="https://tickettowork.org.au/research/article/network/" TargetMode="External"/><Relationship Id="rId20" Type="http://schemas.openxmlformats.org/officeDocument/2006/relationships/hyperlink" Target="file:///C:\Users\Samantha.Trent\AppData\Local\Microsoft\Windows\INetCache\Content.Outlook\9JY0JHTL\www.tickettowork.org.au\research_evaluation\ticket-work-post-school-outcom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ckettowork.org.au/stories/?category=after_school" TargetMode="External"/><Relationship Id="rId24" Type="http://schemas.openxmlformats.org/officeDocument/2006/relationships/hyperlink" Target="https://digitalcommons.ilr.cornell.edu/cgi/viewcontent.cgi?article=1330&amp;context=gladnetcollect" TargetMode="External"/><Relationship Id="rId5" Type="http://schemas.openxmlformats.org/officeDocument/2006/relationships/numbering" Target="numbering.xml"/><Relationship Id="rId15" Type="http://schemas.openxmlformats.org/officeDocument/2006/relationships/hyperlink" Target="https://tickettowork.org.au/research/article/parent-engagement-in-school-to-work-transition-for/" TargetMode="External"/><Relationship Id="rId23" Type="http://schemas.openxmlformats.org/officeDocument/2006/relationships/hyperlink" Target="https://tickettowork.org.au/research/article/the-employer-experience-hiring-young-people-with-i/"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tickettowork.org.au/research/article/ticket-to-work-pilot-outcome-stud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ickettowork.org.au/research/article/the-employer-experience-hiring-young-people-with-i/" TargetMode="External"/><Relationship Id="rId22" Type="http://schemas.openxmlformats.org/officeDocument/2006/relationships/hyperlink" Target="https://www.educationandemployers.org/wp-content/uploads/2014/06/sen-transitions-wave-3-dfes.pdf"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nds.org.au/" TargetMode="External"/><Relationship Id="rId1" Type="http://schemas.openxmlformats.org/officeDocument/2006/relationships/image" Target="media/image1.jpeg"/><Relationship Id="rId4" Type="http://schemas.openxmlformats.org/officeDocument/2006/relationships/image" Target="cid:image827000.jpg@7D37B521.15AC59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B0F9CAC9D8242A80B9B2B38F69D0D" ma:contentTypeVersion="13" ma:contentTypeDescription="Create a new document." ma:contentTypeScope="" ma:versionID="c5cb9deeffadfbfb8c4de7c0d7d54690">
  <xsd:schema xmlns:xsd="http://www.w3.org/2001/XMLSchema" xmlns:xs="http://www.w3.org/2001/XMLSchema" xmlns:p="http://schemas.microsoft.com/office/2006/metadata/properties" xmlns:ns3="69d41ba9-e8e0-4f47-b574-3308d1a1fff4" xmlns:ns4="b73d7e88-5fca-4bc7-8c15-17afa20ac46c" targetNamespace="http://schemas.microsoft.com/office/2006/metadata/properties" ma:root="true" ma:fieldsID="9bd52adaeda1c49aa0657b19907bde0e" ns3:_="" ns4:_="">
    <xsd:import namespace="69d41ba9-e8e0-4f47-b574-3308d1a1fff4"/>
    <xsd:import namespace="b73d7e88-5fca-4bc7-8c15-17afa20ac4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41ba9-e8e0-4f47-b574-3308d1a1ff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3d7e88-5fca-4bc7-8c15-17afa20ac46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6EA95-D04E-4CF3-A10F-5625E961E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41ba9-e8e0-4f47-b574-3308d1a1fff4"/>
    <ds:schemaRef ds:uri="b73d7e88-5fca-4bc7-8c15-17afa20ac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9F5D5B-837F-4CA9-8F82-7317418E0BD7}">
  <ds:schemaRefs>
    <ds:schemaRef ds:uri="http://schemas.microsoft.com/sharepoint/v3/contenttype/forms"/>
  </ds:schemaRefs>
</ds:datastoreItem>
</file>

<file path=customXml/itemProps3.xml><?xml version="1.0" encoding="utf-8"?>
<ds:datastoreItem xmlns:ds="http://schemas.openxmlformats.org/officeDocument/2006/customXml" ds:itemID="{F7BC2EAB-43E4-4928-9476-CB72C2BA8B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A541CD-DBD6-4027-9A99-CC503AC6A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4056</Words>
  <Characters>23124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Crisp</dc:creator>
  <cp:keywords/>
  <dc:description/>
  <cp:lastModifiedBy>Samantha Trent</cp:lastModifiedBy>
  <cp:revision>2</cp:revision>
  <cp:lastPrinted>2020-07-14T04:31:00Z</cp:lastPrinted>
  <dcterms:created xsi:type="dcterms:W3CDTF">2021-01-27T07:44:00Z</dcterms:created>
  <dcterms:modified xsi:type="dcterms:W3CDTF">2021-01-27T07:44:00Z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0x010100C97B0F9CAC9D8242A80B9B2B38F69D0D</vt:lpwstr>
  </property>
</Properties>
</file>