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20B2" w14:textId="77777777" w:rsidR="006275E3" w:rsidRPr="00B77375" w:rsidRDefault="004D662D" w:rsidP="00331BBD">
      <w:pPr>
        <w:pStyle w:val="Heading1"/>
        <w:rPr>
          <w:sz w:val="32"/>
          <w:szCs w:val="32"/>
        </w:rPr>
      </w:pPr>
      <w:r w:rsidRPr="00B77375">
        <w:rPr>
          <w:sz w:val="32"/>
          <w:szCs w:val="32"/>
        </w:rPr>
        <w:t>N</w:t>
      </w:r>
      <w:r w:rsidR="00361CCB" w:rsidRPr="00B77375">
        <w:rPr>
          <w:sz w:val="32"/>
          <w:szCs w:val="32"/>
        </w:rPr>
        <w:t xml:space="preserve">ational </w:t>
      </w:r>
      <w:r w:rsidRPr="00B77375">
        <w:rPr>
          <w:sz w:val="32"/>
          <w:szCs w:val="32"/>
        </w:rPr>
        <w:t>D</w:t>
      </w:r>
      <w:r w:rsidR="00361CCB" w:rsidRPr="00B77375">
        <w:rPr>
          <w:sz w:val="32"/>
          <w:szCs w:val="32"/>
        </w:rPr>
        <w:t xml:space="preserve">isability </w:t>
      </w:r>
      <w:r w:rsidRPr="00B77375">
        <w:rPr>
          <w:sz w:val="32"/>
          <w:szCs w:val="32"/>
        </w:rPr>
        <w:t>S</w:t>
      </w:r>
      <w:r w:rsidR="00361CCB" w:rsidRPr="00B77375">
        <w:rPr>
          <w:sz w:val="32"/>
          <w:szCs w:val="32"/>
        </w:rPr>
        <w:t>ervices</w:t>
      </w:r>
      <w:r w:rsidRPr="00B77375">
        <w:rPr>
          <w:sz w:val="32"/>
          <w:szCs w:val="32"/>
        </w:rPr>
        <w:t xml:space="preserve"> </w:t>
      </w:r>
      <w:r w:rsidR="00F34F93" w:rsidRPr="00B77375">
        <w:rPr>
          <w:sz w:val="32"/>
          <w:szCs w:val="32"/>
        </w:rPr>
        <w:t>Ticket to Work S</w:t>
      </w:r>
      <w:r w:rsidRPr="00B77375">
        <w:rPr>
          <w:sz w:val="32"/>
          <w:szCs w:val="32"/>
        </w:rPr>
        <w:t xml:space="preserve">ubmission to the </w:t>
      </w:r>
      <w:r w:rsidR="006275E3" w:rsidRPr="00B77375">
        <w:rPr>
          <w:sz w:val="32"/>
          <w:szCs w:val="32"/>
        </w:rPr>
        <w:t>2020 Review of the Disability Standards for Education 2005</w:t>
      </w:r>
    </w:p>
    <w:p w14:paraId="4339FE7E" w14:textId="77777777" w:rsidR="00CB0EAA" w:rsidRPr="00B77375" w:rsidRDefault="00CB0EAA" w:rsidP="00331BBD">
      <w:pPr>
        <w:pStyle w:val="Heading2"/>
        <w:rPr>
          <w:sz w:val="28"/>
          <w:szCs w:val="28"/>
        </w:rPr>
      </w:pPr>
      <w:r w:rsidRPr="00B77375">
        <w:rPr>
          <w:sz w:val="28"/>
          <w:szCs w:val="28"/>
        </w:rPr>
        <w:t>About National Disability Services</w:t>
      </w:r>
    </w:p>
    <w:p w14:paraId="22E4F999" w14:textId="77777777" w:rsidR="00941452" w:rsidRPr="00A52A7A" w:rsidRDefault="00CB0EAA" w:rsidP="00331BBD">
      <w:r w:rsidRPr="00A52A7A">
        <w:t xml:space="preserve">National Disability Services (NDS) is the peak industry body for non-government disability services. It represents service providers across Australia in their </w:t>
      </w:r>
      <w:r w:rsidR="00FC51AF">
        <w:t>w</w:t>
      </w:r>
      <w:r w:rsidRPr="00A52A7A">
        <w:t xml:space="preserve">ork to deliver high-quality supports and life opportunities for people with disability. </w:t>
      </w:r>
      <w:r w:rsidR="00782C83">
        <w:t>NDS’s</w:t>
      </w:r>
      <w:r w:rsidRPr="00A52A7A">
        <w:t xml:space="preserve"> Australia-wide membership includes </w:t>
      </w:r>
      <w:r w:rsidR="00787233">
        <w:t>over</w:t>
      </w:r>
      <w:r w:rsidRPr="00A52A7A">
        <w:t xml:space="preserve"> 1</w:t>
      </w:r>
      <w:r w:rsidR="00787233">
        <w:t>,18</w:t>
      </w:r>
      <w:r w:rsidRPr="00A52A7A">
        <w:t xml:space="preserve">0 non-government </w:t>
      </w:r>
      <w:proofErr w:type="spellStart"/>
      <w:r w:rsidRPr="00A52A7A">
        <w:t>organisations</w:t>
      </w:r>
      <w:proofErr w:type="spellEnd"/>
      <w:r w:rsidR="00110013">
        <w:t>,</w:t>
      </w:r>
      <w:r w:rsidRPr="00A52A7A">
        <w:t xml:space="preserve"> which support people with all forms of disability. </w:t>
      </w:r>
      <w:r w:rsidR="00782C83">
        <w:t>The</w:t>
      </w:r>
      <w:r w:rsidRPr="00A52A7A">
        <w:t xml:space="preserve"> members collectively provide the full range of disability services - from accommodation support, respite and therapy to </w:t>
      </w:r>
      <w:r w:rsidRPr="00F96F08">
        <w:t>community</w:t>
      </w:r>
      <w:r w:rsidRPr="00A52A7A">
        <w:t xml:space="preserve"> access and employment. NDS provides information and networking opportunities to its members and policy advice to State, Territory and Federal governments. </w:t>
      </w:r>
    </w:p>
    <w:p w14:paraId="4548238B" w14:textId="77777777" w:rsidR="00F936B0" w:rsidRPr="00B77375" w:rsidRDefault="00F936B0" w:rsidP="00331BBD">
      <w:pPr>
        <w:pStyle w:val="Heading2"/>
        <w:rPr>
          <w:sz w:val="28"/>
          <w:szCs w:val="28"/>
        </w:rPr>
      </w:pPr>
      <w:r w:rsidRPr="00B77375">
        <w:rPr>
          <w:sz w:val="28"/>
          <w:szCs w:val="28"/>
        </w:rPr>
        <w:t>Introduction</w:t>
      </w:r>
    </w:p>
    <w:p w14:paraId="7B8877D7" w14:textId="77777777" w:rsidR="00E40DA1" w:rsidRDefault="004C4541" w:rsidP="00331BBD">
      <w:r>
        <w:t>NDS</w:t>
      </w:r>
      <w:r w:rsidR="00252640" w:rsidRPr="00A52A7A">
        <w:t xml:space="preserve"> welcome</w:t>
      </w:r>
      <w:r>
        <w:t>s</w:t>
      </w:r>
      <w:r w:rsidR="00252640" w:rsidRPr="00A52A7A">
        <w:t xml:space="preserve"> </w:t>
      </w:r>
      <w:r>
        <w:t>the</w:t>
      </w:r>
      <w:r w:rsidR="00252640" w:rsidRPr="00A52A7A">
        <w:t xml:space="preserve"> opportunity to </w:t>
      </w:r>
      <w:r>
        <w:t>provide</w:t>
      </w:r>
      <w:r w:rsidR="00787233">
        <w:t xml:space="preserve"> this </w:t>
      </w:r>
      <w:r w:rsidR="009E7DA3" w:rsidRPr="00A52A7A">
        <w:t>submi</w:t>
      </w:r>
      <w:r w:rsidR="00787233">
        <w:t xml:space="preserve">ssion </w:t>
      </w:r>
      <w:r>
        <w:t>to</w:t>
      </w:r>
      <w:r w:rsidR="00787233">
        <w:t xml:space="preserve"> the </w:t>
      </w:r>
      <w:r w:rsidR="006275E3" w:rsidRPr="006275E3">
        <w:rPr>
          <w:bCs/>
        </w:rPr>
        <w:t>2020 Review of the Disability Standards for Education 2005</w:t>
      </w:r>
      <w:r w:rsidR="00252640" w:rsidRPr="00A52A7A">
        <w:t>.</w:t>
      </w:r>
      <w:r w:rsidR="00787233">
        <w:t xml:space="preserve"> </w:t>
      </w:r>
      <w:r w:rsidR="005A5481" w:rsidRPr="00A52A7A">
        <w:t xml:space="preserve">Ticket to </w:t>
      </w:r>
      <w:r w:rsidR="00E15657" w:rsidRPr="00A52A7A">
        <w:t>W</w:t>
      </w:r>
      <w:r w:rsidR="005A5481" w:rsidRPr="00A52A7A">
        <w:t>ork is a national initiative of National Disability Services (NDS) focusing on improving school to work pathways for young people with significant disability</w:t>
      </w:r>
      <w:r w:rsidR="007A4083">
        <w:t xml:space="preserve"> as defined by the </w:t>
      </w:r>
      <w:r w:rsidR="007A4083">
        <w:fldChar w:fldCharType="begin"/>
      </w:r>
      <w:r w:rsidR="007A4083">
        <w:instrText xml:space="preserve"> ADDIN EN.CITE &lt;EndNote&gt;&lt;Cite AuthorYear="1"&gt;&lt;Author&gt;Department of Social Services&lt;/Author&gt;&lt;Year&gt;2020&lt;/Year&gt;&lt;RecNum&gt;1832&lt;/RecNum&gt;&lt;DisplayText&gt;Department of Social Services (2020)&lt;/DisplayText&gt;&lt;record&gt;&lt;rec-number&gt;1832&lt;/rec-number&gt;&lt;foreign-keys&gt;&lt;key app="EN" db-id="afrvxfvzvvpp2tew2sbxfrtxszxsa992r2f0" timestamp="1595382819"&gt;1832&lt;/key&gt;&lt;/foreign-keys&gt;&lt;ref-type name="Government Document"&gt;46&lt;/ref-type&gt;&lt;contributors&gt;&lt;authors&gt;&lt;author&gt;Department of Social Services,&lt;/author&gt;&lt;/authors&gt;&lt;secondary-authors&gt;&lt;author&gt;Department of Social Services,&lt;/author&gt;&lt;/secondary-authors&gt;&lt;/contributors&gt;&lt;titles&gt;&lt;title&gt;Disability Employment Services Eligible School Leaver Guidelines V 1.2&lt;/title&gt;&lt;/titles&gt;&lt;dates&gt;&lt;year&gt;2020&lt;/year&gt;&lt;/dates&gt;&lt;pub-location&gt;Canberra&lt;/pub-location&gt;&lt;urls&gt;&lt;related-urls&gt;&lt;url&gt;https://www.dss.gov.au/freedom-of-information-operational-information-disability-employment-and-carers-group/des-eligible-school-leaver-guidelines&lt;/url&gt;&lt;/related-urls&gt;&lt;/urls&gt;&lt;/record&gt;&lt;/Cite&gt;&lt;/EndNote&gt;</w:instrText>
      </w:r>
      <w:r w:rsidR="007A4083">
        <w:fldChar w:fldCharType="separate"/>
      </w:r>
      <w:r w:rsidR="007A4083">
        <w:rPr>
          <w:noProof/>
        </w:rPr>
        <w:t>Department of Social Services (2020)</w:t>
      </w:r>
      <w:r w:rsidR="007A4083">
        <w:fldChar w:fldCharType="end"/>
      </w:r>
      <w:r w:rsidR="005A5481" w:rsidRPr="00A52A7A">
        <w:t>.</w:t>
      </w:r>
      <w:r w:rsidR="00073CB4">
        <w:t xml:space="preserve"> Consequently, this submission will focus upon the </w:t>
      </w:r>
      <w:r w:rsidR="00C27B7B">
        <w:t>experience of assisting students</w:t>
      </w:r>
      <w:r w:rsidR="00E40DA1" w:rsidRPr="0076220B">
        <w:t xml:space="preserve"> with disability </w:t>
      </w:r>
      <w:r w:rsidR="00AD724F">
        <w:t>to</w:t>
      </w:r>
      <w:r w:rsidR="00E40DA1" w:rsidRPr="0076220B">
        <w:t xml:space="preserve"> transition from </w:t>
      </w:r>
      <w:r w:rsidR="00F83FDD">
        <w:t>secondary school to open employment</w:t>
      </w:r>
      <w:r w:rsidR="00152869">
        <w:t xml:space="preserve"> through early exposure to </w:t>
      </w:r>
      <w:r w:rsidR="00200E84">
        <w:t>employment</w:t>
      </w:r>
      <w:r w:rsidR="00E40DA1" w:rsidRPr="0076220B">
        <w:t>.</w:t>
      </w:r>
    </w:p>
    <w:p w14:paraId="3D6A65F9" w14:textId="77777777" w:rsidR="000E4B7E" w:rsidRDefault="000E4B7E" w:rsidP="000E4B7E">
      <w:r>
        <w:t xml:space="preserve">Research shows </w:t>
      </w:r>
      <w:r w:rsidR="00293A75">
        <w:t>th</w:t>
      </w:r>
      <w:r>
        <w:t xml:space="preserve">at in Australia young people with disability are not transitioning successfully from school into further training or employment; a factor that is an indicator of long term, and often life-long, disadvantage. Young people with disability are more likely to drop out of school early, be excluded from the </w:t>
      </w:r>
      <w:proofErr w:type="spellStart"/>
      <w:r>
        <w:t>labour</w:t>
      </w:r>
      <w:proofErr w:type="spellEnd"/>
      <w:r>
        <w:t xml:space="preserve"> force, have fewer educational qualifications, experience poverty and be socially isolated.</w:t>
      </w:r>
      <w:r w:rsidR="00721845">
        <w:t xml:space="preserve"> </w:t>
      </w:r>
      <w:r w:rsidR="00EC4057">
        <w:t xml:space="preserve">(Wakeford Waugh </w:t>
      </w:r>
      <w:proofErr w:type="gramStart"/>
      <w:r w:rsidR="00EC4057">
        <w:t>2019)</w:t>
      </w:r>
      <w:r w:rsidR="00721845">
        <w:t>It</w:t>
      </w:r>
      <w:proofErr w:type="gramEnd"/>
      <w:r w:rsidR="00721845">
        <w:t xml:space="preserve"> is imperative that these trends are reversed: </w:t>
      </w:r>
      <w:r w:rsidR="00003AA3">
        <w:t xml:space="preserve">The findings </w:t>
      </w:r>
      <w:r w:rsidR="00925FB6">
        <w:t xml:space="preserve">of </w:t>
      </w:r>
      <w:r w:rsidR="00927368">
        <w:t xml:space="preserve">research by </w:t>
      </w:r>
      <w:proofErr w:type="spellStart"/>
      <w:r w:rsidR="00925FB6" w:rsidRPr="00975B87">
        <w:t>Siperstein</w:t>
      </w:r>
      <w:proofErr w:type="spellEnd"/>
      <w:r w:rsidR="00925FB6" w:rsidRPr="00975B87">
        <w:t xml:space="preserve">, </w:t>
      </w:r>
      <w:r w:rsidR="00925FB6" w:rsidRPr="00975B87">
        <w:rPr>
          <w:rFonts w:eastAsiaTheme="minorHAnsi"/>
          <w:w w:val="100"/>
          <w:kern w:val="0"/>
          <w:lang w:val="en-AU"/>
        </w:rPr>
        <w:t>Parker</w:t>
      </w:r>
      <w:r w:rsidR="00925FB6">
        <w:rPr>
          <w:rFonts w:eastAsiaTheme="minorHAnsi"/>
          <w:w w:val="100"/>
          <w:kern w:val="0"/>
          <w:lang w:val="en-AU"/>
        </w:rPr>
        <w:t xml:space="preserve"> and</w:t>
      </w:r>
      <w:r w:rsidR="00925FB6" w:rsidRPr="00975B87">
        <w:rPr>
          <w:rFonts w:eastAsiaTheme="minorHAnsi"/>
          <w:w w:val="100"/>
          <w:kern w:val="0"/>
          <w:lang w:val="en-AU"/>
        </w:rPr>
        <w:t xml:space="preserve"> </w:t>
      </w:r>
      <w:proofErr w:type="spellStart"/>
      <w:r w:rsidR="00925FB6" w:rsidRPr="00975B87">
        <w:rPr>
          <w:rFonts w:eastAsiaTheme="minorHAnsi"/>
          <w:w w:val="100"/>
          <w:kern w:val="0"/>
          <w:lang w:val="en-AU"/>
        </w:rPr>
        <w:t>Drascher</w:t>
      </w:r>
      <w:proofErr w:type="spellEnd"/>
      <w:r w:rsidR="00925FB6" w:rsidRPr="00975B87">
        <w:rPr>
          <w:rFonts w:eastAsiaTheme="minorHAnsi"/>
          <w:w w:val="100"/>
          <w:kern w:val="0"/>
          <w:lang w:val="en-AU"/>
        </w:rPr>
        <w:t xml:space="preserve"> </w:t>
      </w:r>
      <w:r w:rsidR="00925FB6">
        <w:rPr>
          <w:rFonts w:eastAsiaTheme="minorHAnsi"/>
          <w:w w:val="100"/>
          <w:kern w:val="0"/>
          <w:lang w:val="en-AU"/>
        </w:rPr>
        <w:t>(</w:t>
      </w:r>
      <w:r w:rsidR="00925FB6" w:rsidRPr="00975B87">
        <w:rPr>
          <w:rFonts w:eastAsiaTheme="minorHAnsi"/>
          <w:w w:val="100"/>
          <w:kern w:val="0"/>
          <w:lang w:val="en-AU"/>
        </w:rPr>
        <w:t>2013)</w:t>
      </w:r>
      <w:r w:rsidR="00925FB6">
        <w:rPr>
          <w:rFonts w:eastAsiaTheme="minorHAnsi"/>
          <w:w w:val="100"/>
          <w:kern w:val="0"/>
          <w:lang w:val="en-AU"/>
        </w:rPr>
        <w:t xml:space="preserve"> indicate</w:t>
      </w:r>
      <w:r w:rsidR="00925FB6">
        <w:t xml:space="preserve"> </w:t>
      </w:r>
      <w:r w:rsidR="00721845">
        <w:t>if young people with significant disability do not engage in mainstream employment by age 21, it is unlikely that they ever w</w:t>
      </w:r>
      <w:r w:rsidR="00721845" w:rsidRPr="00AC364A">
        <w:t>ill</w:t>
      </w:r>
      <w:r w:rsidR="00925FB6">
        <w:t>.</w:t>
      </w:r>
      <w:r w:rsidR="004C36F7" w:rsidRPr="00003AA3">
        <w:t xml:space="preserve"> </w:t>
      </w:r>
    </w:p>
    <w:p w14:paraId="35D6C678" w14:textId="77777777" w:rsidR="000E4B7E" w:rsidRDefault="000E4B7E" w:rsidP="00331BBD">
      <w:r>
        <w:t xml:space="preserve">What happens in school is key to the long term economic and social participation of people with disability. Early intervention and career development makes a difference. Deloitte Access Economics </w:t>
      </w:r>
      <w:r w:rsidR="000921B9">
        <w:t>(2018)</w:t>
      </w:r>
      <w:r w:rsidR="00804BE4">
        <w:t xml:space="preserve"> </w:t>
      </w:r>
      <w:r>
        <w:t xml:space="preserve">identified that it is ‘crucial that young people with disability receive the support required to participate in the workforce as early as possible to drive effective long-term employment and </w:t>
      </w:r>
      <w:proofErr w:type="spellStart"/>
      <w:r>
        <w:t>maximise</w:t>
      </w:r>
      <w:proofErr w:type="spellEnd"/>
      <w:r>
        <w:t xml:space="preserve"> the benefits of improved standards of living and social inclusion that come with employment’</w:t>
      </w:r>
      <w:r w:rsidR="00F42D03">
        <w:t>.</w:t>
      </w:r>
    </w:p>
    <w:p w14:paraId="0B88A83D" w14:textId="77777777" w:rsidR="00716802" w:rsidRPr="00CF77A2" w:rsidRDefault="00716802" w:rsidP="00716802">
      <w:r w:rsidRPr="00CF77A2">
        <w:t xml:space="preserve">Australian students with disability </w:t>
      </w:r>
      <w:r>
        <w:t xml:space="preserve">often </w:t>
      </w:r>
      <w:r w:rsidRPr="00CF77A2">
        <w:t xml:space="preserve">face a pervasive culture of low expectations resulting in a lack of opportunities for genuine sustainable employment. Prolonged exposure to ‘horizon-limiting views and experiences’ may see these beliefs become </w:t>
      </w:r>
      <w:proofErr w:type="spellStart"/>
      <w:r w:rsidRPr="00CF77A2">
        <w:t>internalised</w:t>
      </w:r>
      <w:proofErr w:type="spellEnd"/>
      <w:r w:rsidRPr="00CF77A2">
        <w:t xml:space="preserve"> and the young person’s capacity to </w:t>
      </w:r>
      <w:proofErr w:type="spellStart"/>
      <w:r w:rsidRPr="00CF77A2">
        <w:lastRenderedPageBreak/>
        <w:t>recognise</w:t>
      </w:r>
      <w:proofErr w:type="spellEnd"/>
      <w:r w:rsidRPr="00CF77A2">
        <w:t xml:space="preserve"> their potential diminishes</w:t>
      </w:r>
      <w:r w:rsidR="00A15320">
        <w:t xml:space="preserve"> </w:t>
      </w:r>
      <w:r w:rsidR="00A15320">
        <w:fldChar w:fldCharType="begin"/>
      </w:r>
      <w:r w:rsidR="00A15320">
        <w:instrText xml:space="preserve"> ADDIN EN.CITE &lt;EndNote&gt;&lt;Cite&gt;&lt;Author&gt;PricewaterhouseCoopers Australia&lt;/Author&gt;&lt;Year&gt;2011&lt;/Year&gt;&lt;RecNum&gt;1854&lt;/RecNum&gt;&lt;DisplayText&gt;(PricewaterhouseCoopers Australia, 2011)&lt;/DisplayText&gt;&lt;record&gt;&lt;rec-number&gt;1854&lt;/rec-number&gt;&lt;foreign-keys&gt;&lt;key app="EN" db-id="afrvxfvzvvpp2tew2sbxfrtxszxsa992r2f0" timestamp="1598407369"&gt;1854&lt;/key&gt;&lt;/foreign-keys&gt;&lt;ref-type name="Report"&gt;27&lt;/ref-type&gt;&lt;contributors&gt;&lt;authors&gt;&lt;author&gt;PricewaterhouseCoopers Australia,&lt;/author&gt;&lt;/authors&gt;&lt;/contributors&gt;&lt;titles&gt;&lt;title&gt;Disability expectations: Investing in a better life, a stronger Australia&lt;/title&gt;&lt;/titles&gt;&lt;dates&gt;&lt;year&gt;2011&lt;/year&gt;&lt;/dates&gt;&lt;urls&gt;&lt;related-urls&gt;&lt;url&gt;https://www.pwc.com.au/industry/government/assets/disability-in-australia.pdf&lt;/url&gt;&lt;/related-urls&gt;&lt;/urls&gt;&lt;electronic-resource-num&gt;https://www.pwc.com.au/industry/government/assets/disability-in-australia.pdf&lt;/electronic-resource-num&gt;&lt;/record&gt;&lt;/Cite&gt;&lt;/EndNote&gt;</w:instrText>
      </w:r>
      <w:r w:rsidR="00A15320">
        <w:fldChar w:fldCharType="separate"/>
      </w:r>
      <w:r w:rsidR="00A15320">
        <w:rPr>
          <w:noProof/>
        </w:rPr>
        <w:t>(PricewaterhouseCoopers Australia, 2011)</w:t>
      </w:r>
      <w:r w:rsidR="00A15320">
        <w:fldChar w:fldCharType="end"/>
      </w:r>
      <w:r w:rsidRPr="00CF77A2">
        <w:t xml:space="preserve">. Along with the </w:t>
      </w:r>
      <w:r w:rsidR="00804BE4">
        <w:t xml:space="preserve">risk that </w:t>
      </w:r>
      <w:r w:rsidR="00E10DEB">
        <w:t xml:space="preserve">the </w:t>
      </w:r>
      <w:r w:rsidRPr="00CF77A2">
        <w:t xml:space="preserve">young person </w:t>
      </w:r>
      <w:r w:rsidR="00804BE4">
        <w:t>is not</w:t>
      </w:r>
      <w:r w:rsidRPr="00CF77A2">
        <w:t xml:space="preserve"> able to identify their potential, parents </w:t>
      </w:r>
      <w:r w:rsidR="00804BE4">
        <w:t xml:space="preserve">can </w:t>
      </w:r>
      <w:r w:rsidRPr="00CF77A2">
        <w:t xml:space="preserve">also lose the ability to see their child’s potential and, consequently, </w:t>
      </w:r>
      <w:r w:rsidR="00B02B58">
        <w:t>cannot</w:t>
      </w:r>
      <w:r w:rsidRPr="00CF77A2">
        <w:t xml:space="preserve"> support them to </w:t>
      </w:r>
      <w:r w:rsidR="0086738A">
        <w:t>achieve</w:t>
      </w:r>
      <w:r w:rsidR="00F01E1F">
        <w:t xml:space="preserve"> t</w:t>
      </w:r>
      <w:r w:rsidR="00B02B58">
        <w:t>heir goals</w:t>
      </w:r>
      <w:r w:rsidRPr="00CF77A2">
        <w:t>. Expectations of parents are critical in the success of transition from school to work for young people with disability</w:t>
      </w:r>
      <w:r w:rsidR="00DD4D3C">
        <w:t xml:space="preserve"> </w:t>
      </w:r>
      <w:r w:rsidR="00DD4D3C">
        <w:fldChar w:fldCharType="begin"/>
      </w:r>
      <w:r w:rsidR="00DD4D3C">
        <w:instrText xml:space="preserve"> ADDIN EN.CITE &lt;EndNote&gt;&lt;Cite&gt;&lt;Author&gt;Carter&lt;/Author&gt;&lt;Year&gt;2012&lt;/Year&gt;&lt;RecNum&gt;1761&lt;/RecNum&gt;&lt;DisplayText&gt;(Carter, Austin, &amp;amp; Trainor, 2012; Gilson, Carter, Bumble, &amp;amp; McMillan, 2018)&lt;/DisplayText&gt;&lt;record&gt;&lt;rec-number&gt;1761&lt;/rec-number&gt;&lt;foreign-keys&gt;&lt;key app="EN" db-id="afrvxfvzvvpp2tew2sbxfrtxszxsa992r2f0" timestamp="1585270510"&gt;1761&lt;/key&gt;&lt;/foreign-keys&gt;&lt;ref-type name="Journal Article"&gt;17&lt;/ref-type&gt;&lt;contributors&gt;&lt;authors&gt;&lt;author&gt;Carter, Erik W&lt;/author&gt;&lt;author&gt;Austin, Diane&lt;/author&gt;&lt;author&gt;Trainor, Audrey A&lt;/author&gt;&lt;/authors&gt;&lt;/contributors&gt;&lt;titles&gt;&lt;title&gt;Predictors of postschool employment outcomes for young adults with severe disabilities&lt;/title&gt;&lt;secondary-title&gt;Journal of disability policy studies&lt;/secondary-title&gt;&lt;/titles&gt;&lt;periodical&gt;&lt;full-title&gt;Journal of Disability Policy Studies&lt;/full-title&gt;&lt;/periodical&gt;&lt;pages&gt;50-63&lt;/pages&gt;&lt;volume&gt;23&lt;/volume&gt;&lt;number&gt;1&lt;/number&gt;&lt;dates&gt;&lt;year&gt;2012&lt;/year&gt;&lt;/dates&gt;&lt;isbn&gt;1044-2073&lt;/isbn&gt;&lt;urls&gt;&lt;/urls&gt;&lt;/record&gt;&lt;/Cite&gt;&lt;Cite&gt;&lt;Author&gt;Gilson&lt;/Author&gt;&lt;Year&gt;2018&lt;/Year&gt;&lt;RecNum&gt;1760&lt;/RecNum&gt;&lt;record&gt;&lt;rec-number&gt;1760&lt;/rec-number&gt;&lt;foreign-keys&gt;&lt;key app="EN" db-id="afrvxfvzvvpp2tew2sbxfrtxszxsa992r2f0" timestamp="1585270396"&gt;1760&lt;/key&gt;&lt;/foreign-keys&gt;&lt;ref-type name="Journal Article"&gt;17&lt;/ref-type&gt;&lt;contributors&gt;&lt;authors&gt;&lt;author&gt;Gilson, Carly B&lt;/author&gt;&lt;author&gt;Carter, Erik W&lt;/author&gt;&lt;author&gt;Bumble, Jennifer L&lt;/author&gt;&lt;author&gt;McMillan, Elise D&lt;/author&gt;&lt;/authors&gt;&lt;/contributors&gt;&lt;titles&gt;&lt;title&gt;Family perspectives on integrated employment for adults with intellectual and developmental disabilities&lt;/title&gt;&lt;secondary-title&gt;Research and Practice for Persons with Severe Disabilities&lt;/secondary-title&gt;&lt;/titles&gt;&lt;periodical&gt;&lt;full-title&gt;Research and Practice for Persons with Severe Disabilities&lt;/full-title&gt;&lt;/periodical&gt;&lt;pages&gt;20-37&lt;/pages&gt;&lt;volume&gt;43&lt;/volume&gt;&lt;number&gt;1&lt;/number&gt;&lt;dates&gt;&lt;year&gt;2018&lt;/year&gt;&lt;/dates&gt;&lt;isbn&gt;1540-7969&lt;/isbn&gt;&lt;urls&gt;&lt;/urls&gt;&lt;/record&gt;&lt;/Cite&gt;&lt;/EndNote&gt;</w:instrText>
      </w:r>
      <w:r w:rsidR="00DD4D3C">
        <w:fldChar w:fldCharType="separate"/>
      </w:r>
      <w:r w:rsidR="00DD4D3C">
        <w:rPr>
          <w:noProof/>
        </w:rPr>
        <w:t>(Carter, Austin, &amp; Trainor, 2012; Gilson, Carter, Bumble, &amp; McMillan, 2018)</w:t>
      </w:r>
      <w:r w:rsidR="00DD4D3C">
        <w:fldChar w:fldCharType="end"/>
      </w:r>
      <w:r w:rsidRPr="00CF77A2">
        <w:t xml:space="preserve">. </w:t>
      </w:r>
      <w:r w:rsidR="003570AD">
        <w:t>According to the Executive Summary of Victorian Equal Opportunity and Human Rights Commission (2012</w:t>
      </w:r>
      <w:proofErr w:type="gramStart"/>
      <w:r w:rsidR="003570AD">
        <w:t>) ”a</w:t>
      </w:r>
      <w:proofErr w:type="gramEnd"/>
      <w:r w:rsidR="003570AD">
        <w:t xml:space="preserve"> poor education is one of the key reasons why the economic and social participation rate of people with disabilities is so low.’</w:t>
      </w:r>
    </w:p>
    <w:p w14:paraId="14AAD9F2" w14:textId="77777777" w:rsidR="002D5811" w:rsidRPr="00CF77A2" w:rsidRDefault="0021795A" w:rsidP="002D5811">
      <w:r>
        <w:t>All youn</w:t>
      </w:r>
      <w:r w:rsidR="002D5811" w:rsidRPr="00CF77A2">
        <w:t>g people</w:t>
      </w:r>
      <w:r>
        <w:t>,</w:t>
      </w:r>
      <w:r w:rsidR="002D5811" w:rsidRPr="00CF77A2">
        <w:t xml:space="preserve"> at the age of 14 should begin to receive an ‘employment first’ approach</w:t>
      </w:r>
      <w:r>
        <w:t xml:space="preserve"> </w:t>
      </w:r>
      <w:r w:rsidR="00B02B58">
        <w:t>to</w:t>
      </w:r>
      <w:r>
        <w:t xml:space="preserve"> their education</w:t>
      </w:r>
      <w:r w:rsidR="002D5811" w:rsidRPr="00CF77A2">
        <w:t>, regardless of disability. An ‘employment first’ approach is the preeminent vocational disability practice in many overseas countries</w:t>
      </w:r>
      <w:r w:rsidR="002D0029">
        <w:t xml:space="preserve"> </w:t>
      </w:r>
      <w:r w:rsidR="00A33EFF">
        <w:fldChar w:fldCharType="begin"/>
      </w:r>
      <w:r w:rsidR="00A33EFF">
        <w:instrText xml:space="preserve"> ADDIN EN.CITE &lt;EndNote&gt;&lt;Cite&gt;&lt;Author&gt;Blamires&lt;/Author&gt;&lt;Year&gt;2015&lt;/Year&gt;&lt;RecNum&gt;1735&lt;/RecNum&gt;&lt;DisplayText&gt;(Blamires, 2015; Monteleone, 2016)&lt;/DisplayText&gt;&lt;record&gt;&lt;rec-number&gt;1735&lt;/rec-number&gt;&lt;foreign-keys&gt;&lt;key app="EN" db-id="afrvxfvzvvpp2tew2sbxfrtxszxsa992r2f0" timestamp="1585205283"&gt;1735&lt;/key&gt;&lt;/foreign-keys&gt;&lt;ref-type name="Journal Article"&gt;17&lt;/ref-type&gt;&lt;contributors&gt;&lt;authors&gt;&lt;author&gt;Blamires, Kate&lt;/author&gt;&lt;/authors&gt;&lt;/contributors&gt;&lt;titles&gt;&lt;title&gt;A summary of government initiatives relating to employment for people with learning disabilities in England&lt;/title&gt;&lt;secondary-title&gt;Tizard Learning Disability Review&lt;/secondary-title&gt;&lt;/titles&gt;&lt;periodical&gt;&lt;full-title&gt;Tizard Learning Disability Review&lt;/full-title&gt;&lt;/periodical&gt;&lt;dates&gt;&lt;year&gt;2015&lt;/year&gt;&lt;/dates&gt;&lt;urls&gt;&lt;/urls&gt;&lt;/record&gt;&lt;/Cite&gt;&lt;Cite&gt;&lt;Author&gt;Monteleone&lt;/Author&gt;&lt;Year&gt;2016&lt;/Year&gt;&lt;RecNum&gt;1736&lt;/RecNum&gt;&lt;record&gt;&lt;rec-number&gt;1736&lt;/rec-number&gt;&lt;foreign-keys&gt;&lt;key app="EN" db-id="afrvxfvzvvpp2tew2sbxfrtxszxsa992r2f0" timestamp="1585205453"&gt;1736&lt;/key&gt;&lt;/foreign-keys&gt;&lt;ref-type name="Journal Article"&gt;17&lt;/ref-type&gt;&lt;contributors&gt;&lt;authors&gt;&lt;author&gt;Monteleone, Rebecca&lt;/author&gt;&lt;/authors&gt;&lt;/contributors&gt;&lt;titles&gt;&lt;title&gt;Employment for all: United States disability policy&lt;/title&gt;&lt;secondary-title&gt;Tizard Learning Disability Review&lt;/secondary-title&gt;&lt;/titles&gt;&lt;periodical&gt;&lt;full-title&gt;Tizard Learning Disability Review&lt;/full-title&gt;&lt;/periodical&gt;&lt;dates&gt;&lt;year&gt;2016&lt;/year&gt;&lt;/dates&gt;&lt;urls&gt;&lt;/urls&gt;&lt;/record&gt;&lt;/Cite&gt;&lt;/EndNote&gt;</w:instrText>
      </w:r>
      <w:r w:rsidR="00A33EFF">
        <w:fldChar w:fldCharType="separate"/>
      </w:r>
      <w:r w:rsidR="00A33EFF">
        <w:rPr>
          <w:noProof/>
        </w:rPr>
        <w:t>(Blamires, 2015; Monteleone, 2016)</w:t>
      </w:r>
      <w:r w:rsidR="00A33EFF">
        <w:fldChar w:fldCharType="end"/>
      </w:r>
      <w:r w:rsidR="002D5811" w:rsidRPr="00CF77A2">
        <w:t>. This approach is directed at the transition from school stage, whereby “employment is the first and preferred option when exploring goals and a life path for citizens with disabilities” and “young people with disabilities have work experiences that are typical of other teenagers and young adults</w:t>
      </w:r>
      <w:r w:rsidR="00017614">
        <w:t xml:space="preserve"> </w:t>
      </w:r>
      <w:r w:rsidR="00017614">
        <w:fldChar w:fldCharType="begin"/>
      </w:r>
      <w:r w:rsidR="00017614">
        <w:instrText xml:space="preserve"> ADDIN EN.CITE &lt;EndNote&gt;&lt;Cite&gt;&lt;Author&gt;APSE Executive Board&lt;/Author&gt;&lt;Year&gt;2010&lt;/Year&gt;&lt;RecNum&gt;1731&lt;/RecNum&gt;&lt;DisplayText&gt;(APSE Executive Board, 2010)&lt;/DisplayText&gt;&lt;record&gt;&lt;rec-number&gt;1731&lt;/rec-number&gt;&lt;foreign-keys&gt;&lt;key app="EN" db-id="afrvxfvzvvpp2tew2sbxfrtxszxsa992r2f0" timestamp="1585123048"&gt;1731&lt;/key&gt;&lt;/foreign-keys&gt;&lt;ref-type name="Report"&gt;27&lt;/ref-type&gt;&lt;contributors&gt;&lt;authors&gt;&lt;author&gt;APSE Executive Board,&lt;/author&gt;&lt;/authors&gt;&lt;/contributors&gt;&lt;titles&gt;&lt;title&gt;‘Statement on Employment First’, 11 October 2010 &lt;/title&gt;&lt;/titles&gt;&lt;dates&gt;&lt;year&gt;2010&lt;/year&gt;&lt;/dates&gt;&lt;urls&gt;&lt;related-urls&gt;&lt;url&gt;www.apse.org/employment-first/statement/&lt;/url&gt;&lt;/related-urls&gt;&lt;/urls&gt;&lt;/record&gt;&lt;/Cite&gt;&lt;/EndNote&gt;</w:instrText>
      </w:r>
      <w:r w:rsidR="00017614">
        <w:fldChar w:fldCharType="separate"/>
      </w:r>
      <w:r w:rsidR="00017614">
        <w:rPr>
          <w:noProof/>
        </w:rPr>
        <w:t>(APSE Executive Board, 2010)</w:t>
      </w:r>
      <w:r w:rsidR="00017614">
        <w:fldChar w:fldCharType="end"/>
      </w:r>
      <w:r w:rsidR="002D5811" w:rsidRPr="00CF77A2">
        <w:t>”.</w:t>
      </w:r>
    </w:p>
    <w:p w14:paraId="7977CBB6" w14:textId="77777777" w:rsidR="006F6B41" w:rsidRPr="009A78DC" w:rsidRDefault="006F6B41" w:rsidP="007E2BA1">
      <w:r>
        <w:t>P</w:t>
      </w:r>
      <w:r w:rsidRPr="000D5C12">
        <w:t>articipation in Vocational Education and Training (VET)</w:t>
      </w:r>
      <w:r>
        <w:t xml:space="preserve"> is an effective means of ensuring young people with disability</w:t>
      </w:r>
      <w:r w:rsidR="00804BE4">
        <w:t xml:space="preserve"> have</w:t>
      </w:r>
      <w:r>
        <w:t xml:space="preserve"> a pathway to employment. </w:t>
      </w:r>
      <w:r w:rsidRPr="000D5C12">
        <w:t xml:space="preserve">Amongst the key findings of </w:t>
      </w:r>
      <w:r w:rsidRPr="000D5C12">
        <w:fldChar w:fldCharType="begin"/>
      </w:r>
      <w:r w:rsidRPr="000D5C12">
        <w:instrText xml:space="preserve"> ADDIN EN.CITE &lt;EndNote&gt;&lt;Cite AuthorYear="1"&gt;&lt;Author&gt;Polidano&lt;/Author&gt;&lt;Year&gt;2010&lt;/Year&gt;&lt;RecNum&gt;1793&lt;/RecNum&gt;&lt;DisplayText&gt;Polidano and Mavromaras (2010)&lt;/DisplayText&gt;&lt;record&gt;&lt;rec-number&gt;1793&lt;/rec-number&gt;&lt;foreign-keys&gt;&lt;key app="EN" db-id="afrvxfvzvvpp2tew2sbxfrtxszxsa992r2f0" timestamp="1588561825"&gt;1793&lt;/key&gt;&lt;/foreign-keys&gt;&lt;ref-type name="Report"&gt;27&lt;/ref-type&gt;&lt;contributors&gt;&lt;authors&gt;&lt;author&gt;Polidano, Cain&lt;/author&gt;&lt;author&gt;Mavromaras, Kostas&lt;/author&gt;&lt;/authors&gt;&lt;/contributors&gt;&lt;titles&gt;&lt;title&gt;The Role of Vocational Education and Training in the Labour Market Outcomes of People with Disabilities. &lt;/title&gt;&lt;/titles&gt;&lt;dates&gt;&lt;year&gt;2010&lt;/year&gt;&lt;/dates&gt;&lt;publisher&gt;NCVER&lt;/publisher&gt;&lt;isbn&gt;1921413654&lt;/isbn&gt;&lt;urls&gt;&lt;related-urls&gt;&lt;url&gt;https://www.ncver.edu.au/research-and-statistics/publications/all-publications/the-role-of-vocational-education-and-training-in-the-labour-market-outcomes-of-people-with-disabilities&lt;/url&gt;&lt;/related-urls&gt;&lt;/urls&gt;&lt;/record&gt;&lt;/Cite&gt;&lt;/EndNote&gt;</w:instrText>
      </w:r>
      <w:r w:rsidRPr="000D5C12">
        <w:fldChar w:fldCharType="separate"/>
      </w:r>
      <w:r w:rsidRPr="000D5C12">
        <w:rPr>
          <w:noProof/>
        </w:rPr>
        <w:t>Polidano and Mavromaras (2010)</w:t>
      </w:r>
      <w:r w:rsidRPr="000D5C12">
        <w:fldChar w:fldCharType="end"/>
      </w:r>
      <w:r w:rsidRPr="000D5C12">
        <w:t xml:space="preserve">, VET completion significantly improves the likelihood of people with disability both obtaining and retaining employment. These authors claim unemployed people with disability increase their likelihood of obtaining employment from 9% to 29% upon completion of a VET Certificate III level or above course. </w:t>
      </w:r>
    </w:p>
    <w:p w14:paraId="03CF0B2B" w14:textId="77777777" w:rsidR="006F6B41" w:rsidRDefault="006F6B41" w:rsidP="007E2BA1">
      <w:r w:rsidRPr="000D5C12">
        <w:t xml:space="preserve">Work based learning encompassing both formal qualifications and work experience is a beneficial strategy for people with disability </w:t>
      </w:r>
      <w:r w:rsidR="006B0BB6">
        <w:t xml:space="preserve">to </w:t>
      </w:r>
      <w:r w:rsidRPr="000D5C12">
        <w:t>gain</w:t>
      </w:r>
      <w:r w:rsidR="006B0BB6">
        <w:t xml:space="preserve"> </w:t>
      </w:r>
      <w:r w:rsidRPr="000D5C12">
        <w:t xml:space="preserve">access to employment </w:t>
      </w:r>
      <w:r w:rsidRPr="000D5C12">
        <w:fldChar w:fldCharType="begin">
          <w:fldData xml:space="preserve">PEVuZE5vdGU+PENpdGU+PEF1dGhvcj5MZXdpczwvQXV0aG9yPjxZZWFyPjIwMTFhPC9ZZWFyPjxS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</w:fldData>
        </w:fldChar>
      </w:r>
      <w:r w:rsidRPr="000D5C12">
        <w:instrText xml:space="preserve"> ADDIN EN.CITE </w:instrText>
      </w:r>
      <w:r w:rsidRPr="000D5C12">
        <w:fldChar w:fldCharType="begin">
          <w:fldData xml:space="preserve">PEVuZE5vdGU+PENpdGU+PEF1dGhvcj5MZXdpczwvQXV0aG9yPjxZZWFyPjIwMTFhPC9ZZWFyPjxS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</w:fldData>
        </w:fldChar>
      </w:r>
      <w:r w:rsidRPr="000D5C12">
        <w:instrText xml:space="preserve"> ADDIN EN.CITE.DATA </w:instrText>
      </w:r>
      <w:r w:rsidRPr="000D5C12">
        <w:fldChar w:fldCharType="end"/>
      </w:r>
      <w:r w:rsidRPr="000D5C12">
        <w:fldChar w:fldCharType="separate"/>
      </w:r>
      <w:r w:rsidRPr="000D5C12">
        <w:rPr>
          <w:noProof/>
        </w:rPr>
        <w:t>(Lewis, Thoresen, &amp; Cocks, 2011a, 2011b)</w:t>
      </w:r>
      <w:r w:rsidRPr="000D5C12">
        <w:fldChar w:fldCharType="end"/>
      </w:r>
      <w:r w:rsidRPr="000D5C12">
        <w:t xml:space="preserve">. A three year longitudinal study undertaken by </w:t>
      </w:r>
      <w:r w:rsidRPr="000D5C12">
        <w:fldChar w:fldCharType="begin"/>
      </w:r>
      <w:r w:rsidRPr="000D5C12">
        <w:instrText xml:space="preserve"> ADDIN EN.CITE &lt;EndNote&gt;&lt;Cite AuthorYear="1"&gt;&lt;Author&gt;Thoresen&lt;/Author&gt;&lt;Year&gt;2019&lt;/Year&gt;&lt;RecNum&gt;1795&lt;/RecNum&gt;&lt;DisplayText&gt;Thoresen, Cocks, and Parsons (2019)&lt;/DisplayText&gt;&lt;record&gt;&lt;rec-number&gt;1795&lt;/rec-number&gt;&lt;foreign-keys&gt;&lt;key app="EN" db-id="afrvxfvzvvpp2tew2sbxfrtxszxsa992r2f0" timestamp="1588567021"&gt;1795&lt;/key&gt;&lt;/foreign-keys&gt;&lt;ref-type name="Journal Article"&gt;17&lt;/ref-type&gt;&lt;contributors&gt;&lt;authors&gt;&lt;author&gt;Thoresen, Stian H.&lt;/author&gt;&lt;author&gt;Cocks, Errol&lt;/author&gt;&lt;author&gt;Parsons, Richard&lt;/author&gt;&lt;/authors&gt;&lt;/contributors&gt;&lt;titles&gt;&lt;title&gt;Three Year Longitudinal Study of Graduate Employment Outcomes for Australian Apprentices and Trainees with and without Disabilities&lt;/title&gt;&lt;secondary-title&gt;International Journal of Disability, Development and Education&lt;/secondary-title&gt;&lt;/titles&gt;&lt;periodical&gt;&lt;full-title&gt;International Journal of Disability, Development and Education&lt;/full-title&gt;&lt;/periodical&gt;&lt;pages&gt;1-15&lt;/pages&gt;&lt;dates&gt;&lt;year&gt;2019&lt;/year&gt;&lt;/dates&gt;&lt;isbn&gt;1034-912X&lt;/isbn&gt;&lt;urls&gt;&lt;/urls&gt;&lt;electronic-resource-num&gt;10.1080/1034912X.2019.1699648&lt;/electronic-resource-num&gt;&lt;/record&gt;&lt;/Cite&gt;&lt;/EndNote&gt;</w:instrText>
      </w:r>
      <w:r w:rsidRPr="000D5C12">
        <w:fldChar w:fldCharType="separate"/>
      </w:r>
      <w:r w:rsidRPr="000D5C12">
        <w:rPr>
          <w:noProof/>
        </w:rPr>
        <w:t>Thoresen, Cocks, and Parsons (2019)</w:t>
      </w:r>
      <w:r w:rsidRPr="000D5C12">
        <w:fldChar w:fldCharType="end"/>
      </w:r>
      <w:r w:rsidRPr="000D5C12">
        <w:t xml:space="preserve"> demonstrates substantial benefits of VET traineeships and apprenticeships. </w:t>
      </w:r>
    </w:p>
    <w:p w14:paraId="38EC2273" w14:textId="77777777" w:rsidR="006F6B41" w:rsidRDefault="006F6B41" w:rsidP="007E2BA1">
      <w:r w:rsidRPr="000D5C12">
        <w:t xml:space="preserve">Despite these clear benefits from participation in VET, people with disability have low rates of participation, only 4% in 2008 </w:t>
      </w:r>
      <w:r w:rsidRPr="000D5C12">
        <w:fldChar w:fldCharType="begin"/>
      </w:r>
      <w:r w:rsidRPr="000D5C12">
        <w:instrText xml:space="preserve"> ADDIN EN.CITE &lt;EndNote&gt;&lt;Cite&gt;&lt;Author&gt;McVicar&lt;/Author&gt;&lt;Year&gt;2016&lt;/Year&gt;&lt;RecNum&gt;1800&lt;/RecNum&gt;&lt;DisplayText&gt;(McVicar &amp;amp;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0D5C12">
        <w:fldChar w:fldCharType="separate"/>
      </w:r>
      <w:r w:rsidRPr="000D5C12">
        <w:rPr>
          <w:noProof/>
        </w:rPr>
        <w:t>(McVicar &amp; Tabasso, 2016)</w:t>
      </w:r>
      <w:r w:rsidRPr="000D5C12">
        <w:fldChar w:fldCharType="end"/>
      </w:r>
      <w:r w:rsidRPr="000D5C12">
        <w:t xml:space="preserve">. </w:t>
      </w:r>
      <w:r w:rsidRPr="000D5C12">
        <w:fldChar w:fldCharType="begin"/>
      </w:r>
      <w:r w:rsidRPr="000D5C12">
        <w:instrText xml:space="preserve"> ADDIN EN.CITE &lt;EndNote&gt;&lt;Cite AuthorYear="1"&gt;&lt;Author&gt;Cavallaro&lt;/Author&gt;&lt;Year&gt;2005&lt;/Year&gt;&lt;RecNum&gt;1796&lt;/RecNum&gt;&lt;DisplayText&gt;Cavallaro, Foley, Saunders, and Bowman (2005)&lt;/DisplayText&gt;&lt;record&gt;&lt;rec-number&gt;1796&lt;/rec-number&gt;&lt;foreign-keys&gt;&lt;key app="EN" db-id="afrvxfvzvvpp2tew2sbxfrtxszxsa992r2f0" timestamp="1588652615"&gt;1796&lt;/key&gt;&lt;/foreign-keys&gt;&lt;ref-type name="Book"&gt;6&lt;/ref-type&gt;&lt;contributors&gt;&lt;authors&gt;&lt;author&gt;Cavallaro, Toni&lt;/author&gt;&lt;author&gt;Foley, Paul&lt;/author&gt;&lt;author&gt;Saunders, John&lt;/author&gt;&lt;author&gt;Bowman, Kaye&lt;/author&gt;&lt;/authors&gt;&lt;/contributors&gt;&lt;titles&gt;&lt;title&gt;People with a disability in vocational education and training: a statistical compendium&lt;/title&gt;&lt;/titles&gt;&lt;pages&gt;51&lt;/pages&gt;&lt;keywords&gt;&lt;keyword&gt;Disability&lt;/keyword&gt;&lt;keyword&gt;Vocational Education&lt;/keyword&gt;&lt;keyword&gt;Training&lt;/keyword&gt;&lt;keyword&gt;Statistics&lt;/keyword&gt;&lt;keyword&gt;Indigenous People&lt;/keyword&gt;&lt;/keywords&gt;&lt;dates&gt;&lt;year&gt;2005&lt;/year&gt;&lt;/dates&gt;&lt;pub-location&gt;SA&lt;/pub-location&gt;&lt;publisher&gt;Adelaide, SA: National Centre for Vocational Education Research&lt;/publisher&gt;&lt;urls&gt;&lt;/urls&gt;&lt;/record&gt;&lt;/Cite&gt;&lt;/EndNote&gt;</w:instrText>
      </w:r>
      <w:r w:rsidRPr="000D5C12">
        <w:fldChar w:fldCharType="separate"/>
      </w:r>
      <w:r w:rsidRPr="000D5C12">
        <w:rPr>
          <w:noProof/>
        </w:rPr>
        <w:t>Cavallaro, Foley, Saunders, and Bowman (2005)</w:t>
      </w:r>
      <w:r w:rsidRPr="000D5C12">
        <w:fldChar w:fldCharType="end"/>
      </w:r>
      <w:r w:rsidRPr="000D5C12">
        <w:t xml:space="preserve"> found this cohort of students are more likely to undertake Cert I or II level courses and not go on to the higher qualifications that are more likely to lead to employment outcomes </w:t>
      </w:r>
      <w:r w:rsidRPr="000D5C12">
        <w:fldChar w:fldCharType="begin"/>
      </w:r>
      <w:r w:rsidRPr="000D5C12">
        <w:instrText xml:space="preserve"> ADDIN EN.CITE &lt;EndNote&gt;&lt;Cite&gt;&lt;Author&gt;Karmel&lt;/Author&gt;&lt;Year&gt;2019&lt;/Year&gt;&lt;RecNum&gt;1799&lt;/RecNum&gt;&lt;DisplayText&gt;(Karmel, 2019)&lt;/DisplayText&gt;&lt;record&gt;&lt;rec-number&gt;1799&lt;/rec-number&gt;&lt;foreign-keys&gt;&lt;key app="EN" db-id="afrvxfvzvvpp2tew2sbxfrtxszxsa992r2f0" timestamp="1588749901"&gt;1799&lt;/key&gt;&lt;/foreign-keys&gt;&lt;ref-type name="Report"&gt;27&lt;/ref-type&gt;&lt;contributors&gt;&lt;authors&gt;&lt;author&gt;Karmel, Tom&lt;/author&gt;&lt;/authors&gt;&lt;/contributors&gt;&lt;titles&gt;&lt;title&gt;Certificates I and II in post-school VET: some preliminary work&lt;/title&gt;&lt;/titles&gt;&lt;dates&gt;&lt;year&gt;2019&lt;/year&gt;&lt;/dates&gt;&lt;urls&gt;&lt;related-urls&gt;&lt;url&gt;https://holmesglen.edu.au/Holmesglen/media/PDFs/Certificates_I_and_II_in_post-school_VET-1.pdf&lt;/url&gt;&lt;/related-urls&gt;&lt;/urls&gt;&lt;/record&gt;&lt;/Cite&gt;&lt;/EndNote&gt;</w:instrText>
      </w:r>
      <w:r w:rsidRPr="000D5C12">
        <w:fldChar w:fldCharType="separate"/>
      </w:r>
      <w:r w:rsidRPr="000D5C12">
        <w:rPr>
          <w:noProof/>
        </w:rPr>
        <w:t>(Karmel, 2019)</w:t>
      </w:r>
      <w:r w:rsidRPr="000D5C12">
        <w:fldChar w:fldCharType="end"/>
      </w:r>
      <w:r w:rsidRPr="000D5C12">
        <w:t xml:space="preserve">. </w:t>
      </w:r>
    </w:p>
    <w:p w14:paraId="55F26799" w14:textId="77777777" w:rsidR="006F6B41" w:rsidRPr="000D5C12" w:rsidRDefault="006F6B41" w:rsidP="007E2BA1">
      <w:r w:rsidRPr="000D5C12">
        <w:t xml:space="preserve">The measurement of completion rates is complex and </w:t>
      </w:r>
      <w:r w:rsidR="00043A7B">
        <w:t xml:space="preserve">are </w:t>
      </w:r>
      <w:proofErr w:type="spellStart"/>
      <w:r w:rsidRPr="000D5C12">
        <w:t>depend</w:t>
      </w:r>
      <w:r w:rsidR="00043A7B">
        <w:t>ant</w:t>
      </w:r>
      <w:proofErr w:type="spellEnd"/>
      <w:r w:rsidRPr="000D5C12">
        <w:t xml:space="preserve"> upon a range of variables </w:t>
      </w:r>
      <w:r w:rsidR="00923A41">
        <w:t>that</w:t>
      </w:r>
      <w:r w:rsidRPr="000D5C12">
        <w:t xml:space="preserve"> include the type of disability </w:t>
      </w:r>
      <w:r w:rsidR="00923A41">
        <w:t>which</w:t>
      </w:r>
      <w:r w:rsidRPr="000D5C12">
        <w:t xml:space="preserve"> intersect with other variables such as low socioeconomic status </w:t>
      </w:r>
      <w:r w:rsidRPr="000D5C12">
        <w:fldChar w:fldCharType="begin"/>
      </w:r>
      <w:r w:rsidRPr="000D5C12">
        <w:instrText xml:space="preserve"> ADDIN EN.CITE &lt;EndNote&gt;&lt;Cite&gt;&lt;Author&gt;McVicar&lt;/Author&gt;&lt;Year&gt;2016&lt;/Year&gt;&lt;RecNum&gt;1800&lt;/RecNum&gt;&lt;DisplayText&gt;(McVicar &amp;amp;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0D5C12">
        <w:fldChar w:fldCharType="separate"/>
      </w:r>
      <w:r w:rsidRPr="000D5C12">
        <w:rPr>
          <w:noProof/>
        </w:rPr>
        <w:t>(McVicar &amp; Tabasso, 2016)</w:t>
      </w:r>
      <w:r w:rsidRPr="000D5C12">
        <w:fldChar w:fldCharType="end"/>
      </w:r>
      <w:r w:rsidRPr="000D5C12">
        <w:t xml:space="preserve">. </w:t>
      </w:r>
      <w:r w:rsidRPr="000D5C12">
        <w:fldChar w:fldCharType="begin"/>
      </w:r>
      <w:r w:rsidRPr="000D5C12">
        <w:instrText xml:space="preserve"> ADDIN EN.CITE &lt;EndNote&gt;&lt;Cite AuthorYear="1"&gt;&lt;Author&gt;Karmel&lt;/Author&gt;&lt;Year&gt;2019&lt;/Year&gt;&lt;RecNum&gt;1799&lt;/RecNum&gt;&lt;DisplayText&gt;Karmel (2019)&lt;/DisplayText&gt;&lt;record&gt;&lt;rec-number&gt;1799&lt;/rec-number&gt;&lt;foreign-keys&gt;&lt;key app="EN" db-id="afrvxfvzvvpp2tew2sbxfrtxszxsa992r2f0" timestamp="1588749901"&gt;1799&lt;/key&gt;&lt;/foreign-keys&gt;&lt;ref-type name="Report"&gt;27&lt;/ref-type&gt;&lt;contributors&gt;&lt;authors&gt;&lt;author&gt;Karmel, Tom&lt;/author&gt;&lt;/authors&gt;&lt;/contributors&gt;&lt;titles&gt;&lt;title&gt;Certificates I and II in post-school VET: some preliminary work&lt;/title&gt;&lt;/titles&gt;&lt;dates&gt;&lt;year&gt;2019&lt;/year&gt;&lt;/dates&gt;&lt;urls&gt;&lt;related-urls&gt;&lt;url&gt;https://holmesglen.edu.au/Holmesglen/media/PDFs/Certificates_I_and_II_in_post-school_VET-1.pdf&lt;/url&gt;&lt;/related-urls&gt;&lt;/urls&gt;&lt;/record&gt;&lt;/Cite&gt;&lt;/EndNote&gt;</w:instrText>
      </w:r>
      <w:r w:rsidRPr="000D5C12">
        <w:fldChar w:fldCharType="separate"/>
      </w:r>
      <w:r w:rsidRPr="000D5C12">
        <w:rPr>
          <w:noProof/>
        </w:rPr>
        <w:t>Karmel (2019)</w:t>
      </w:r>
      <w:r w:rsidRPr="000D5C12">
        <w:fldChar w:fldCharType="end"/>
      </w:r>
      <w:r w:rsidRPr="000D5C12">
        <w:t xml:space="preserve"> indicates the overall data shows low completion rates and questionable employment outcomes for those completing these courses, including students with disability. </w:t>
      </w:r>
    </w:p>
    <w:p w14:paraId="4F7D3FE8" w14:textId="77777777" w:rsidR="006F6B41" w:rsidRPr="00346B42" w:rsidRDefault="006F6B41" w:rsidP="007E2BA1">
      <w:pPr>
        <w:rPr>
          <w:rFonts w:ascii="Average Sans" w:hAnsi="Average Sans"/>
          <w:color w:val="231F20"/>
        </w:rPr>
      </w:pPr>
      <w:r w:rsidRPr="000D5C12">
        <w:fldChar w:fldCharType="begin"/>
      </w:r>
      <w:r w:rsidRPr="000D5C12">
        <w:instrText xml:space="preserve"> ADDIN EN.CITE &lt;EndNote&gt;&lt;Cite AuthorYear="1"&gt;&lt;Author&gt;McVicar&lt;/Author&gt;&lt;Year&gt;2016&lt;/Year&gt;&lt;RecNum&gt;1800&lt;/RecNum&gt;&lt;DisplayText&gt;McVicar and Tabasso (2016)&lt;/DisplayText&gt;&lt;record&gt;&lt;rec-number&gt;1800&lt;/rec-number&gt;&lt;foreign-keys&gt;&lt;key app="EN" db-id="afrvxfvzvvpp2tew2sbxfrtxszxsa992r2f0" timestamp="1588751215"&gt;1800&lt;/key&gt;&lt;/foreign-keys&gt;&lt;ref-type name="Report"&gt;27&lt;/ref-type&gt;&lt;contributors&gt;&lt;authors&gt;&lt;author&gt;McVicar, Duncan&lt;/author&gt;&lt;author&gt;Tabasso, Domenico&lt;/author&gt;&lt;/authors&gt;&lt;/contributors&gt;&lt;titles&gt;&lt;title&gt;The Impact of Disadvantage on VET Completion and Employment Gaps. Research Report&lt;/title&gt;&lt;/titles&gt;&lt;dates&gt;&lt;year&gt;2016&lt;/year&gt;&lt;/dates&gt;&lt;publisher&gt;NCVER&lt;/publisher&gt;&lt;isbn&gt;1925173240&lt;/isbn&gt;&lt;urls&gt;&lt;related-urls&gt;&lt;url&gt;https://files.eric.ed.gov/fulltext/ED565435.pdf&lt;/url&gt;&lt;/related-urls&gt;&lt;/urls&gt;&lt;/record&gt;&lt;/Cite&gt;&lt;/EndNote&gt;</w:instrText>
      </w:r>
      <w:r w:rsidRPr="000D5C12">
        <w:fldChar w:fldCharType="separate"/>
      </w:r>
      <w:r w:rsidRPr="000D5C12">
        <w:rPr>
          <w:noProof/>
        </w:rPr>
        <w:t>McVicar and Tabasso (2016)</w:t>
      </w:r>
      <w:r w:rsidRPr="000D5C12">
        <w:fldChar w:fldCharType="end"/>
      </w:r>
      <w:r w:rsidRPr="000D5C12">
        <w:t xml:space="preserve"> highlight two gaps for disadvantaged students, including those with disability. The first is the VET completion gap and the second is in </w:t>
      </w:r>
      <w:proofErr w:type="spellStart"/>
      <w:r w:rsidRPr="000D5C12">
        <w:t>labour</w:t>
      </w:r>
      <w:proofErr w:type="spellEnd"/>
      <w:r w:rsidRPr="000D5C12">
        <w:t xml:space="preserve"> market outcomes. They identify completion rates in VET are </w:t>
      </w:r>
      <w:r w:rsidRPr="000D5C12">
        <w:lastRenderedPageBreak/>
        <w:t>low but are even lower for disadvantaged students.</w:t>
      </w:r>
      <w:r>
        <w:t xml:space="preserve"> </w:t>
      </w:r>
      <w:r w:rsidRPr="000D5C12">
        <w:t xml:space="preserve">In a summary of McVicar and </w:t>
      </w:r>
      <w:proofErr w:type="spellStart"/>
      <w:r w:rsidRPr="000D5C12">
        <w:t>Tabasso’s</w:t>
      </w:r>
      <w:proofErr w:type="spellEnd"/>
      <w:r w:rsidRPr="000D5C12">
        <w:t xml:space="preserve"> findings, </w:t>
      </w:r>
      <w:r w:rsidRPr="000D5C12">
        <w:fldChar w:fldCharType="begin"/>
      </w:r>
      <w:r w:rsidRPr="000D5C12">
        <w:instrText xml:space="preserve"> ADDIN EN.CITE &lt;EndNote&gt;&lt;Cite AuthorYear="1"&gt;&lt;Author&gt;Buddelmeyer&lt;/Author&gt;&lt;Year&gt;2016&lt;/Year&gt;&lt;RecNum&gt;1802&lt;/RecNum&gt;&lt;DisplayText&gt;Buddelmeyer and Polidano (2016)&lt;/DisplayText&gt;&lt;record&gt;&lt;rec-number&gt;1802&lt;/rec-number&gt;&lt;foreign-keys&gt;&lt;key app="EN" db-id="afrvxfvzvvpp2tew2sbxfrtxszxsa992r2f0" timestamp="1589881152"&gt;1802&lt;/key&gt;&lt;/foreign-keys&gt;&lt;ref-type name="Government Document"&gt;46&lt;/ref-type&gt;&lt;contributors&gt;&lt;authors&gt;&lt;author&gt;Buddelmeyer, H &lt;/author&gt;&lt;author&gt;Polidano, Cain&lt;/author&gt;&lt;/authors&gt;&lt;/contributors&gt;&lt;titles&gt;&lt;title&gt;Can VET help create a more inclusive society?&lt;/title&gt;&lt;/titles&gt;&lt;dates&gt;&lt;year&gt;2016&lt;/year&gt;&lt;/dates&gt;&lt;pub-location&gt;Melbourne&lt;/pub-location&gt;&lt;publisher&gt;Melbourne Institute of Applied Economic and Social Research&lt;/publisher&gt;&lt;urls&gt;&lt;related-urls&gt;&lt;url&gt;https://files.eric.ed.gov/fulltext/ED565436.pdf&lt;/url&gt;&lt;/related-urls&gt;&lt;/urls&gt;&lt;custom1&gt;National Centre for Vocational Education Research (NCVER) &lt;/custom1&gt;&lt;/record&gt;&lt;/Cite&gt;&lt;/EndNote&gt;</w:instrText>
      </w:r>
      <w:r w:rsidRPr="000D5C12">
        <w:fldChar w:fldCharType="separate"/>
      </w:r>
      <w:r w:rsidRPr="000D5C12">
        <w:rPr>
          <w:noProof/>
        </w:rPr>
        <w:t>Buddelmeyer and Polidano (2016)</w:t>
      </w:r>
      <w:r w:rsidRPr="000D5C12">
        <w:fldChar w:fldCharType="end"/>
      </w:r>
      <w:r w:rsidRPr="000D5C12">
        <w:t xml:space="preserve"> </w:t>
      </w:r>
      <w:r>
        <w:t xml:space="preserve">argue the completion </w:t>
      </w:r>
      <w:r w:rsidRPr="000D5C12">
        <w:rPr>
          <w:color w:val="231F20"/>
        </w:rPr>
        <w:t>gap</w:t>
      </w:r>
      <w:r w:rsidRPr="000D5C12">
        <w:rPr>
          <w:color w:val="231F20"/>
          <w:spacing w:val="-16"/>
        </w:rPr>
        <w:t xml:space="preserve"> </w:t>
      </w:r>
      <w:r w:rsidRPr="000D5C12">
        <w:rPr>
          <w:color w:val="231F20"/>
        </w:rPr>
        <w:t>between</w:t>
      </w:r>
      <w:r w:rsidRPr="000D5C12">
        <w:rPr>
          <w:color w:val="231F20"/>
          <w:spacing w:val="-15"/>
        </w:rPr>
        <w:t xml:space="preserve"> </w:t>
      </w:r>
      <w:r w:rsidRPr="000D5C12">
        <w:rPr>
          <w:color w:val="231F20"/>
        </w:rPr>
        <w:t>disadvantaged</w:t>
      </w:r>
      <w:r w:rsidRPr="000D5C12">
        <w:rPr>
          <w:color w:val="231F20"/>
          <w:spacing w:val="-15"/>
        </w:rPr>
        <w:t xml:space="preserve"> </w:t>
      </w:r>
      <w:r w:rsidRPr="000D5C12">
        <w:rPr>
          <w:color w:val="231F20"/>
        </w:rPr>
        <w:t>and</w:t>
      </w:r>
      <w:r w:rsidRPr="000D5C12">
        <w:rPr>
          <w:color w:val="231F20"/>
          <w:spacing w:val="-16"/>
        </w:rPr>
        <w:t xml:space="preserve"> </w:t>
      </w:r>
      <w:r w:rsidRPr="000D5C12">
        <w:rPr>
          <w:color w:val="231F20"/>
        </w:rPr>
        <w:t>non-disadvantaged</w:t>
      </w:r>
      <w:r w:rsidRPr="000D5C12">
        <w:rPr>
          <w:color w:val="231F20"/>
          <w:spacing w:val="-15"/>
        </w:rPr>
        <w:t xml:space="preserve"> </w:t>
      </w:r>
      <w:r w:rsidRPr="000D5C12">
        <w:rPr>
          <w:color w:val="231F20"/>
        </w:rPr>
        <w:t>students</w:t>
      </w:r>
      <w:r w:rsidRPr="000D5C12">
        <w:rPr>
          <w:color w:val="231F20"/>
          <w:spacing w:val="-15"/>
        </w:rPr>
        <w:t xml:space="preserve"> </w:t>
      </w:r>
      <w:r w:rsidRPr="000D5C12">
        <w:rPr>
          <w:color w:val="231F20"/>
        </w:rPr>
        <w:t>only</w:t>
      </w:r>
      <w:r w:rsidRPr="000D5C12">
        <w:rPr>
          <w:color w:val="231F20"/>
          <w:spacing w:val="-15"/>
        </w:rPr>
        <w:t xml:space="preserve"> </w:t>
      </w:r>
      <w:r w:rsidRPr="000D5C12">
        <w:rPr>
          <w:color w:val="231F20"/>
        </w:rPr>
        <w:t>explain a</w:t>
      </w:r>
      <w:r w:rsidRPr="000D5C12">
        <w:rPr>
          <w:color w:val="231F20"/>
          <w:spacing w:val="-17"/>
        </w:rPr>
        <w:t xml:space="preserve"> </w:t>
      </w:r>
      <w:r w:rsidRPr="000D5C12">
        <w:rPr>
          <w:color w:val="231F20"/>
        </w:rPr>
        <w:t>very</w:t>
      </w:r>
      <w:r w:rsidRPr="000D5C12">
        <w:rPr>
          <w:color w:val="231F20"/>
          <w:spacing w:val="-16"/>
        </w:rPr>
        <w:t xml:space="preserve"> </w:t>
      </w:r>
      <w:r w:rsidRPr="000D5C12">
        <w:rPr>
          <w:color w:val="231F20"/>
        </w:rPr>
        <w:t>small</w:t>
      </w:r>
      <w:r w:rsidRPr="000D5C12">
        <w:rPr>
          <w:color w:val="231F20"/>
          <w:spacing w:val="-16"/>
        </w:rPr>
        <w:t xml:space="preserve"> </w:t>
      </w:r>
      <w:r w:rsidRPr="000D5C12">
        <w:rPr>
          <w:color w:val="231F20"/>
        </w:rPr>
        <w:t>part</w:t>
      </w:r>
      <w:r w:rsidRPr="000D5C12">
        <w:rPr>
          <w:color w:val="231F20"/>
          <w:spacing w:val="-15"/>
        </w:rPr>
        <w:t xml:space="preserve"> </w:t>
      </w:r>
      <w:r w:rsidRPr="000D5C12">
        <w:rPr>
          <w:color w:val="231F20"/>
        </w:rPr>
        <w:t>of</w:t>
      </w:r>
      <w:r w:rsidRPr="000D5C12">
        <w:rPr>
          <w:color w:val="231F20"/>
          <w:spacing w:val="-16"/>
        </w:rPr>
        <w:t xml:space="preserve"> </w:t>
      </w:r>
      <w:r w:rsidRPr="000D5C12">
        <w:rPr>
          <w:color w:val="231F20"/>
        </w:rPr>
        <w:t>the</w:t>
      </w:r>
      <w:r w:rsidRPr="000D5C12">
        <w:rPr>
          <w:color w:val="231F20"/>
          <w:spacing w:val="-16"/>
        </w:rPr>
        <w:t xml:space="preserve"> </w:t>
      </w:r>
      <w:r w:rsidRPr="000D5C12">
        <w:rPr>
          <w:color w:val="231F20"/>
        </w:rPr>
        <w:t>post-training</w:t>
      </w:r>
      <w:r w:rsidRPr="000D5C12">
        <w:rPr>
          <w:color w:val="231F20"/>
          <w:spacing w:val="-16"/>
        </w:rPr>
        <w:t xml:space="preserve"> </w:t>
      </w:r>
      <w:r w:rsidRPr="000D5C12">
        <w:rPr>
          <w:color w:val="231F20"/>
        </w:rPr>
        <w:t>employment</w:t>
      </w:r>
      <w:r w:rsidRPr="000D5C12">
        <w:rPr>
          <w:color w:val="231F20"/>
          <w:spacing w:val="-15"/>
        </w:rPr>
        <w:t xml:space="preserve"> </w:t>
      </w:r>
      <w:r>
        <w:rPr>
          <w:color w:val="231F20"/>
          <w:spacing w:val="-15"/>
        </w:rPr>
        <w:t>differences</w:t>
      </w:r>
      <w:r w:rsidRPr="000D5C12">
        <w:rPr>
          <w:color w:val="231F20"/>
        </w:rPr>
        <w:t>.</w:t>
      </w:r>
      <w:r>
        <w:rPr>
          <w:color w:val="231F20"/>
        </w:rPr>
        <w:t xml:space="preserve"> </w:t>
      </w:r>
      <w:proofErr w:type="gramStart"/>
      <w:r>
        <w:rPr>
          <w:color w:val="231F20"/>
        </w:rPr>
        <w:t>Instead</w:t>
      </w:r>
      <w:proofErr w:type="gramEnd"/>
      <w:r>
        <w:rPr>
          <w:color w:val="231F20"/>
        </w:rPr>
        <w:t xml:space="preserve"> these gaps are better explained by student char</w:t>
      </w:r>
      <w:r w:rsidRPr="000D5C12">
        <w:rPr>
          <w:color w:val="231F20"/>
        </w:rPr>
        <w:t>acteristics,</w:t>
      </w:r>
      <w:r w:rsidRPr="000D5C12">
        <w:rPr>
          <w:color w:val="231F20"/>
          <w:spacing w:val="-17"/>
        </w:rPr>
        <w:t xml:space="preserve"> </w:t>
      </w:r>
      <w:r w:rsidRPr="000D5C12">
        <w:rPr>
          <w:color w:val="231F20"/>
        </w:rPr>
        <w:t>particularly</w:t>
      </w:r>
      <w:r w:rsidRPr="000D5C12">
        <w:rPr>
          <w:color w:val="231F20"/>
          <w:spacing w:val="-17"/>
        </w:rPr>
        <w:t xml:space="preserve"> </w:t>
      </w:r>
      <w:r w:rsidRPr="000D5C12">
        <w:rPr>
          <w:color w:val="231F20"/>
        </w:rPr>
        <w:t>the</w:t>
      </w:r>
      <w:r w:rsidRPr="000D5C12">
        <w:rPr>
          <w:color w:val="231F20"/>
          <w:spacing w:val="-17"/>
        </w:rPr>
        <w:t xml:space="preserve"> </w:t>
      </w:r>
      <w:r w:rsidRPr="000D5C12">
        <w:rPr>
          <w:color w:val="231F20"/>
        </w:rPr>
        <w:t>lower</w:t>
      </w:r>
      <w:r w:rsidRPr="000D5C12">
        <w:rPr>
          <w:color w:val="231F20"/>
          <w:w w:val="99"/>
        </w:rPr>
        <w:t xml:space="preserve"> </w:t>
      </w:r>
      <w:r w:rsidRPr="000D5C12">
        <w:rPr>
          <w:color w:val="231F20"/>
        </w:rPr>
        <w:t>engagement</w:t>
      </w:r>
      <w:r w:rsidRPr="000D5C12">
        <w:rPr>
          <w:color w:val="231F20"/>
          <w:spacing w:val="-17"/>
        </w:rPr>
        <w:t xml:space="preserve"> </w:t>
      </w:r>
      <w:r w:rsidRPr="000D5C12">
        <w:rPr>
          <w:color w:val="231F20"/>
        </w:rPr>
        <w:t>in</w:t>
      </w:r>
      <w:r w:rsidRPr="000D5C12">
        <w:rPr>
          <w:color w:val="231F20"/>
          <w:spacing w:val="-17"/>
        </w:rPr>
        <w:t xml:space="preserve"> </w:t>
      </w:r>
      <w:r w:rsidRPr="000D5C12">
        <w:rPr>
          <w:color w:val="231F20"/>
        </w:rPr>
        <w:t>work</w:t>
      </w:r>
      <w:r w:rsidRPr="000D5C12">
        <w:rPr>
          <w:color w:val="231F20"/>
          <w:spacing w:val="-16"/>
        </w:rPr>
        <w:t xml:space="preserve"> </w:t>
      </w:r>
      <w:r w:rsidRPr="000D5C12">
        <w:rPr>
          <w:color w:val="231F20"/>
        </w:rPr>
        <w:t>prior</w:t>
      </w:r>
      <w:r w:rsidRPr="000D5C12">
        <w:rPr>
          <w:color w:val="231F20"/>
          <w:spacing w:val="-16"/>
        </w:rPr>
        <w:t xml:space="preserve"> </w:t>
      </w:r>
      <w:r w:rsidRPr="000D5C12">
        <w:rPr>
          <w:color w:val="231F20"/>
        </w:rPr>
        <w:t>to</w:t>
      </w:r>
      <w:r w:rsidRPr="000D5C12">
        <w:rPr>
          <w:color w:val="231F20"/>
          <w:spacing w:val="-17"/>
        </w:rPr>
        <w:t xml:space="preserve"> </w:t>
      </w:r>
      <w:r w:rsidRPr="000D5C12">
        <w:rPr>
          <w:color w:val="231F20"/>
        </w:rPr>
        <w:t>study</w:t>
      </w:r>
      <w:r w:rsidRPr="000D5C12">
        <w:rPr>
          <w:color w:val="231F20"/>
          <w:spacing w:val="-16"/>
        </w:rPr>
        <w:t xml:space="preserve"> </w:t>
      </w:r>
      <w:r w:rsidRPr="000D5C12">
        <w:rPr>
          <w:color w:val="231F20"/>
        </w:rPr>
        <w:t>by</w:t>
      </w:r>
      <w:r w:rsidRPr="000D5C12">
        <w:rPr>
          <w:color w:val="231F20"/>
          <w:spacing w:val="-17"/>
        </w:rPr>
        <w:t xml:space="preserve"> </w:t>
      </w:r>
      <w:r w:rsidRPr="000D5C12">
        <w:rPr>
          <w:color w:val="231F20"/>
        </w:rPr>
        <w:t>disadvantaged</w:t>
      </w:r>
      <w:r w:rsidRPr="000D5C12">
        <w:rPr>
          <w:color w:val="231F20"/>
          <w:spacing w:val="-16"/>
        </w:rPr>
        <w:t xml:space="preserve"> </w:t>
      </w:r>
      <w:r w:rsidRPr="000D5C12">
        <w:rPr>
          <w:color w:val="231F20"/>
        </w:rPr>
        <w:t>students.</w:t>
      </w:r>
      <w:r>
        <w:rPr>
          <w:color w:val="231F20"/>
        </w:rPr>
        <w:t xml:space="preserve"> Therefore, improving the completion rates for students alone won’t improve </w:t>
      </w:r>
      <w:proofErr w:type="spellStart"/>
      <w:r>
        <w:rPr>
          <w:color w:val="231F20"/>
        </w:rPr>
        <w:t>labour</w:t>
      </w:r>
      <w:proofErr w:type="spellEnd"/>
      <w:r>
        <w:rPr>
          <w:color w:val="231F20"/>
        </w:rPr>
        <w:t xml:space="preserve"> market outcomes</w:t>
      </w:r>
      <w:r w:rsidRPr="000D5C12">
        <w:t xml:space="preserve">. </w:t>
      </w:r>
      <w:proofErr w:type="gramStart"/>
      <w:r w:rsidRPr="000D5C12">
        <w:t>Instead</w:t>
      </w:r>
      <w:proofErr w:type="gramEnd"/>
      <w:r w:rsidRPr="000D5C12">
        <w:t xml:space="preserve"> early intervention and career guidance prior to VET participation, ideally during secondary schooling may reduce completion and employment gaps. </w:t>
      </w:r>
    </w:p>
    <w:p w14:paraId="130993A1" w14:textId="77777777" w:rsidR="00173BBB" w:rsidRPr="00224A67" w:rsidRDefault="00224A67" w:rsidP="00331BBD">
      <w:pPr>
        <w:pStyle w:val="Heading3"/>
      </w:pPr>
      <w:r w:rsidRPr="00B77375">
        <w:rPr>
          <w:sz w:val="28"/>
          <w:szCs w:val="28"/>
        </w:rPr>
        <w:t>F</w:t>
      </w:r>
      <w:r w:rsidR="00173BBB" w:rsidRPr="00B77375">
        <w:rPr>
          <w:sz w:val="28"/>
          <w:szCs w:val="28"/>
        </w:rPr>
        <w:t>ocus</w:t>
      </w:r>
      <w:r w:rsidR="004A7176" w:rsidRPr="00B77375">
        <w:rPr>
          <w:sz w:val="28"/>
          <w:szCs w:val="28"/>
        </w:rPr>
        <w:t xml:space="preserve"> of Ticket to Work</w:t>
      </w:r>
      <w:r>
        <w:t>.</w:t>
      </w:r>
    </w:p>
    <w:p w14:paraId="717153FD" w14:textId="77777777" w:rsidR="00732DBA" w:rsidRDefault="005A5481" w:rsidP="00331BBD">
      <w:r w:rsidRPr="00A52A7A">
        <w:t xml:space="preserve">Ticket to </w:t>
      </w:r>
      <w:r w:rsidR="00E15657" w:rsidRPr="00A52A7A">
        <w:t>W</w:t>
      </w:r>
      <w:r w:rsidRPr="00A52A7A">
        <w:t>ork was established in response to poor and falling school to work transition</w:t>
      </w:r>
      <w:r w:rsidR="00787233">
        <w:t xml:space="preserve"> rate</w:t>
      </w:r>
      <w:r w:rsidRPr="00A52A7A">
        <w:t>s for young Australian</w:t>
      </w:r>
      <w:r w:rsidR="004C4541">
        <w:t>s</w:t>
      </w:r>
      <w:r w:rsidRPr="00A52A7A">
        <w:t xml:space="preserve"> with disability</w:t>
      </w:r>
      <w:r w:rsidR="00787233">
        <w:t>. U</w:t>
      </w:r>
      <w:r w:rsidRPr="00A52A7A">
        <w:t xml:space="preserve">nsuccessful transition from school holds lifelong economic and social implications for the individual, their families and society. </w:t>
      </w:r>
    </w:p>
    <w:p w14:paraId="23AFFC36" w14:textId="77777777" w:rsidR="005A5481" w:rsidRDefault="005A5481" w:rsidP="00331BBD">
      <w:r w:rsidRPr="00A52A7A">
        <w:t xml:space="preserve">While not underestimating the challenges, Ticket to Work has demonstrated in </w:t>
      </w:r>
      <w:r w:rsidR="004C4541">
        <w:t>s</w:t>
      </w:r>
      <w:r w:rsidRPr="00A52A7A">
        <w:t>ignificant numbers that young people can thrive in open employment when prepared and supported whil</w:t>
      </w:r>
      <w:r w:rsidR="00D83B23" w:rsidRPr="00A52A7A">
        <w:t>e</w:t>
      </w:r>
      <w:r w:rsidRPr="00A52A7A">
        <w:t xml:space="preserve"> at school through a coordinated approach. Ticket to </w:t>
      </w:r>
      <w:r w:rsidR="00E15657" w:rsidRPr="00A52A7A">
        <w:t>W</w:t>
      </w:r>
      <w:r w:rsidRPr="00A52A7A">
        <w:t>ork ensure</w:t>
      </w:r>
      <w:r w:rsidR="00E87674" w:rsidRPr="00A52A7A">
        <w:t>s</w:t>
      </w:r>
      <w:r w:rsidRPr="00A52A7A">
        <w:t xml:space="preserve"> effective pathways</w:t>
      </w:r>
      <w:r w:rsidR="002F4739" w:rsidRPr="00A52A7A">
        <w:t xml:space="preserve"> from school</w:t>
      </w:r>
      <w:r w:rsidRPr="00A52A7A">
        <w:t xml:space="preserve"> into </w:t>
      </w:r>
      <w:r w:rsidR="003A7003" w:rsidRPr="00A52A7A">
        <w:t>open emplo</w:t>
      </w:r>
      <w:r w:rsidR="004E6A4F" w:rsidRPr="00A52A7A">
        <w:t>yment</w:t>
      </w:r>
      <w:r w:rsidRPr="00A52A7A">
        <w:t xml:space="preserve">, </w:t>
      </w:r>
      <w:r w:rsidR="002F4739" w:rsidRPr="00A52A7A">
        <w:t xml:space="preserve">or </w:t>
      </w:r>
      <w:r w:rsidRPr="00A52A7A">
        <w:t xml:space="preserve">further education and </w:t>
      </w:r>
      <w:r w:rsidR="00C63A46" w:rsidRPr="00A52A7A">
        <w:t>t</w:t>
      </w:r>
      <w:r w:rsidRPr="00A52A7A">
        <w:t xml:space="preserve">raining. The </w:t>
      </w:r>
      <w:r w:rsidR="004E6A4F" w:rsidRPr="00A52A7A">
        <w:t>m</w:t>
      </w:r>
      <w:r w:rsidRPr="00A52A7A">
        <w:t xml:space="preserve">odel </w:t>
      </w:r>
      <w:r w:rsidR="00787233">
        <w:t xml:space="preserve">was </w:t>
      </w:r>
      <w:r w:rsidRPr="00A52A7A">
        <w:t xml:space="preserve">developed </w:t>
      </w:r>
      <w:r w:rsidR="00787233">
        <w:t>by</w:t>
      </w:r>
      <w:r w:rsidRPr="00A52A7A">
        <w:t xml:space="preserve"> scoping ‘what works’ in other countries. That is:</w:t>
      </w:r>
    </w:p>
    <w:p w14:paraId="316B5B4A" w14:textId="77777777" w:rsidR="005A5481" w:rsidRPr="00622FED" w:rsidRDefault="005A5481" w:rsidP="00331BBD">
      <w:pPr>
        <w:pStyle w:val="Quote"/>
      </w:pPr>
      <w:r w:rsidRPr="00622FED">
        <w:t xml:space="preserve">Connecting a student with disability to the world of </w:t>
      </w:r>
      <w:r w:rsidR="00D83B23" w:rsidRPr="00622FED">
        <w:t>w</w:t>
      </w:r>
      <w:r w:rsidRPr="00622FED">
        <w:t xml:space="preserve">ork before they leave school through a coordinated approach greatly improves </w:t>
      </w:r>
      <w:r w:rsidR="00D83B23" w:rsidRPr="00622FED">
        <w:t xml:space="preserve">the </w:t>
      </w:r>
      <w:r w:rsidRPr="00622FED">
        <w:t xml:space="preserve">likelihood of securing ongoing open employment and creates better economic and social outcomes. </w:t>
      </w:r>
    </w:p>
    <w:p w14:paraId="7E99FE25" w14:textId="77777777" w:rsidR="005A5481" w:rsidRDefault="005A5481" w:rsidP="00331BBD">
      <w:r w:rsidRPr="00A52A7A">
        <w:t xml:space="preserve">Ticket to </w:t>
      </w:r>
      <w:r w:rsidR="00E15657" w:rsidRPr="00A52A7A">
        <w:t>W</w:t>
      </w:r>
      <w:r w:rsidRPr="00A52A7A">
        <w:t>ork’s c</w:t>
      </w:r>
      <w:r w:rsidR="00412953" w:rsidRPr="00A52A7A">
        <w:t>onnected approach consists of 34</w:t>
      </w:r>
      <w:r w:rsidRPr="00A52A7A">
        <w:t xml:space="preserve"> local networks; </w:t>
      </w:r>
      <w:r w:rsidR="00F13874" w:rsidRPr="00A52A7A">
        <w:t>205</w:t>
      </w:r>
      <w:r w:rsidRPr="00A52A7A">
        <w:t xml:space="preserve"> schools; </w:t>
      </w:r>
      <w:r w:rsidR="00F13874" w:rsidRPr="00A52A7A">
        <w:t>145</w:t>
      </w:r>
      <w:r w:rsidRPr="00A52A7A">
        <w:t xml:space="preserve"> local </w:t>
      </w:r>
      <w:proofErr w:type="spellStart"/>
      <w:r w:rsidRPr="00A52A7A">
        <w:t>organisations</w:t>
      </w:r>
      <w:proofErr w:type="spellEnd"/>
      <w:r w:rsidR="00787233">
        <w:t xml:space="preserve"> and </w:t>
      </w:r>
      <w:r w:rsidR="00F70057" w:rsidRPr="00A52A7A">
        <w:t xml:space="preserve">has delivered 1,621 </w:t>
      </w:r>
      <w:r w:rsidRPr="00A52A7A">
        <w:t>jobs for young people mainly with significant disability</w:t>
      </w:r>
      <w:r w:rsidR="00CC5983" w:rsidRPr="00A52A7A">
        <w:t xml:space="preserve">. </w:t>
      </w:r>
    </w:p>
    <w:p w14:paraId="74B7D098" w14:textId="77777777" w:rsidR="005A5481" w:rsidRPr="00A52A7A" w:rsidRDefault="005A5481" w:rsidP="00331BBD">
      <w:r w:rsidRPr="00A52A7A">
        <w:t xml:space="preserve">Empirical research is the basis of the Ticket to Work model. </w:t>
      </w:r>
    </w:p>
    <w:p w14:paraId="4ACA3A80" w14:textId="77777777" w:rsidR="005A5481" w:rsidRDefault="005A5481" w:rsidP="00331BBD">
      <w:r w:rsidRPr="00A52A7A">
        <w:t>National Disability Services has collaborated with researchers and evaluators and ha</w:t>
      </w:r>
      <w:r w:rsidR="005D754E" w:rsidRPr="00A52A7A">
        <w:t>s developed</w:t>
      </w:r>
      <w:r w:rsidRPr="00A52A7A">
        <w:t xml:space="preserve"> a large body of </w:t>
      </w:r>
      <w:r w:rsidR="006D368A" w:rsidRPr="00A52A7A">
        <w:t>w</w:t>
      </w:r>
      <w:r w:rsidRPr="00A52A7A">
        <w:t xml:space="preserve">ork </w:t>
      </w:r>
      <w:r w:rsidR="0010125B" w:rsidRPr="00A52A7A">
        <w:t>regarding</w:t>
      </w:r>
      <w:r w:rsidRPr="00A52A7A">
        <w:t xml:space="preserve"> effective school to work transition</w:t>
      </w:r>
      <w:r w:rsidR="00E02F38" w:rsidRPr="00A52A7A">
        <w:t>s</w:t>
      </w:r>
      <w:r w:rsidRPr="00A52A7A">
        <w:t xml:space="preserve"> for young people with disability. </w:t>
      </w:r>
    </w:p>
    <w:p w14:paraId="4B330DE7" w14:textId="77777777" w:rsidR="005A5481" w:rsidRPr="00A52A7A" w:rsidRDefault="004C4541" w:rsidP="00A52A7A">
      <w:pPr>
        <w:pStyle w:val="Default"/>
        <w:rPr>
          <w:rFonts w:ascii="Arial" w:hAnsi="Arial" w:cs="Arial"/>
        </w:rPr>
      </w:pPr>
      <w:r>
        <w:rPr>
          <w:rFonts w:ascii="Arial" w:hAnsi="Arial" w:cs="Arial"/>
        </w:rPr>
        <w:t>R</w:t>
      </w:r>
      <w:r w:rsidR="005A5481" w:rsidRPr="00A52A7A">
        <w:rPr>
          <w:rFonts w:ascii="Arial" w:hAnsi="Arial" w:cs="Arial"/>
        </w:rPr>
        <w:t xml:space="preserve">ecent evaluations on the elements of the Ticket to Work model have shown: </w:t>
      </w:r>
    </w:p>
    <w:p w14:paraId="00A922C0" w14:textId="77777777" w:rsidR="005A5481" w:rsidRPr="00A52A7A" w:rsidRDefault="005A5481" w:rsidP="00A52A7A">
      <w:pPr>
        <w:pStyle w:val="Default"/>
        <w:numPr>
          <w:ilvl w:val="0"/>
          <w:numId w:val="3"/>
        </w:numPr>
        <w:ind w:left="360"/>
        <w:rPr>
          <w:rFonts w:ascii="Arial" w:hAnsi="Arial" w:cs="Arial"/>
        </w:rPr>
      </w:pPr>
      <w:r w:rsidRPr="00A52A7A">
        <w:rPr>
          <w:rFonts w:ascii="Arial" w:hAnsi="Arial" w:cs="Arial"/>
        </w:rPr>
        <w:t xml:space="preserve">The Ticket to Work model has </w:t>
      </w:r>
      <w:r w:rsidR="001956FE" w:rsidRPr="00A52A7A">
        <w:rPr>
          <w:rFonts w:ascii="Arial" w:hAnsi="Arial" w:cs="Arial"/>
        </w:rPr>
        <w:t>many</w:t>
      </w:r>
      <w:r w:rsidRPr="00A52A7A">
        <w:rPr>
          <w:rFonts w:ascii="Arial" w:hAnsi="Arial" w:cs="Arial"/>
        </w:rPr>
        <w:t xml:space="preserve"> social and </w:t>
      </w:r>
      <w:r w:rsidR="004C4541">
        <w:rPr>
          <w:rFonts w:ascii="Arial" w:hAnsi="Arial" w:cs="Arial"/>
        </w:rPr>
        <w:t>economic</w:t>
      </w:r>
      <w:r w:rsidRPr="00A52A7A">
        <w:rPr>
          <w:rFonts w:ascii="Arial" w:hAnsi="Arial" w:cs="Arial"/>
        </w:rPr>
        <w:t xml:space="preserve"> benefits</w:t>
      </w:r>
      <w:r w:rsidR="009D7217">
        <w:rPr>
          <w:rFonts w:ascii="Arial" w:hAnsi="Arial" w:cs="Arial"/>
        </w:rPr>
        <w:t xml:space="preserve"> </w:t>
      </w:r>
      <w:r w:rsidR="00D930C3">
        <w:rPr>
          <w:rFonts w:ascii="Arial" w:hAnsi="Arial" w:cs="Arial"/>
        </w:rPr>
        <w:fldChar w:fldCharType="begin"/>
      </w:r>
      <w:r w:rsidR="00D930C3">
        <w:rPr>
          <w:rFonts w:ascii="Arial" w:hAnsi="Arial" w:cs="Arial"/>
        </w:rPr>
        <w:instrText xml:space="preserve"> ADDIN EN.CITE &lt;EndNote&gt;&lt;Cite&gt;&lt;Author&gt;Atkinson&lt;/Author&gt;&lt;Year&gt;2019&lt;/Year&gt;&lt;RecNum&gt;1738&lt;/RecNum&gt;&lt;DisplayText&gt;(Atkinson, 2019)&lt;/DisplayText&gt;&lt;record&gt;&lt;rec-number&gt;1738&lt;/rec-number&gt;&lt;foreign-keys&gt;&lt;key app="EN" db-id="afrvxfvzvvpp2tew2sbxfrtxszxsa992r2f0" timestamp="1585206115"&gt;1738&lt;/key&gt;&lt;/foreign-keys&gt;&lt;ref-type name="Report"&gt;27&lt;/ref-type&gt;&lt;contributors&gt;&lt;authors&gt;&lt;author&gt;Atkinson, G., Christian, F., Cassidy, J., Rutherford, J., &amp;amp; Hawkins, A. &lt;/author&gt;&lt;/authors&gt;&lt;/contributors&gt;&lt;titles&gt;&lt;title&gt;Ticket to Work Post School Outcomes Report for National Disability Services Final Report &lt;/title&gt;&lt;/titles&gt;&lt;dates&gt;&lt;year&gt;2019&lt;/year&gt;&lt;/dates&gt;&lt;pub-location&gt;Sydney&lt;/pub-location&gt;&lt;urls&gt;&lt;related-urls&gt;&lt;url&gt;www.tickettowork.org.au/research_evaluation/ticket-work-post-school-outcomes/    &lt;/url&gt;&lt;/related-urls&gt;&lt;/urls&gt;&lt;/record&gt;&lt;/Cite&gt;&lt;/EndNote&gt;</w:instrText>
      </w:r>
      <w:r w:rsidR="00D930C3">
        <w:rPr>
          <w:rFonts w:ascii="Arial" w:hAnsi="Arial" w:cs="Arial"/>
        </w:rPr>
        <w:fldChar w:fldCharType="separate"/>
      </w:r>
      <w:r w:rsidR="00D930C3">
        <w:rPr>
          <w:rFonts w:ascii="Arial" w:hAnsi="Arial" w:cs="Arial"/>
          <w:noProof/>
        </w:rPr>
        <w:t>(Atkinson, 2019)</w:t>
      </w:r>
      <w:r w:rsidR="00D930C3">
        <w:rPr>
          <w:rFonts w:ascii="Arial" w:hAnsi="Arial" w:cs="Arial"/>
        </w:rPr>
        <w:fldChar w:fldCharType="end"/>
      </w:r>
      <w:r w:rsidRPr="00A52A7A">
        <w:rPr>
          <w:rFonts w:ascii="Arial" w:hAnsi="Arial" w:cs="Arial"/>
        </w:rPr>
        <w:t xml:space="preserve">. </w:t>
      </w:r>
    </w:p>
    <w:p w14:paraId="73A6CC54" w14:textId="77777777" w:rsidR="005A5481" w:rsidRPr="00A52A7A" w:rsidRDefault="00140B53" w:rsidP="00A52A7A">
      <w:pPr>
        <w:pStyle w:val="Default"/>
        <w:numPr>
          <w:ilvl w:val="0"/>
          <w:numId w:val="3"/>
        </w:numPr>
        <w:ind w:left="360" w:hanging="357"/>
        <w:rPr>
          <w:rFonts w:ascii="Arial" w:hAnsi="Arial" w:cs="Arial"/>
        </w:rPr>
      </w:pPr>
      <w:r w:rsidRPr="00A52A7A">
        <w:rPr>
          <w:rFonts w:ascii="Arial" w:hAnsi="Arial" w:cs="Arial"/>
        </w:rPr>
        <w:t>P</w:t>
      </w:r>
      <w:r w:rsidR="005B2734" w:rsidRPr="00A52A7A">
        <w:rPr>
          <w:rFonts w:ascii="Arial" w:hAnsi="Arial" w:cs="Arial"/>
        </w:rPr>
        <w:t xml:space="preserve">ost-school </w:t>
      </w:r>
      <w:r w:rsidR="005A5481" w:rsidRPr="00A52A7A">
        <w:rPr>
          <w:rFonts w:ascii="Arial" w:hAnsi="Arial" w:cs="Arial"/>
        </w:rPr>
        <w:t xml:space="preserve">Ticket to Work participants are substantially more likely than a </w:t>
      </w:r>
      <w:r w:rsidRPr="00A52A7A">
        <w:rPr>
          <w:rFonts w:ascii="Arial" w:hAnsi="Arial" w:cs="Arial"/>
        </w:rPr>
        <w:t>s</w:t>
      </w:r>
      <w:r w:rsidR="005A5481" w:rsidRPr="00A52A7A">
        <w:rPr>
          <w:rFonts w:ascii="Arial" w:hAnsi="Arial" w:cs="Arial"/>
        </w:rPr>
        <w:t xml:space="preserve">imilar comparison group to:  </w:t>
      </w:r>
    </w:p>
    <w:p w14:paraId="60F9B5A4" w14:textId="77777777" w:rsidR="005A5481" w:rsidRPr="00A52A7A" w:rsidRDefault="005A5481" w:rsidP="00A52A7A">
      <w:pPr>
        <w:pStyle w:val="Default"/>
        <w:numPr>
          <w:ilvl w:val="1"/>
          <w:numId w:val="3"/>
        </w:numPr>
        <w:ind w:left="1080" w:hanging="357"/>
        <w:contextualSpacing/>
        <w:rPr>
          <w:rFonts w:ascii="Arial" w:hAnsi="Arial" w:cs="Arial"/>
        </w:rPr>
      </w:pPr>
      <w:r w:rsidRPr="00A52A7A">
        <w:rPr>
          <w:rFonts w:ascii="Arial" w:hAnsi="Arial" w:cs="Arial"/>
        </w:rPr>
        <w:t xml:space="preserve">work in open employment </w:t>
      </w:r>
    </w:p>
    <w:p w14:paraId="66BA3502" w14:textId="77777777" w:rsidR="005A5481" w:rsidRPr="00A52A7A" w:rsidRDefault="005A5481" w:rsidP="00A52A7A">
      <w:pPr>
        <w:pStyle w:val="Default"/>
        <w:numPr>
          <w:ilvl w:val="1"/>
          <w:numId w:val="3"/>
        </w:numPr>
        <w:ind w:left="1080" w:hanging="357"/>
        <w:contextualSpacing/>
        <w:rPr>
          <w:rFonts w:ascii="Arial" w:hAnsi="Arial" w:cs="Arial"/>
        </w:rPr>
      </w:pPr>
      <w:r w:rsidRPr="00A52A7A">
        <w:rPr>
          <w:rFonts w:ascii="Arial" w:hAnsi="Arial" w:cs="Arial"/>
        </w:rPr>
        <w:t>complete year 12</w:t>
      </w:r>
    </w:p>
    <w:p w14:paraId="1090852A" w14:textId="77777777" w:rsidR="005A5481" w:rsidRPr="00A52A7A" w:rsidRDefault="005A5481" w:rsidP="00A52A7A">
      <w:pPr>
        <w:pStyle w:val="Default"/>
        <w:numPr>
          <w:ilvl w:val="1"/>
          <w:numId w:val="3"/>
        </w:numPr>
        <w:ind w:left="1080" w:hanging="357"/>
        <w:contextualSpacing/>
        <w:rPr>
          <w:rFonts w:ascii="Arial" w:hAnsi="Arial" w:cs="Arial"/>
        </w:rPr>
      </w:pPr>
      <w:r w:rsidRPr="00A52A7A">
        <w:rPr>
          <w:rFonts w:ascii="Arial" w:hAnsi="Arial" w:cs="Arial"/>
        </w:rPr>
        <w:t>participate in the labour force</w:t>
      </w:r>
    </w:p>
    <w:p w14:paraId="13516444" w14:textId="77777777" w:rsidR="005A5481" w:rsidRPr="00A52A7A" w:rsidRDefault="005A5481" w:rsidP="00A52A7A">
      <w:pPr>
        <w:pStyle w:val="Default"/>
        <w:numPr>
          <w:ilvl w:val="1"/>
          <w:numId w:val="3"/>
        </w:numPr>
        <w:ind w:left="1080" w:hanging="357"/>
        <w:contextualSpacing/>
        <w:rPr>
          <w:rFonts w:ascii="Arial" w:hAnsi="Arial" w:cs="Arial"/>
        </w:rPr>
      </w:pPr>
      <w:r w:rsidRPr="00A52A7A">
        <w:rPr>
          <w:rFonts w:ascii="Arial" w:hAnsi="Arial" w:cs="Arial"/>
        </w:rPr>
        <w:t xml:space="preserve">be involved in </w:t>
      </w:r>
      <w:r w:rsidR="009B7292" w:rsidRPr="00A52A7A">
        <w:rPr>
          <w:rFonts w:ascii="Arial" w:hAnsi="Arial" w:cs="Arial"/>
        </w:rPr>
        <w:t xml:space="preserve">the </w:t>
      </w:r>
      <w:r w:rsidRPr="00A52A7A">
        <w:rPr>
          <w:rFonts w:ascii="Arial" w:hAnsi="Arial" w:cs="Arial"/>
        </w:rPr>
        <w:t>community and socially active</w:t>
      </w:r>
      <w:r w:rsidR="00D930C3">
        <w:rPr>
          <w:rFonts w:ascii="Arial" w:hAnsi="Arial" w:cs="Arial"/>
        </w:rPr>
        <w:t xml:space="preserve"> </w:t>
      </w:r>
      <w:r w:rsidR="00D930C3">
        <w:rPr>
          <w:rFonts w:ascii="Arial" w:hAnsi="Arial" w:cs="Arial"/>
        </w:rPr>
        <w:fldChar w:fldCharType="begin"/>
      </w:r>
      <w:r w:rsidR="00D930C3">
        <w:rPr>
          <w:rFonts w:ascii="Arial" w:hAnsi="Arial" w:cs="Arial"/>
        </w:rPr>
        <w:instrText xml:space="preserve"> ADDIN EN.CITE &lt;EndNote&gt;&lt;Cite&gt;&lt;Author&gt;Atkinson&lt;/Author&gt;&lt;Year&gt;2019&lt;/Year&gt;&lt;RecNum&gt;1738&lt;/RecNum&gt;&lt;DisplayText&gt;(Atkinson, 2019)&lt;/DisplayText&gt;&lt;record&gt;&lt;rec-number&gt;1738&lt;/rec-number&gt;&lt;foreign-keys&gt;&lt;key app="EN" db-id="afrvxfvzvvpp2tew2sbxfrtxszxsa992r2f0" timestamp="1585206115"&gt;1738&lt;/key&gt;&lt;/foreign-keys&gt;&lt;ref-type name="Report"&gt;27&lt;/ref-type&gt;&lt;contributors&gt;&lt;authors&gt;&lt;author&gt;Atkinson, G., Christian, F., Cassidy, J., Rutherford, J., &amp;amp; Hawkins, A. &lt;/author&gt;&lt;/authors&gt;&lt;/contributors&gt;&lt;titles&gt;&lt;title&gt;Ticket to Work Post School Outcomes Report for National Disability Services Final Report &lt;/title&gt;&lt;/titles&gt;&lt;dates&gt;&lt;year&gt;2019&lt;/year&gt;&lt;/dates&gt;&lt;pub-location&gt;Sydney&lt;/pub-location&gt;&lt;urls&gt;&lt;related-urls&gt;&lt;url&gt;www.tickettowork.org.au/research_evaluation/ticket-work-post-school-outcomes/    &lt;/url&gt;&lt;/related-urls&gt;&lt;/urls&gt;&lt;/record&gt;&lt;/Cite&gt;&lt;/EndNote&gt;</w:instrText>
      </w:r>
      <w:r w:rsidR="00D930C3">
        <w:rPr>
          <w:rFonts w:ascii="Arial" w:hAnsi="Arial" w:cs="Arial"/>
        </w:rPr>
        <w:fldChar w:fldCharType="separate"/>
      </w:r>
      <w:r w:rsidR="00D930C3">
        <w:rPr>
          <w:rFonts w:ascii="Arial" w:hAnsi="Arial" w:cs="Arial"/>
          <w:noProof/>
        </w:rPr>
        <w:t>(Atkinson, 2019)</w:t>
      </w:r>
      <w:r w:rsidR="00D930C3">
        <w:rPr>
          <w:rFonts w:ascii="Arial" w:hAnsi="Arial" w:cs="Arial"/>
        </w:rPr>
        <w:fldChar w:fldCharType="end"/>
      </w:r>
      <w:r w:rsidRPr="00A52A7A">
        <w:rPr>
          <w:rFonts w:ascii="Arial" w:hAnsi="Arial" w:cs="Arial"/>
        </w:rPr>
        <w:t xml:space="preserve"> </w:t>
      </w:r>
    </w:p>
    <w:p w14:paraId="34804D89" w14:textId="77777777" w:rsidR="005A5481" w:rsidRPr="00A52A7A" w:rsidRDefault="005A5481" w:rsidP="00A52A7A">
      <w:pPr>
        <w:pStyle w:val="Default"/>
        <w:numPr>
          <w:ilvl w:val="0"/>
          <w:numId w:val="3"/>
        </w:numPr>
        <w:ind w:left="360"/>
        <w:rPr>
          <w:rFonts w:ascii="Arial" w:hAnsi="Arial" w:cs="Arial"/>
        </w:rPr>
      </w:pPr>
      <w:r w:rsidRPr="00A52A7A">
        <w:rPr>
          <w:rFonts w:ascii="Arial" w:hAnsi="Arial" w:cs="Arial"/>
        </w:rPr>
        <w:lastRenderedPageBreak/>
        <w:t xml:space="preserve">Ticket to </w:t>
      </w:r>
      <w:r w:rsidR="00E15657" w:rsidRPr="00A52A7A">
        <w:rPr>
          <w:rFonts w:ascii="Arial" w:hAnsi="Arial" w:cs="Arial"/>
        </w:rPr>
        <w:t>W</w:t>
      </w:r>
      <w:r w:rsidRPr="00A52A7A">
        <w:rPr>
          <w:rFonts w:ascii="Arial" w:hAnsi="Arial" w:cs="Arial"/>
        </w:rPr>
        <w:t xml:space="preserve">ork’s approach is working for </w:t>
      </w:r>
      <w:r w:rsidR="00EB14C0" w:rsidRPr="00A52A7A">
        <w:rPr>
          <w:rFonts w:ascii="Arial" w:hAnsi="Arial" w:cs="Arial"/>
        </w:rPr>
        <w:t>critical</w:t>
      </w:r>
      <w:r w:rsidRPr="00A52A7A">
        <w:rPr>
          <w:rFonts w:ascii="Arial" w:hAnsi="Arial" w:cs="Arial"/>
        </w:rPr>
        <w:t xml:space="preserve"> stakeholders (evaluation of employers, </w:t>
      </w:r>
      <w:proofErr w:type="gramStart"/>
      <w:r w:rsidRPr="00A52A7A">
        <w:rPr>
          <w:rFonts w:ascii="Arial" w:hAnsi="Arial" w:cs="Arial"/>
        </w:rPr>
        <w:t>parents</w:t>
      </w:r>
      <w:proofErr w:type="gramEnd"/>
      <w:r w:rsidRPr="00A52A7A">
        <w:rPr>
          <w:rFonts w:ascii="Arial" w:hAnsi="Arial" w:cs="Arial"/>
        </w:rPr>
        <w:t xml:space="preserve"> and network members) and is in line with international good practice and research</w:t>
      </w:r>
      <w:r w:rsidR="007C442A">
        <w:rPr>
          <w:rFonts w:ascii="Arial" w:hAnsi="Arial" w:cs="Arial"/>
        </w:rPr>
        <w:t xml:space="preserve"> </w:t>
      </w:r>
      <w:r w:rsidR="007C442A">
        <w:rPr>
          <w:rFonts w:ascii="Arial" w:hAnsi="Arial" w:cs="Arial"/>
        </w:rPr>
        <w:fldChar w:fldCharType="begin">
          <w:fldData xml:space="preserve">PEVuZE5vdGU+PENpdGU+PEF1dGhvcj5BdGtpbnNvbjwvQXV0aG9yPjxZZWFyPjIwMTk8L1llYXI+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</w:fldData>
        </w:fldChar>
      </w:r>
      <w:r w:rsidR="005160C5">
        <w:rPr>
          <w:rFonts w:ascii="Arial" w:hAnsi="Arial" w:cs="Arial"/>
        </w:rPr>
        <w:instrText xml:space="preserve"> ADDIN EN.CITE </w:instrText>
      </w:r>
      <w:r w:rsidR="005160C5">
        <w:rPr>
          <w:rFonts w:ascii="Arial" w:hAnsi="Arial" w:cs="Arial"/>
        </w:rPr>
        <w:fldChar w:fldCharType="begin">
          <w:fldData xml:space="preserve">PEVuZE5vdGU+PENpdGU+PEF1dGhvcj5BdGtpbnNvbjwvQXV0aG9yPjxZZWFyPjIwMTk8L1llYXI+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</w:fldData>
        </w:fldChar>
      </w:r>
      <w:r w:rsidR="005160C5">
        <w:rPr>
          <w:rFonts w:ascii="Arial" w:hAnsi="Arial" w:cs="Arial"/>
        </w:rPr>
        <w:instrText xml:space="preserve"> ADDIN EN.CITE.DATA </w:instrText>
      </w:r>
      <w:r w:rsidR="005160C5">
        <w:rPr>
          <w:rFonts w:ascii="Arial" w:hAnsi="Arial" w:cs="Arial"/>
        </w:rPr>
      </w:r>
      <w:r w:rsidR="005160C5">
        <w:rPr>
          <w:rFonts w:ascii="Arial" w:hAnsi="Arial" w:cs="Arial"/>
        </w:rPr>
        <w:fldChar w:fldCharType="end"/>
      </w:r>
      <w:r w:rsidR="007C442A">
        <w:rPr>
          <w:rFonts w:ascii="Arial" w:hAnsi="Arial" w:cs="Arial"/>
        </w:rPr>
      </w:r>
      <w:r w:rsidR="007C442A">
        <w:rPr>
          <w:rFonts w:ascii="Arial" w:hAnsi="Arial" w:cs="Arial"/>
        </w:rPr>
        <w:fldChar w:fldCharType="separate"/>
      </w:r>
      <w:r w:rsidR="005160C5">
        <w:rPr>
          <w:rFonts w:ascii="Arial" w:hAnsi="Arial" w:cs="Arial"/>
          <w:noProof/>
        </w:rPr>
        <w:t>(Atkinson, 2019; Kellock, 2020; Wakeford, 2020)</w:t>
      </w:r>
      <w:r w:rsidR="007C442A">
        <w:rPr>
          <w:rFonts w:ascii="Arial" w:hAnsi="Arial" w:cs="Arial"/>
        </w:rPr>
        <w:fldChar w:fldCharType="end"/>
      </w:r>
      <w:r w:rsidRPr="00A52A7A">
        <w:rPr>
          <w:rFonts w:ascii="Arial" w:hAnsi="Arial" w:cs="Arial"/>
        </w:rPr>
        <w:t xml:space="preserve">. </w:t>
      </w:r>
    </w:p>
    <w:p w14:paraId="392B4987" w14:textId="77777777" w:rsidR="005A5481" w:rsidRPr="00A52A7A" w:rsidRDefault="005A5481" w:rsidP="00A52A7A">
      <w:pPr>
        <w:pStyle w:val="Default"/>
        <w:numPr>
          <w:ilvl w:val="0"/>
          <w:numId w:val="3"/>
        </w:numPr>
        <w:ind w:left="360"/>
        <w:rPr>
          <w:rFonts w:ascii="Arial" w:hAnsi="Arial" w:cs="Arial"/>
        </w:rPr>
      </w:pPr>
      <w:r w:rsidRPr="00A52A7A">
        <w:rPr>
          <w:rFonts w:ascii="Arial" w:hAnsi="Arial" w:cs="Arial"/>
        </w:rPr>
        <w:t>There is a need to focus on how to get different sectors working in concert to improve employment outcomes and raises expectations</w:t>
      </w:r>
      <w:r w:rsidR="005160C5">
        <w:rPr>
          <w:rFonts w:ascii="Arial" w:hAnsi="Arial" w:cs="Arial"/>
        </w:rPr>
        <w:t xml:space="preserve"> </w:t>
      </w:r>
      <w:r w:rsidR="005160C5">
        <w:rPr>
          <w:rFonts w:ascii="Arial" w:hAnsi="Arial" w:cs="Arial"/>
        </w:rPr>
        <w:fldChar w:fldCharType="begin"/>
      </w:r>
      <w:r w:rsidR="005160C5">
        <w:rPr>
          <w:rFonts w:ascii="Arial" w:hAnsi="Arial" w:cs="Arial"/>
        </w:rPr>
        <w:instrText xml:space="preserve"> ADDIN EN.CITE &lt;EndNote&gt;&lt;Cite&gt;&lt;Author&gt;Meadows&lt;/Author&gt;&lt;Year&gt;2019&lt;/Year&gt;&lt;RecNum&gt;1790&lt;/RecNum&gt;&lt;DisplayText&gt;(Meadows, 2019)&lt;/DisplayText&gt;&lt;record&gt;&lt;rec-number&gt;1790&lt;/rec-number&gt;&lt;foreign-keys&gt;&lt;key app="EN" db-id="afrvxfvzvvpp2tew2sbxfrtxszxsa992r2f0" timestamp="1586855498"&gt;1790&lt;/key&gt;&lt;/foreign-keys&gt;&lt;ref-type name="Report"&gt;27&lt;/ref-type&gt;&lt;contributors&gt;&lt;authors&gt;&lt;author&gt;Meadows, D.&lt;/author&gt;&lt;/authors&gt;&lt;/contributors&gt;&lt;titles&gt;&lt;title&gt;Collaboration in school to work transition&lt;/title&gt;&lt;/titles&gt;&lt;dates&gt;&lt;year&gt;2019&lt;/year&gt;&lt;/dates&gt;&lt;pub-location&gt;Melbourne&lt;/pub-location&gt;&lt;publisher&gt;National Disability Services&lt;/publisher&gt;&lt;urls&gt;&lt;related-urls&gt;&lt;url&gt;https://tickettowork.org.au/resource/9/&lt;/url&gt;&lt;/related-urls&gt;&lt;/urls&gt;&lt;/record&gt;&lt;/Cite&gt;&lt;/EndNote&gt;</w:instrText>
      </w:r>
      <w:r w:rsidR="005160C5">
        <w:rPr>
          <w:rFonts w:ascii="Arial" w:hAnsi="Arial" w:cs="Arial"/>
        </w:rPr>
        <w:fldChar w:fldCharType="separate"/>
      </w:r>
      <w:r w:rsidR="005160C5">
        <w:rPr>
          <w:rFonts w:ascii="Arial" w:hAnsi="Arial" w:cs="Arial"/>
          <w:noProof/>
        </w:rPr>
        <w:t>(Meadows, 2019)</w:t>
      </w:r>
      <w:r w:rsidR="005160C5">
        <w:rPr>
          <w:rFonts w:ascii="Arial" w:hAnsi="Arial" w:cs="Arial"/>
        </w:rPr>
        <w:fldChar w:fldCharType="end"/>
      </w:r>
    </w:p>
    <w:p w14:paraId="4CB081D4" w14:textId="77777777" w:rsidR="00DD7EE4" w:rsidRPr="00787233" w:rsidRDefault="005A5481" w:rsidP="00A52A7A">
      <w:pPr>
        <w:pStyle w:val="Default"/>
        <w:numPr>
          <w:ilvl w:val="0"/>
          <w:numId w:val="3"/>
        </w:numPr>
        <w:ind w:left="360"/>
        <w:rPr>
          <w:rFonts w:ascii="Arial" w:hAnsi="Arial" w:cs="Arial"/>
          <w:b/>
        </w:rPr>
      </w:pPr>
      <w:r w:rsidRPr="00A52A7A">
        <w:rPr>
          <w:rFonts w:ascii="Arial" w:hAnsi="Arial" w:cs="Arial"/>
        </w:rPr>
        <w:t xml:space="preserve">Ticket to Work supports effective integration of mainstream and disability supports and reduces duplication </w:t>
      </w:r>
      <w:r w:rsidR="00675AD8">
        <w:rPr>
          <w:rFonts w:ascii="Arial" w:hAnsi="Arial" w:cs="Arial"/>
        </w:rPr>
        <w:fldChar w:fldCharType="begin"/>
      </w:r>
      <w:r w:rsidR="00675AD8">
        <w:rPr>
          <w:rFonts w:ascii="Arial" w:hAnsi="Arial" w:cs="Arial"/>
        </w:rPr>
        <w:instrText xml:space="preserve"> ADDIN EN.CITE &lt;EndNote&gt;&lt;Cite&gt;&lt;Author&gt;Atkinson&lt;/Author&gt;&lt;Year&gt;2019&lt;/Year&gt;&lt;RecNum&gt;1738&lt;/RecNum&gt;&lt;DisplayText&gt;(Atkinson, 2019)&lt;/DisplayText&gt;&lt;record&gt;&lt;rec-number&gt;1738&lt;/rec-number&gt;&lt;foreign-keys&gt;&lt;key app="EN" db-id="afrvxfvzvvpp2tew2sbxfrtxszxsa992r2f0" timestamp="1585206115"&gt;1738&lt;/key&gt;&lt;/foreign-keys&gt;&lt;ref-type name="Report"&gt;27&lt;/ref-type&gt;&lt;contributors&gt;&lt;authors&gt;&lt;author&gt;Atkinson, G., Christian, F., Cassidy, J., Rutherford, J., &amp;amp; Hawkins, A. &lt;/author&gt;&lt;/authors&gt;&lt;/contributors&gt;&lt;titles&gt;&lt;title&gt;Ticket to Work Post School Outcomes Report for National Disability Services Final Report &lt;/title&gt;&lt;/titles&gt;&lt;dates&gt;&lt;year&gt;2019&lt;/year&gt;&lt;/dates&gt;&lt;pub-location&gt;Sydney&lt;/pub-location&gt;&lt;urls&gt;&lt;related-urls&gt;&lt;url&gt;www.tickettowork.org.au/research_evaluation/ticket-work-post-school-outcomes/    &lt;/url&gt;&lt;/related-urls&gt;&lt;/urls&gt;&lt;/record&gt;&lt;/Cite&gt;&lt;/EndNote&gt;</w:instrText>
      </w:r>
      <w:r w:rsidR="00675AD8">
        <w:rPr>
          <w:rFonts w:ascii="Arial" w:hAnsi="Arial" w:cs="Arial"/>
        </w:rPr>
        <w:fldChar w:fldCharType="separate"/>
      </w:r>
      <w:r w:rsidR="00675AD8">
        <w:rPr>
          <w:rFonts w:ascii="Arial" w:hAnsi="Arial" w:cs="Arial"/>
          <w:noProof/>
        </w:rPr>
        <w:t>(Atkinson, 2019)</w:t>
      </w:r>
      <w:r w:rsidR="00675AD8">
        <w:rPr>
          <w:rFonts w:ascii="Arial" w:hAnsi="Arial" w:cs="Arial"/>
        </w:rPr>
        <w:fldChar w:fldCharType="end"/>
      </w:r>
      <w:r w:rsidRPr="00A52A7A">
        <w:rPr>
          <w:rFonts w:ascii="Arial" w:hAnsi="Arial" w:cs="Arial"/>
        </w:rPr>
        <w:t xml:space="preserve"> </w:t>
      </w:r>
    </w:p>
    <w:p w14:paraId="2A718E4A" w14:textId="77777777" w:rsidR="00787233" w:rsidRPr="00A52A7A" w:rsidRDefault="00787233" w:rsidP="00787233">
      <w:pPr>
        <w:pStyle w:val="Default"/>
        <w:ind w:left="360"/>
        <w:rPr>
          <w:rFonts w:ascii="Arial" w:hAnsi="Arial" w:cs="Arial"/>
          <w:b/>
        </w:rPr>
      </w:pPr>
    </w:p>
    <w:p w14:paraId="616C726A" w14:textId="77777777" w:rsidR="005A5481" w:rsidRPr="00A52A7A" w:rsidRDefault="005A5481" w:rsidP="00A52A7A">
      <w:pPr>
        <w:pStyle w:val="Default"/>
        <w:rPr>
          <w:rFonts w:ascii="Arial" w:hAnsi="Arial" w:cs="Arial"/>
          <w:b/>
        </w:rPr>
      </w:pPr>
      <w:r w:rsidRPr="00A52A7A">
        <w:rPr>
          <w:rFonts w:ascii="Arial" w:hAnsi="Arial" w:cs="Arial"/>
          <w:b/>
        </w:rPr>
        <w:t xml:space="preserve">Employment, </w:t>
      </w:r>
      <w:proofErr w:type="gramStart"/>
      <w:r w:rsidRPr="00A52A7A">
        <w:rPr>
          <w:rFonts w:ascii="Arial" w:hAnsi="Arial" w:cs="Arial"/>
          <w:b/>
        </w:rPr>
        <w:t>education</w:t>
      </w:r>
      <w:proofErr w:type="gramEnd"/>
      <w:r w:rsidRPr="00A52A7A">
        <w:rPr>
          <w:rFonts w:ascii="Arial" w:hAnsi="Arial" w:cs="Arial"/>
          <w:b/>
        </w:rPr>
        <w:t xml:space="preserve"> and training outcomes post school </w:t>
      </w:r>
    </w:p>
    <w:p w14:paraId="186E3BEE" w14:textId="77777777" w:rsidR="005A5481" w:rsidRPr="00A52A7A" w:rsidRDefault="005A5481" w:rsidP="00A52A7A">
      <w:pPr>
        <w:pStyle w:val="Default"/>
        <w:ind w:left="720"/>
        <w:rPr>
          <w:rFonts w:ascii="Arial" w:hAnsi="Arial" w:cs="Arial"/>
        </w:rPr>
      </w:pPr>
      <w:r w:rsidRPr="00A52A7A">
        <w:rPr>
          <w:rFonts w:ascii="Arial" w:hAnsi="Arial" w:cs="Arial"/>
          <w:noProof/>
          <w:lang w:eastAsia="en-AU"/>
        </w:rPr>
        <w:drawing>
          <wp:inline distT="0" distB="0" distL="0" distR="0" wp14:anchorId="5057F546" wp14:editId="7679A6B6">
            <wp:extent cx="5392951" cy="2946968"/>
            <wp:effectExtent l="0" t="0" r="0" b="0"/>
            <wp:docPr id="8" name="Picture 8" descr="This image shows a comparison of 3216 participants. &#10;Ticket to work scenario 2316 in employment, education and training compared with 1479 in business as usual&#10;Ticket to work scenario had 900 not in employment education or training compared to 1737 in business as usual,&#10;Ticket to work scenario had 1335 working only compared to 739 in business as usual.&#10;Ticket to Work scenario had 724 working and studying compared to 322 in business as usual.&#10;Ticket to work scenario had 257 studying only compared to 418 in business as usual.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is image shows a comparison of 3216 participants. &#10;Ticket to work scenario 2316 in employment, education and training compared with 1479 in business as usual&#10;Ticket to work scenario had 900 not in employment education or training compared to 1737 in business as usual,&#10;Ticket to work scenario had 1335 working only compared to 739 in business as usual.&#10;Ticket to Work scenario had 724 working and studying compared to 322 in business as usual.&#10;Ticket to work scenario had 257 studying only compared to 418 in business as usual.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9931" cy="2956247"/>
                    </a:xfrm>
                    <a:prstGeom prst="rect">
                      <a:avLst/>
                    </a:prstGeom>
                    <a:noFill/>
                  </pic:spPr>
                </pic:pic>
              </a:graphicData>
            </a:graphic>
          </wp:inline>
        </w:drawing>
      </w:r>
    </w:p>
    <w:p w14:paraId="57FDD0C2" w14:textId="77777777" w:rsidR="005A5481" w:rsidRPr="0028137B" w:rsidRDefault="005A5481" w:rsidP="00A52A7A">
      <w:pPr>
        <w:pStyle w:val="Default"/>
        <w:ind w:left="720"/>
        <w:rPr>
          <w:rFonts w:ascii="Arial" w:hAnsi="Arial" w:cs="Arial"/>
          <w:iCs/>
          <w:sz w:val="36"/>
          <w:szCs w:val="36"/>
        </w:rPr>
      </w:pPr>
    </w:p>
    <w:p w14:paraId="3F3E7E44" w14:textId="77777777" w:rsidR="007E2BA1" w:rsidRPr="0028137B" w:rsidRDefault="007E2BA1" w:rsidP="007E2BA1">
      <w:pPr>
        <w:pStyle w:val="Default"/>
        <w:spacing w:after="120" w:line="259" w:lineRule="auto"/>
        <w:rPr>
          <w:rFonts w:ascii="Arial" w:hAnsi="Arial" w:cs="Arial"/>
          <w:iCs/>
        </w:rPr>
      </w:pPr>
      <w:r w:rsidRPr="0028137B">
        <w:rPr>
          <w:rFonts w:ascii="Arial" w:hAnsi="Arial" w:cs="Arial"/>
          <w:iCs/>
        </w:rPr>
        <w:t>Figure indicates finding of a comparison study.  Ticket to Work participants showed improved employment outcomes compared to young people that did not have Ticket to Work support (Business as usual) ARTD 2019 and SVA 2020</w:t>
      </w:r>
    </w:p>
    <w:p w14:paraId="5B7EBDBC" w14:textId="77777777" w:rsidR="005A5481" w:rsidRDefault="005A5481" w:rsidP="00331BBD">
      <w:r w:rsidRPr="00A52A7A">
        <w:t xml:space="preserve">Ticket to Work participants </w:t>
      </w:r>
      <w:r w:rsidR="00D75469" w:rsidRPr="00A52A7A">
        <w:t>with</w:t>
      </w:r>
      <w:r w:rsidRPr="00A52A7A">
        <w:t xml:space="preserve"> opportunit</w:t>
      </w:r>
      <w:r w:rsidR="00AE6DA3" w:rsidRPr="00A52A7A">
        <w:t>ies</w:t>
      </w:r>
      <w:r w:rsidRPr="00A52A7A">
        <w:t xml:space="preserve"> to participate in work and career development </w:t>
      </w:r>
      <w:r w:rsidR="00AE6DA3" w:rsidRPr="00A52A7A">
        <w:t>activities</w:t>
      </w:r>
      <w:r w:rsidRPr="00A52A7A">
        <w:t xml:space="preserve"> at school showed improved employment, education and training outcomes compared to young people that did not have Ticket to Work support (</w:t>
      </w:r>
      <w:r w:rsidR="00787233">
        <w:t xml:space="preserve">the </w:t>
      </w:r>
      <w:proofErr w:type="gramStart"/>
      <w:r w:rsidR="00787233">
        <w:t>b</w:t>
      </w:r>
      <w:r w:rsidRPr="00A52A7A">
        <w:t>usiness as usual</w:t>
      </w:r>
      <w:proofErr w:type="gramEnd"/>
      <w:r w:rsidR="00787233">
        <w:t xml:space="preserve"> scenario</w:t>
      </w:r>
      <w:r w:rsidRPr="00A52A7A">
        <w:t xml:space="preserve">).  </w:t>
      </w:r>
    </w:p>
    <w:p w14:paraId="2841B6A1" w14:textId="77777777" w:rsidR="005A5481" w:rsidRPr="00A52A7A" w:rsidRDefault="005A5481" w:rsidP="00A52A7A">
      <w:pPr>
        <w:pStyle w:val="Default"/>
        <w:rPr>
          <w:rFonts w:ascii="Arial" w:hAnsi="Arial" w:cs="Arial"/>
          <w:color w:val="auto"/>
        </w:rPr>
      </w:pPr>
      <w:r w:rsidRPr="0028137B">
        <w:rPr>
          <w:rFonts w:ascii="Arial" w:hAnsi="Arial" w:cs="Arial"/>
          <w:b/>
          <w:bCs/>
          <w:color w:val="auto"/>
          <w:sz w:val="28"/>
          <w:szCs w:val="28"/>
        </w:rPr>
        <w:t xml:space="preserve">Characteristics of the Ticket to Work Model </w:t>
      </w:r>
    </w:p>
    <w:p w14:paraId="7C081673" w14:textId="77777777" w:rsidR="005A5481" w:rsidRDefault="005A5481" w:rsidP="00331BBD">
      <w:pPr>
        <w:rPr>
          <w:lang w:eastAsia="en-AU"/>
        </w:rPr>
      </w:pPr>
      <w:r w:rsidRPr="00A52A7A">
        <w:rPr>
          <w:lang w:eastAsia="en-AU"/>
        </w:rPr>
        <w:t xml:space="preserve">Ticket to </w:t>
      </w:r>
      <w:r w:rsidR="00E15657" w:rsidRPr="00A52A7A">
        <w:rPr>
          <w:lang w:eastAsia="en-AU"/>
        </w:rPr>
        <w:t>W</w:t>
      </w:r>
      <w:r w:rsidRPr="00A52A7A">
        <w:rPr>
          <w:lang w:eastAsia="en-AU"/>
        </w:rPr>
        <w:t xml:space="preserve">ork prepares young people for the world of </w:t>
      </w:r>
      <w:r w:rsidR="004C4541">
        <w:rPr>
          <w:lang w:eastAsia="en-AU"/>
        </w:rPr>
        <w:t>w</w:t>
      </w:r>
      <w:r w:rsidRPr="00A52A7A">
        <w:rPr>
          <w:lang w:eastAsia="en-AU"/>
        </w:rPr>
        <w:t>ork, providing them with an open employment pathway in their transition from school through a combination of vocational/career development and early contact with work environments.</w:t>
      </w:r>
    </w:p>
    <w:p w14:paraId="5D52436B" w14:textId="77777777" w:rsidR="005A5481" w:rsidRDefault="005A5481" w:rsidP="00331BBD">
      <w:r w:rsidRPr="00A52A7A">
        <w:t xml:space="preserve">Community networks are developed and leverage the power of cross-sectoral partnerships to provide </w:t>
      </w:r>
      <w:proofErr w:type="spellStart"/>
      <w:r w:rsidRPr="00A52A7A">
        <w:t>individualised</w:t>
      </w:r>
      <w:proofErr w:type="spellEnd"/>
      <w:r w:rsidRPr="00A52A7A">
        <w:t xml:space="preserve"> support, blending existing resources, </w:t>
      </w:r>
      <w:proofErr w:type="gramStart"/>
      <w:r w:rsidRPr="00A52A7A">
        <w:t>coordinating</w:t>
      </w:r>
      <w:proofErr w:type="gramEnd"/>
      <w:r w:rsidR="000F7745">
        <w:t xml:space="preserve"> and</w:t>
      </w:r>
      <w:r w:rsidRPr="00A52A7A">
        <w:t xml:space="preserve"> scaffolding all relevant supports for young people with significant disability. </w:t>
      </w:r>
    </w:p>
    <w:p w14:paraId="37F153A3" w14:textId="77777777" w:rsidR="005A5481" w:rsidRDefault="005A5481" w:rsidP="00331BBD">
      <w:r w:rsidRPr="00A52A7A">
        <w:lastRenderedPageBreak/>
        <w:t xml:space="preserve">The networks are coordinated by an intermediary, which supports </w:t>
      </w:r>
      <w:r w:rsidR="005C07E1" w:rsidRPr="00A52A7A">
        <w:t xml:space="preserve">the </w:t>
      </w:r>
      <w:r w:rsidRPr="00A52A7A">
        <w:t xml:space="preserve">development of a local community partnership, including schools, employment services, training </w:t>
      </w:r>
      <w:proofErr w:type="spellStart"/>
      <w:r w:rsidRPr="00A52A7A">
        <w:t>organisations</w:t>
      </w:r>
      <w:proofErr w:type="spellEnd"/>
      <w:r w:rsidRPr="00A52A7A">
        <w:t>, post school providers and employers.</w:t>
      </w:r>
    </w:p>
    <w:p w14:paraId="4022600B" w14:textId="77777777" w:rsidR="005A5481" w:rsidRPr="00A52A7A" w:rsidRDefault="005A5481" w:rsidP="00331BBD">
      <w:pPr>
        <w:rPr>
          <w:lang w:eastAsia="en-AU"/>
        </w:rPr>
      </w:pPr>
      <w:r w:rsidRPr="00A52A7A">
        <w:rPr>
          <w:lang w:eastAsia="en-AU"/>
        </w:rPr>
        <w:t>Ticket to Work:</w:t>
      </w:r>
    </w:p>
    <w:p w14:paraId="01CB58F2" w14:textId="77777777" w:rsidR="005A5481" w:rsidRPr="00A52A7A" w:rsidRDefault="005A5481" w:rsidP="00331BBD">
      <w:pPr>
        <w:pStyle w:val="ListParagraph"/>
        <w:numPr>
          <w:ilvl w:val="0"/>
          <w:numId w:val="4"/>
        </w:numPr>
        <w:rPr>
          <w:lang w:eastAsia="en-AU"/>
        </w:rPr>
      </w:pPr>
      <w:r w:rsidRPr="00A52A7A">
        <w:rPr>
          <w:lang w:eastAsia="en-AU"/>
        </w:rPr>
        <w:t>brings together disability-specific and mainstream representatives from a variety of sectors to work strategically and collaboratively</w:t>
      </w:r>
    </w:p>
    <w:p w14:paraId="711FF24F" w14:textId="77777777" w:rsidR="005A5481" w:rsidRPr="00A52A7A" w:rsidRDefault="005A5481" w:rsidP="00331BBD">
      <w:pPr>
        <w:pStyle w:val="ListParagraph"/>
        <w:numPr>
          <w:ilvl w:val="0"/>
          <w:numId w:val="4"/>
        </w:numPr>
        <w:rPr>
          <w:lang w:eastAsia="en-AU"/>
        </w:rPr>
      </w:pPr>
      <w:r w:rsidRPr="00A52A7A">
        <w:rPr>
          <w:lang w:eastAsia="en-AU"/>
        </w:rPr>
        <w:t>supports young people to gain access to early experiences that positively influence their views of themselves as workers</w:t>
      </w:r>
    </w:p>
    <w:p w14:paraId="719FBBF5" w14:textId="77777777" w:rsidR="005A5481" w:rsidRPr="00A52A7A" w:rsidRDefault="005A5481" w:rsidP="00331BBD">
      <w:pPr>
        <w:pStyle w:val="ListParagraph"/>
        <w:numPr>
          <w:ilvl w:val="0"/>
          <w:numId w:val="4"/>
        </w:numPr>
        <w:rPr>
          <w:lang w:eastAsia="en-AU"/>
        </w:rPr>
      </w:pPr>
      <w:r w:rsidRPr="00A52A7A">
        <w:rPr>
          <w:lang w:eastAsia="en-AU"/>
        </w:rPr>
        <w:t>prepares young people with disability for the workplace and gives them an employment pathway that is typical of other young adults</w:t>
      </w:r>
    </w:p>
    <w:p w14:paraId="17FA8F22" w14:textId="77777777" w:rsidR="00A52A7A" w:rsidRDefault="005A5481" w:rsidP="00331BBD">
      <w:pPr>
        <w:pStyle w:val="ListParagraph"/>
        <w:numPr>
          <w:ilvl w:val="0"/>
          <w:numId w:val="4"/>
        </w:numPr>
      </w:pPr>
      <w:r w:rsidRPr="00A52A7A">
        <w:rPr>
          <w:lang w:eastAsia="en-AU"/>
        </w:rPr>
        <w:t>meets the needs of employers, providing enhanced retention and profitability.</w:t>
      </w:r>
    </w:p>
    <w:p w14:paraId="0251B8D6" w14:textId="77777777" w:rsidR="00364841" w:rsidRPr="0028137B" w:rsidRDefault="00F70057" w:rsidP="00331BBD">
      <w:pPr>
        <w:pStyle w:val="Heading3"/>
        <w:rPr>
          <w:sz w:val="28"/>
          <w:szCs w:val="28"/>
        </w:rPr>
      </w:pPr>
      <w:r w:rsidRPr="0028137B">
        <w:rPr>
          <w:sz w:val="28"/>
          <w:szCs w:val="28"/>
        </w:rPr>
        <w:t>Interaction between se</w:t>
      </w:r>
      <w:r w:rsidR="00065D40" w:rsidRPr="0028137B">
        <w:rPr>
          <w:sz w:val="28"/>
          <w:szCs w:val="28"/>
        </w:rPr>
        <w:t>ctors</w:t>
      </w:r>
      <w:r w:rsidRPr="0028137B">
        <w:rPr>
          <w:sz w:val="28"/>
          <w:szCs w:val="28"/>
        </w:rPr>
        <w:t xml:space="preserve">: </w:t>
      </w:r>
      <w:r w:rsidR="00364841" w:rsidRPr="0028137B">
        <w:rPr>
          <w:sz w:val="28"/>
          <w:szCs w:val="28"/>
        </w:rPr>
        <w:t>The significance of collaboration</w:t>
      </w:r>
    </w:p>
    <w:p w14:paraId="142CA709" w14:textId="77777777" w:rsidR="00364841" w:rsidRDefault="00B9246E" w:rsidP="00331BBD">
      <w:r w:rsidRPr="00A52A7A">
        <w:t>Ticket to Work demonstrates the significance of</w:t>
      </w:r>
      <w:r w:rsidR="006A676E" w:rsidRPr="00A52A7A">
        <w:t xml:space="preserve"> interaction </w:t>
      </w:r>
      <w:r w:rsidR="004C4541">
        <w:t>and</w:t>
      </w:r>
      <w:r w:rsidR="00B466A0" w:rsidRPr="00A52A7A">
        <w:t xml:space="preserve"> collaboration </w:t>
      </w:r>
      <w:r w:rsidR="006A676E" w:rsidRPr="00A52A7A">
        <w:t xml:space="preserve">between </w:t>
      </w:r>
      <w:r w:rsidR="00B466A0" w:rsidRPr="00A52A7A">
        <w:t>education</w:t>
      </w:r>
      <w:r w:rsidR="00E176C2" w:rsidRPr="00A52A7A">
        <w:t xml:space="preserve"> </w:t>
      </w:r>
      <w:r w:rsidR="00284C43" w:rsidRPr="00A52A7A">
        <w:t>funded</w:t>
      </w:r>
      <w:r w:rsidR="006A676E" w:rsidRPr="00A52A7A">
        <w:t xml:space="preserve"> by </w:t>
      </w:r>
      <w:r w:rsidR="00231E57" w:rsidRPr="00A52A7A">
        <w:t>s</w:t>
      </w:r>
      <w:r w:rsidR="00E176C2" w:rsidRPr="00A52A7A">
        <w:t>tate governments</w:t>
      </w:r>
      <w:r w:rsidR="00673C96">
        <w:t>;</w:t>
      </w:r>
      <w:r w:rsidR="00F70057" w:rsidRPr="00A52A7A">
        <w:t xml:space="preserve"> disability supports through the NDIS</w:t>
      </w:r>
      <w:r w:rsidR="00E176C2" w:rsidRPr="00A52A7A">
        <w:t xml:space="preserve"> and </w:t>
      </w:r>
      <w:r w:rsidR="00231E57" w:rsidRPr="00A52A7A">
        <w:t>e</w:t>
      </w:r>
      <w:r w:rsidR="00E176C2" w:rsidRPr="00A52A7A">
        <w:t xml:space="preserve">mployment services funded by the </w:t>
      </w:r>
      <w:r w:rsidR="006A676E" w:rsidRPr="00A52A7A">
        <w:t>Commonwealth</w:t>
      </w:r>
      <w:r w:rsidR="00231E57" w:rsidRPr="00A52A7A">
        <w:t xml:space="preserve">. </w:t>
      </w:r>
      <w:r w:rsidR="00364841" w:rsidRPr="00A52A7A">
        <w:t>Programs are often ‘siloed’, in either schools or adult disability services, training or employment services</w:t>
      </w:r>
      <w:r w:rsidR="007E1B6F" w:rsidRPr="00A52A7A">
        <w:t xml:space="preserve">, </w:t>
      </w:r>
      <w:r w:rsidR="00364841" w:rsidRPr="00A52A7A">
        <w:t>creat</w:t>
      </w:r>
      <w:r w:rsidR="007E1B6F" w:rsidRPr="00A52A7A">
        <w:t>ing</w:t>
      </w:r>
      <w:r w:rsidR="00364841" w:rsidRPr="00A52A7A">
        <w:t xml:space="preserve"> a dichotomous model whose division of service delivery is reflective of traditional funding arrangements by governments</w:t>
      </w:r>
      <w:r w:rsidR="006622BC">
        <w:t xml:space="preserve"> </w:t>
      </w:r>
      <w:r w:rsidR="006622BC">
        <w:fldChar w:fldCharType="begin"/>
      </w:r>
      <w:r w:rsidR="006622BC">
        <w:instrText xml:space="preserve"> ADDIN EN.CITE &lt;EndNote&gt;&lt;Cite&gt;&lt;Author&gt;Winn&lt;/Author&gt;&lt;Year&gt;2009&lt;/Year&gt;&lt;RecNum&gt;1734&lt;/RecNum&gt;&lt;DisplayText&gt;(Winn &amp;amp; Hay, 2009)&lt;/DisplayText&gt;&lt;record&gt;&lt;rec-number&gt;1734&lt;/rec-number&gt;&lt;foreign-keys&gt;&lt;key app="EN" db-id="afrvxfvzvvpp2tew2sbxfrtxszxsa992r2f0" timestamp="1585124747"&gt;1734&lt;/key&gt;&lt;/foreign-keys&gt;&lt;ref-type name="Journal Article"&gt;17&lt;/ref-type&gt;&lt;contributors&gt;&lt;authors&gt;&lt;author&gt;Winn, Stephen&lt;/author&gt;&lt;author&gt;Hay, Ian&lt;/author&gt;&lt;/authors&gt;&lt;/contributors&gt;&lt;titles&gt;&lt;title&gt;Transition from school for youths with a disability: issues and challenges&lt;/title&gt;&lt;secondary-title&gt;Disability &amp;amp; Society&lt;/secondary-title&gt;&lt;/titles&gt;&lt;periodical&gt;&lt;full-title&gt;Disability &amp;amp; Society&lt;/full-title&gt;&lt;/periodical&gt;&lt;pages&gt;103-115&lt;/pages&gt;&lt;volume&gt;24&lt;/volume&gt;&lt;number&gt;1&lt;/number&gt;&lt;keywords&gt;&lt;keyword&gt;Transition&lt;/keyword&gt;&lt;keyword&gt;Disability&lt;/keyword&gt;&lt;keyword&gt;Youth&lt;/keyword&gt;&lt;keyword&gt;Employment&lt;/keyword&gt;&lt;keyword&gt;Schooling&lt;/keyword&gt;&lt;keyword&gt;Community&lt;/keyword&gt;&lt;keyword&gt;Social Welfare &amp;amp; Social Work&lt;/keyword&gt;&lt;/keywords&gt;&lt;dates&gt;&lt;year&gt;2009&lt;/year&gt;&lt;/dates&gt;&lt;isbn&gt;0968-7599&lt;/isbn&gt;&lt;urls&gt;&lt;/urls&gt;&lt;electronic-resource-num&gt;10.1080/09687590802535725&lt;/electronic-resource-num&gt;&lt;/record&gt;&lt;/Cite&gt;&lt;/EndNote&gt;</w:instrText>
      </w:r>
      <w:r w:rsidR="006622BC">
        <w:fldChar w:fldCharType="separate"/>
      </w:r>
      <w:r w:rsidR="006622BC">
        <w:rPr>
          <w:noProof/>
        </w:rPr>
        <w:t>(Winn &amp; Hay, 2009)</w:t>
      </w:r>
      <w:r w:rsidR="006622BC">
        <w:fldChar w:fldCharType="end"/>
      </w:r>
      <w:r w:rsidR="00364841" w:rsidRPr="00A52A7A">
        <w:t xml:space="preserve">. </w:t>
      </w:r>
    </w:p>
    <w:p w14:paraId="1010CE14" w14:textId="77777777" w:rsidR="00364841" w:rsidRDefault="00364841" w:rsidP="00331BBD">
      <w:r w:rsidRPr="00A52A7A">
        <w:t>Young people with disability need to have access to supports enabl</w:t>
      </w:r>
      <w:r w:rsidR="00633454" w:rsidRPr="00A52A7A">
        <w:t>ing</w:t>
      </w:r>
      <w:r w:rsidRPr="00A52A7A">
        <w:t xml:space="preserve"> them to transition effectively from school into employment. Just as the impact of disability impacts upon individuals on a continuum, there needs to be a continuum of service responses to address the barriers individuals face. Post-school services need to connect with individuals while at school, with the initiation of career development and pre-employment skills training commencing </w:t>
      </w:r>
      <w:r w:rsidR="0050539C" w:rsidRPr="00A52A7A">
        <w:t>before</w:t>
      </w:r>
      <w:r w:rsidRPr="00A52A7A">
        <w:t xml:space="preserve"> school-leaving age</w:t>
      </w:r>
      <w:r w:rsidR="006622BC">
        <w:t xml:space="preserve"> </w:t>
      </w:r>
      <w:r w:rsidR="006622BC">
        <w:fldChar w:fldCharType="begin"/>
      </w:r>
      <w:r w:rsidR="006622BC">
        <w:instrText xml:space="preserve"> ADDIN EN.CITE &lt;EndNote&gt;&lt;Cite&gt;&lt;Author&gt;Kruger&lt;/Author&gt;&lt;Year&gt;2006&lt;/Year&gt;&lt;RecNum&gt;1745&lt;/RecNum&gt;&lt;DisplayText&gt;(Kruger, Elinson, &amp;amp; Milfort, 2006)&lt;/DisplayText&gt;&lt;record&gt;&lt;rec-number&gt;1745&lt;/rec-number&gt;&lt;foreign-keys&gt;&lt;key app="EN" db-id="afrvxfvzvvpp2tew2sbxfrtxszxsa992r2f0" timestamp="1585266603"&gt;1745&lt;/key&gt;&lt;/foreign-keys&gt;&lt;ref-type name="Journal Article"&gt;17&lt;/ref-type&gt;&lt;contributors&gt;&lt;authors&gt;&lt;author&gt;Kruger, H. R.&lt;/author&gt;&lt;author&gt;Elinson, L&lt;/author&gt;&lt;author&gt;Milfort, R.&lt;/author&gt;&lt;/authors&gt;&lt;/contributors&gt;&lt;titles&gt;&lt;title&gt; Role of intermediaries in ODEP Youth Demonstration Programs.&lt;/title&gt;&lt;/titles&gt;&lt;dates&gt;&lt;year&gt;2006&lt;/year&gt;&lt;/dates&gt;&lt;urls&gt;&lt;related-urls&gt;&lt;url&gt;https://digitalcommons.ilr.cornell.edu/cgi/viewcontent.cgi?article=1330&amp;amp;context=gladnetcollect&lt;/url&gt;&lt;/related-urls&gt;&lt;/urls&gt;&lt;/record&gt;&lt;/Cite&gt;&lt;/EndNote&gt;</w:instrText>
      </w:r>
      <w:r w:rsidR="006622BC">
        <w:fldChar w:fldCharType="separate"/>
      </w:r>
      <w:r w:rsidR="006622BC">
        <w:rPr>
          <w:noProof/>
        </w:rPr>
        <w:t>(Kruger, Elinson, &amp; Milfort, 2006)</w:t>
      </w:r>
      <w:r w:rsidR="006622BC">
        <w:fldChar w:fldCharType="end"/>
      </w:r>
      <w:r w:rsidRPr="00A52A7A">
        <w:t>.</w:t>
      </w:r>
    </w:p>
    <w:p w14:paraId="6FBE9C85" w14:textId="77777777" w:rsidR="00364841" w:rsidRDefault="00364841" w:rsidP="00331BBD">
      <w:r w:rsidRPr="00A52A7A">
        <w:t>Interventions should include preventive and collaborative approaches that address the multiple causes of exclusion</w:t>
      </w:r>
      <w:r w:rsidR="006622BC">
        <w:t xml:space="preserve"> </w:t>
      </w:r>
      <w:r w:rsidR="006622BC">
        <w:fldChar w:fldCharType="begin"/>
      </w:r>
      <w:r w:rsidR="006622BC">
        <w:instrText xml:space="preserve"> ADDIN EN.CITE &lt;EndNote&gt;&lt;Cite&gt;&lt;Author&gt;Dyson&lt;/Author&gt;&lt;Year&gt;2005&lt;/Year&gt;&lt;RecNum&gt;1746&lt;/RecNum&gt;&lt;DisplayText&gt;(Dyson, 2005)&lt;/DisplayText&gt;&lt;record&gt;&lt;rec-number&gt;1746&lt;/rec-number&gt;&lt;foreign-keys&gt;&lt;key app="EN" db-id="afrvxfvzvvpp2tew2sbxfrtxszxsa992r2f0" timestamp="1585267060"&gt;1746&lt;/key&gt;&lt;/foreign-keys&gt;&lt;ref-type name="Report"&gt;27&lt;/ref-type&gt;&lt;contributors&gt;&lt;authors&gt;&lt;author&gt;Dyson, A., Aston, J., Dewson, S., &amp;amp; Loukas, G.&lt;/author&gt;&lt;/authors&gt;&lt;/contributors&gt;&lt;titles&gt;&lt;title&gt; Post-16 transitions: a longitudinal study of young people with special educational needs (wave three).&lt;/title&gt;&lt;/titles&gt;&lt;dates&gt;&lt;year&gt;2005&lt;/year&gt;&lt;/dates&gt;&lt;pub-location&gt;Brighton UK &lt;/pub-location&gt;&lt;urls&gt;&lt;related-urls&gt;&lt;url&gt; https://www.educationandemployers.org/wp-content/uploads/2014/06/sen-transitions-wave-3-dfes.pdf&lt;/url&gt;&lt;/related-urls&gt;&lt;/urls&gt;&lt;/record&gt;&lt;/Cite&gt;&lt;/EndNote&gt;</w:instrText>
      </w:r>
      <w:r w:rsidR="006622BC">
        <w:fldChar w:fldCharType="separate"/>
      </w:r>
      <w:r w:rsidR="006622BC">
        <w:rPr>
          <w:noProof/>
        </w:rPr>
        <w:t>(Dyson, 2005)</w:t>
      </w:r>
      <w:r w:rsidR="006622BC">
        <w:fldChar w:fldCharType="end"/>
      </w:r>
      <w:r w:rsidRPr="00A52A7A">
        <w:t>.</w:t>
      </w:r>
    </w:p>
    <w:p w14:paraId="7E87908D" w14:textId="77777777" w:rsidR="00364841" w:rsidRDefault="00364841" w:rsidP="00331BBD">
      <w:r w:rsidRPr="00A52A7A">
        <w:t xml:space="preserve">Collaboration between schools and agencies preparing people with disability for the world of </w:t>
      </w:r>
      <w:r w:rsidR="00E15657" w:rsidRPr="00A52A7A">
        <w:t>W</w:t>
      </w:r>
      <w:r w:rsidRPr="00A52A7A">
        <w:t xml:space="preserve">ork is a </w:t>
      </w:r>
      <w:r w:rsidR="00C956F1" w:rsidRPr="00A52A7A">
        <w:t>critical</w:t>
      </w:r>
      <w:r w:rsidRPr="00A52A7A">
        <w:t xml:space="preserve"> component in creating employment opportunities. Kohler</w:t>
      </w:r>
      <w:r w:rsidR="004275FC">
        <w:t xml:space="preserve"> </w:t>
      </w:r>
      <w:r w:rsidR="004275FC">
        <w:fldChar w:fldCharType="begin"/>
      </w:r>
      <w:r w:rsidR="004275FC">
        <w:instrText xml:space="preserve"> ADDIN EN.CITE &lt;EndNote&gt;&lt;Cite ExcludeAuth="1"&gt;&lt;Author&gt;Kohler&lt;/Author&gt;&lt;Year&gt;1993&lt;/Year&gt;&lt;RecNum&gt;1748&lt;/RecNum&gt;&lt;DisplayText&gt;(1993)&lt;/DisplayText&gt;&lt;record&gt;&lt;rec-number&gt;1748&lt;/rec-number&gt;&lt;foreign-keys&gt;&lt;key app="EN" db-id="afrvxfvzvvpp2tew2sbxfrtxszxsa992r2f0" timestamp="1585267596"&gt;1748&lt;/key&gt;&lt;/foreign-keys&gt;&lt;ref-type name="Journal Article"&gt;17&lt;/ref-type&gt;&lt;contributors&gt;&lt;authors&gt;&lt;author&gt;Kohler, Paula D&lt;/author&gt;&lt;/authors&gt;&lt;/contributors&gt;&lt;titles&gt;&lt;title&gt;Best practices in transition: Substantiated or implied?&lt;/title&gt;&lt;secondary-title&gt;Career Development for exceptional individuals&lt;/secondary-title&gt;&lt;/titles&gt;&lt;periodical&gt;&lt;full-title&gt;Career Development for Exceptional Individuals&lt;/full-title&gt;&lt;/periodical&gt;&lt;pages&gt;107-121&lt;/pages&gt;&lt;volume&gt;16&lt;/volume&gt;&lt;number&gt;2&lt;/number&gt;&lt;dates&gt;&lt;year&gt;1993&lt;/year&gt;&lt;/dates&gt;&lt;isbn&gt;0885-7288&lt;/isbn&gt;&lt;urls&gt;&lt;/urls&gt;&lt;/record&gt;&lt;/Cite&gt;&lt;/EndNote&gt;</w:instrText>
      </w:r>
      <w:r w:rsidR="004275FC">
        <w:fldChar w:fldCharType="separate"/>
      </w:r>
      <w:r w:rsidR="004275FC">
        <w:rPr>
          <w:noProof/>
        </w:rPr>
        <w:t>(1993)</w:t>
      </w:r>
      <w:r w:rsidR="004275FC">
        <w:fldChar w:fldCharType="end"/>
      </w:r>
      <w:r w:rsidRPr="00A52A7A">
        <w:t xml:space="preserve"> identified interagency cooperation and collaboration as one of the most frequently cited “best practices” for transition planning and included it as one of five key practice areas in her seminal </w:t>
      </w:r>
      <w:r w:rsidR="000539A4">
        <w:t>w</w:t>
      </w:r>
      <w:r w:rsidRPr="00A52A7A">
        <w:t xml:space="preserve">ork, the Taxonomy for Transition </w:t>
      </w:r>
      <w:r w:rsidRPr="00F971E2">
        <w:t>Progra</w:t>
      </w:r>
      <w:r w:rsidR="00C956F1" w:rsidRPr="00F971E2">
        <w:t>m</w:t>
      </w:r>
      <w:r w:rsidRPr="00F971E2">
        <w:t>ming</w:t>
      </w:r>
      <w:r w:rsidR="002F328E" w:rsidRPr="00F971E2">
        <w:rPr>
          <w:color w:val="222222"/>
          <w:shd w:val="clear" w:color="auto" w:fill="FFFFFF"/>
        </w:rPr>
        <w:t xml:space="preserve"> The Taxonomy for Transition Programming 2.0</w:t>
      </w:r>
      <w:r w:rsidR="00F971E2" w:rsidRPr="00F971E2">
        <w:rPr>
          <w:color w:val="222222"/>
          <w:shd w:val="clear" w:color="auto" w:fill="FFFFFF"/>
        </w:rPr>
        <w:t xml:space="preserve"> </w:t>
      </w:r>
      <w:r w:rsidR="00F971E2">
        <w:rPr>
          <w:color w:val="222222"/>
          <w:shd w:val="clear" w:color="auto" w:fill="FFFFFF"/>
        </w:rPr>
        <w:fldChar w:fldCharType="begin"/>
      </w:r>
      <w:r w:rsidR="00F971E2">
        <w:rPr>
          <w:color w:val="222222"/>
          <w:shd w:val="clear" w:color="auto" w:fill="FFFFFF"/>
        </w:rPr>
        <w:instrText xml:space="preserve"> ADDIN EN.CITE &lt;EndNote&gt;&lt;Cite&gt;&lt;Author&gt;Kohler&lt;/Author&gt;&lt;Year&gt;2016&lt;/Year&gt;&lt;RecNum&gt;1763&lt;/RecNum&gt;&lt;DisplayText&gt;(Kohler &amp;amp; Gothberg, 2016)&lt;/DisplayText&gt;&lt;record&gt;&lt;rec-number&gt;1763&lt;/rec-number&gt;&lt;foreign-keys&gt;&lt;key app="EN" db-id="afrvxfvzvvpp2tew2sbxfrtxszxsa992r2f0" timestamp="1585271144"&gt;1763&lt;/key&gt;&lt;/foreign-keys&gt;&lt;ref-type name="Book"&gt;6&lt;/ref-type&gt;&lt;contributors&gt;&lt;authors&gt;&lt;author&gt;Kohler, Paula D&lt;/author&gt;&lt;author&gt;Gothberg, June E&lt;/author&gt;&lt;/authors&gt;&lt;/contributors&gt;&lt;titles&gt;&lt;title&gt;Taxonomy for Transition Programming 2.0&lt;/title&gt;&lt;/titles&gt;&lt;dates&gt;&lt;year&gt;2016&lt;/year&gt;&lt;/dates&gt;&lt;pub-location&gt;Kalamazoo Michigan:&lt;/pub-location&gt;&lt;publisher&gt;Western Michigan University&lt;/publisher&gt;&lt;urls&gt;&lt;/urls&gt;&lt;/record&gt;&lt;/Cite&gt;&lt;/EndNote&gt;</w:instrText>
      </w:r>
      <w:r w:rsidR="00F971E2">
        <w:rPr>
          <w:color w:val="222222"/>
          <w:shd w:val="clear" w:color="auto" w:fill="FFFFFF"/>
        </w:rPr>
        <w:fldChar w:fldCharType="separate"/>
      </w:r>
      <w:r w:rsidR="00F971E2">
        <w:rPr>
          <w:noProof/>
          <w:color w:val="222222"/>
          <w:shd w:val="clear" w:color="auto" w:fill="FFFFFF"/>
        </w:rPr>
        <w:t>(Kohler &amp; Gothberg, 2016)</w:t>
      </w:r>
      <w:r w:rsidR="00F971E2">
        <w:rPr>
          <w:color w:val="222222"/>
          <w:shd w:val="clear" w:color="auto" w:fill="FFFFFF"/>
        </w:rPr>
        <w:fldChar w:fldCharType="end"/>
      </w:r>
      <w:r w:rsidRPr="00A52A7A">
        <w:t xml:space="preserve">. </w:t>
      </w:r>
    </w:p>
    <w:p w14:paraId="31C16357" w14:textId="77777777" w:rsidR="00364841" w:rsidRDefault="00364841" w:rsidP="00331BBD">
      <w:r w:rsidRPr="00A52A7A">
        <w:t xml:space="preserve">Exploration, </w:t>
      </w:r>
      <w:proofErr w:type="gramStart"/>
      <w:r w:rsidRPr="00A52A7A">
        <w:t>preparation</w:t>
      </w:r>
      <w:proofErr w:type="gramEnd"/>
      <w:r w:rsidRPr="00A52A7A">
        <w:t xml:space="preserve"> and implementation for employment pathways needs to occur while students are still attending school</w:t>
      </w:r>
      <w:r w:rsidR="00C956F1" w:rsidRPr="00A52A7A">
        <w:t>,</w:t>
      </w:r>
      <w:r w:rsidRPr="00A52A7A">
        <w:t xml:space="preserve"> and there needs to be collaboration between key stakeholders. These include mainstream post-school services with expertise in vocational training, </w:t>
      </w:r>
      <w:proofErr w:type="gramStart"/>
      <w:r w:rsidRPr="00A52A7A">
        <w:t>apprenticeships</w:t>
      </w:r>
      <w:proofErr w:type="gramEnd"/>
      <w:r w:rsidRPr="00A52A7A">
        <w:t xml:space="preserve"> and the provision of work experience, along with disability specific services with experience in teaching employment skills, school staff, families and the students.</w:t>
      </w:r>
    </w:p>
    <w:p w14:paraId="630CCCA8" w14:textId="77777777" w:rsidR="00364841" w:rsidRDefault="004C4541" w:rsidP="00331BBD">
      <w:r>
        <w:lastRenderedPageBreak/>
        <w:t>In the US it is acknowledged that:</w:t>
      </w:r>
    </w:p>
    <w:p w14:paraId="7D1430E1" w14:textId="77777777" w:rsidR="00364841" w:rsidRPr="00A52A7A" w:rsidRDefault="00364841" w:rsidP="00331BBD">
      <w:pPr>
        <w:pStyle w:val="Quote"/>
      </w:pPr>
      <w:r w:rsidRPr="004C4541">
        <w:t xml:space="preserve">Neither schools, nor workforce investment programs, human service agencies, or any other single system alone can pay for and provide the array of services needed to effectively meet the </w:t>
      </w:r>
      <w:proofErr w:type="gramStart"/>
      <w:r w:rsidRPr="004C4541">
        <w:t>often complex</w:t>
      </w:r>
      <w:proofErr w:type="gramEnd"/>
      <w:r w:rsidRPr="004C4541">
        <w:t xml:space="preserve"> needs of youth with disabilities. When collectively pooled, however, these resources can produce positive outcomes for youth, well beyond the scope of what any single system can hope to </w:t>
      </w:r>
      <w:proofErr w:type="spellStart"/>
      <w:r w:rsidRPr="004C4541">
        <w:t>mobilise</w:t>
      </w:r>
      <w:proofErr w:type="spellEnd"/>
      <w:r w:rsidRPr="004C4541">
        <w:t xml:space="preserve"> on its own</w:t>
      </w:r>
      <w:r w:rsidR="00AD5C8E">
        <w:t xml:space="preserve"> </w:t>
      </w:r>
      <w:r w:rsidR="00AD5C8E">
        <w:fldChar w:fldCharType="begin"/>
      </w:r>
      <w:r w:rsidR="00AD5C8E">
        <w:instrText xml:space="preserve"> ADDIN EN.CITE &lt;EndNote&gt;&lt;Cite&gt;&lt;Author&gt;National Governors’ Association Center for Best Practice&lt;/Author&gt;&lt;Year&gt;2004&lt;/Year&gt;&lt;RecNum&gt;1757&lt;/RecNum&gt;&lt;DisplayText&gt;(National Governors’ Association Center for Best Practice, 2004)&lt;/DisplayText&gt;&lt;record&gt;&lt;rec-number&gt;1757&lt;/rec-number&gt;&lt;foreign-keys&gt;&lt;key app="EN" db-id="afrvxfvzvvpp2tew2sbxfrtxszxsa992r2f0" timestamp="1585269193"&gt;1757&lt;/key&gt;&lt;/foreign-keys&gt;&lt;ref-type name="Report"&gt;27&lt;/ref-type&gt;&lt;contributors&gt;&lt;authors&gt;&lt;author&gt;National Governors’ Association Center for Best Practice, &lt;/author&gt;&lt;/authors&gt;&lt;/contributors&gt;&lt;titles&gt;&lt;title&gt;Early lessons from states to promote youth development’&lt;/title&gt;&lt;/titles&gt;&lt;dates&gt;&lt;year&gt;2004&lt;/year&gt;&lt;/dates&gt;&lt;pub-location&gt;Washington, DC&lt;/pub-location&gt;&lt;publisher&gt; National Governor’s Association Social, Economic and Workforce Programs,&lt;/publisher&gt;&lt;urls&gt;&lt;/urls&gt;&lt;/record&gt;&lt;/Cite&gt;&lt;/EndNote&gt;</w:instrText>
      </w:r>
      <w:r w:rsidR="00AD5C8E">
        <w:fldChar w:fldCharType="separate"/>
      </w:r>
      <w:r w:rsidR="00AD5C8E">
        <w:rPr>
          <w:noProof/>
        </w:rPr>
        <w:t>(National Governors’ Association Center for Best Practice, 2004)</w:t>
      </w:r>
      <w:r w:rsidR="00AD5C8E">
        <w:fldChar w:fldCharType="end"/>
      </w:r>
      <w:r w:rsidRPr="004C4541">
        <w:t>.</w:t>
      </w:r>
    </w:p>
    <w:p w14:paraId="0AA41E81" w14:textId="77777777" w:rsidR="00364841" w:rsidRDefault="004C4541" w:rsidP="00331BBD">
      <w:r>
        <w:t>Also</w:t>
      </w:r>
      <w:r w:rsidR="00DF155F">
        <w:t>,</w:t>
      </w:r>
      <w:r>
        <w:t xml:space="preserve"> in the US,</w:t>
      </w:r>
      <w:r w:rsidR="00DC3E1E" w:rsidRPr="00A52A7A">
        <w:t xml:space="preserve"> c</w:t>
      </w:r>
      <w:r w:rsidR="00364841" w:rsidRPr="00A52A7A">
        <w:t>ollaboration is mandat</w:t>
      </w:r>
      <w:r w:rsidR="00D40CFF" w:rsidRPr="00A52A7A">
        <w:t>ory,</w:t>
      </w:r>
      <w:r w:rsidR="00364841" w:rsidRPr="00A52A7A">
        <w:t xml:space="preserve"> and tran</w:t>
      </w:r>
      <w:r>
        <w:t>sition services/career decision-</w:t>
      </w:r>
      <w:r w:rsidR="00364841" w:rsidRPr="00A52A7A">
        <w:t xml:space="preserve">making </w:t>
      </w:r>
      <w:r w:rsidR="00D549B1" w:rsidRPr="00A52A7A">
        <w:t>take place</w:t>
      </w:r>
      <w:r w:rsidR="00364841" w:rsidRPr="00A52A7A">
        <w:t xml:space="preserve"> in partnership with the post school supports.  </w:t>
      </w:r>
    </w:p>
    <w:p w14:paraId="5532EA97" w14:textId="77777777" w:rsidR="00252640" w:rsidRDefault="00364841" w:rsidP="00331BBD">
      <w:r w:rsidRPr="00A52A7A">
        <w:t>In Australia,</w:t>
      </w:r>
      <w:r w:rsidR="00CC5983" w:rsidRPr="00A52A7A">
        <w:t xml:space="preserve"> there is</w:t>
      </w:r>
      <w:r w:rsidR="004C4541">
        <w:t xml:space="preserve"> a</w:t>
      </w:r>
      <w:r w:rsidR="00CC5983" w:rsidRPr="00A52A7A">
        <w:t xml:space="preserve"> need to support col</w:t>
      </w:r>
      <w:r w:rsidR="0078540B" w:rsidRPr="00A52A7A">
        <w:t>laboration</w:t>
      </w:r>
      <w:r w:rsidR="000F7BFE">
        <w:t>,</w:t>
      </w:r>
      <w:r w:rsidR="0078540B" w:rsidRPr="00A52A7A">
        <w:t xml:space="preserve"> as in the Ticket to W</w:t>
      </w:r>
      <w:r w:rsidR="00CC5983" w:rsidRPr="00A52A7A">
        <w:t>ork model to ensure</w:t>
      </w:r>
      <w:r w:rsidRPr="00A52A7A">
        <w:t xml:space="preserve"> sectors and systems work together to improve career </w:t>
      </w:r>
      <w:r w:rsidR="00CC5983" w:rsidRPr="00A52A7A">
        <w:t xml:space="preserve">development </w:t>
      </w:r>
      <w:r w:rsidRPr="00A52A7A">
        <w:t xml:space="preserve">and school to work transition of young people with disability. </w:t>
      </w:r>
      <w:r w:rsidR="00DC3E1E" w:rsidRPr="00A52A7A">
        <w:t>Efforts to do so</w:t>
      </w:r>
      <w:r w:rsidRPr="00A52A7A">
        <w:t xml:space="preserve"> ha</w:t>
      </w:r>
      <w:r w:rsidR="00DC3E1E" w:rsidRPr="00A52A7A">
        <w:t>ve</w:t>
      </w:r>
      <w:r w:rsidRPr="00A52A7A">
        <w:t xml:space="preserve"> been the mainstay of recommendations of m</w:t>
      </w:r>
      <w:r w:rsidR="00DC3E1E" w:rsidRPr="00A52A7A">
        <w:t>ultiple</w:t>
      </w:r>
      <w:r w:rsidRPr="00A52A7A">
        <w:t xml:space="preserve"> Australian government </w:t>
      </w:r>
      <w:r w:rsidR="00AE51CD" w:rsidRPr="00A52A7A">
        <w:t>i</w:t>
      </w:r>
      <w:r w:rsidRPr="00A52A7A">
        <w:t>nquires and agreements, and yet it remains unaddressed</w:t>
      </w:r>
      <w:r w:rsidR="00AD5C8E">
        <w:t xml:space="preserve"> </w:t>
      </w:r>
      <w:r w:rsidR="00AD5C8E">
        <w:fldChar w:fldCharType="begin"/>
      </w:r>
      <w:r w:rsidR="00AD5C8E">
        <w:instrText xml:space="preserve"> ADDIN EN.CITE &lt;EndNote&gt;&lt;Cite&gt;&lt;Author&gt;Children with Disability Australia&lt;/Author&gt;&lt;Year&gt;2015&lt;/Year&gt;&lt;RecNum&gt;1758&lt;/RecNum&gt;&lt;DisplayText&gt;(Children with Disability Australia, 2015)&lt;/DisplayText&gt;&lt;record&gt;&lt;rec-number&gt;1758&lt;/rec-number&gt;&lt;foreign-keys&gt;&lt;key app="EN" db-id="afrvxfvzvvpp2tew2sbxfrtxszxsa992r2f0" timestamp="1585269732"&gt;1758&lt;/key&gt;&lt;/foreign-keys&gt;&lt;ref-type name="Report"&gt;27&lt;/ref-type&gt;&lt;contributors&gt;&lt;authors&gt;&lt;author&gt;Children with Disability Australia,&lt;/author&gt;&lt;/authors&gt;&lt;/contributors&gt;&lt;titles&gt;&lt;title&gt; Post school transition: the experiences of students with disability,&lt;/title&gt;&lt;/titles&gt;&lt;dates&gt;&lt;year&gt;2015&lt;/year&gt;&lt;/dates&gt;&lt;pub-location&gt;Clifton Hill.&lt;/pub-location&gt;&lt;publisher&gt; Children with Disability Australia, &lt;/publisher&gt;&lt;urls&gt;&lt;/urls&gt;&lt;/record&gt;&lt;/Cite&gt;&lt;/EndNote&gt;</w:instrText>
      </w:r>
      <w:r w:rsidR="00AD5C8E">
        <w:fldChar w:fldCharType="separate"/>
      </w:r>
      <w:r w:rsidR="00AD5C8E">
        <w:rPr>
          <w:noProof/>
        </w:rPr>
        <w:t>(Children with Disability Australia, 2015)</w:t>
      </w:r>
      <w:r w:rsidR="00AD5C8E">
        <w:fldChar w:fldCharType="end"/>
      </w:r>
      <w:r w:rsidRPr="00A52A7A">
        <w:t xml:space="preserve">. </w:t>
      </w:r>
    </w:p>
    <w:p w14:paraId="1D5E97BF" w14:textId="77777777" w:rsidR="00CA15FD" w:rsidRPr="00E32438" w:rsidRDefault="00265024" w:rsidP="000002E4">
      <w:pPr>
        <w:shd w:val="clear" w:color="auto" w:fill="FFFFFF"/>
        <w:spacing w:before="120" w:after="300"/>
        <w:textAlignment w:val="baseline"/>
      </w:pPr>
      <w:r>
        <w:rPr>
          <w:color w:val="000000"/>
          <w:lang w:eastAsia="en-AU"/>
        </w:rPr>
        <w:t xml:space="preserve">The </w:t>
      </w:r>
      <w:r w:rsidR="00CA15FD" w:rsidRPr="00E32438">
        <w:rPr>
          <w:color w:val="000000"/>
          <w:lang w:eastAsia="en-AU"/>
        </w:rPr>
        <w:t xml:space="preserve">Ticket to Work </w:t>
      </w:r>
      <w:r w:rsidR="009C3F54">
        <w:rPr>
          <w:color w:val="000000"/>
          <w:lang w:eastAsia="en-AU"/>
        </w:rPr>
        <w:t>model promotes the d</w:t>
      </w:r>
      <w:r w:rsidR="0001145C">
        <w:rPr>
          <w:color w:val="000000"/>
          <w:lang w:eastAsia="en-AU"/>
        </w:rPr>
        <w:t>evelopment of</w:t>
      </w:r>
      <w:r w:rsidR="00151E1F">
        <w:rPr>
          <w:color w:val="000000"/>
          <w:lang w:eastAsia="en-AU"/>
        </w:rPr>
        <w:t xml:space="preserve"> com</w:t>
      </w:r>
      <w:r w:rsidR="00CA15FD" w:rsidRPr="00E32438">
        <w:t xml:space="preserve">munity networks </w:t>
      </w:r>
      <w:r w:rsidR="00C664D4">
        <w:t>which</w:t>
      </w:r>
      <w:r w:rsidR="00CA15FD" w:rsidRPr="00E32438">
        <w:t xml:space="preserve"> leverage the power of cross-sectoral partnerships to provide </w:t>
      </w:r>
      <w:proofErr w:type="spellStart"/>
      <w:r w:rsidR="00CA15FD" w:rsidRPr="00E32438">
        <w:t>individualised</w:t>
      </w:r>
      <w:proofErr w:type="spellEnd"/>
      <w:r w:rsidR="00CA15FD" w:rsidRPr="00E32438">
        <w:t xml:space="preserve"> support, blending existing resources, coordinating, </w:t>
      </w:r>
      <w:r w:rsidR="009A62FE">
        <w:t xml:space="preserve">and the </w:t>
      </w:r>
      <w:r w:rsidR="00CA15FD" w:rsidRPr="00E32438">
        <w:t xml:space="preserve">scaffolding </w:t>
      </w:r>
      <w:r w:rsidR="009A62FE">
        <w:t xml:space="preserve">of </w:t>
      </w:r>
      <w:r w:rsidR="00CA15FD" w:rsidRPr="00E32438">
        <w:t>all relevant supports for young people with significant disability. The</w:t>
      </w:r>
      <w:r w:rsidR="00C664D4">
        <w:t>s</w:t>
      </w:r>
      <w:r w:rsidR="00703D42">
        <w:t>e</w:t>
      </w:r>
      <w:r w:rsidR="00CA15FD" w:rsidRPr="00E32438">
        <w:t xml:space="preserve"> networks are coordinated by an intermediary</w:t>
      </w:r>
      <w:r w:rsidR="00703D42">
        <w:t xml:space="preserve"> </w:t>
      </w:r>
      <w:proofErr w:type="spellStart"/>
      <w:r w:rsidR="00703D42">
        <w:t>organisation</w:t>
      </w:r>
      <w:proofErr w:type="spellEnd"/>
      <w:r w:rsidR="00CA15FD" w:rsidRPr="00E32438">
        <w:t xml:space="preserve">, which supports </w:t>
      </w:r>
      <w:r w:rsidR="003C329E">
        <w:t xml:space="preserve">the </w:t>
      </w:r>
      <w:r w:rsidR="00CA15FD" w:rsidRPr="00E32438">
        <w:t>development of</w:t>
      </w:r>
      <w:r w:rsidR="00015008">
        <w:t xml:space="preserve"> </w:t>
      </w:r>
      <w:r w:rsidR="00CA15FD" w:rsidRPr="00E32438">
        <w:t>local community partnership</w:t>
      </w:r>
      <w:r w:rsidR="00867F5B">
        <w:t>s</w:t>
      </w:r>
      <w:r w:rsidR="00CA15FD" w:rsidRPr="00E32438">
        <w:t xml:space="preserve">, </w:t>
      </w:r>
      <w:r w:rsidR="00015008">
        <w:t xml:space="preserve">that </w:t>
      </w:r>
      <w:r w:rsidR="00CA15FD" w:rsidRPr="00E32438">
        <w:t>includ</w:t>
      </w:r>
      <w:r w:rsidR="00015008">
        <w:t>es</w:t>
      </w:r>
      <w:r w:rsidR="00CA15FD" w:rsidRPr="00E32438">
        <w:t xml:space="preserve"> schools, employment services, training </w:t>
      </w:r>
      <w:proofErr w:type="spellStart"/>
      <w:r w:rsidR="00CA15FD" w:rsidRPr="00E32438">
        <w:t>organisations</w:t>
      </w:r>
      <w:proofErr w:type="spellEnd"/>
      <w:r w:rsidR="00CA15FD" w:rsidRPr="00E32438">
        <w:t>, post school providers and employers.</w:t>
      </w:r>
      <w:r w:rsidR="000A3265">
        <w:t xml:space="preserve"> It is essential these </w:t>
      </w:r>
      <w:r w:rsidR="00D55532">
        <w:t xml:space="preserve">intermediary </w:t>
      </w:r>
      <w:proofErr w:type="spellStart"/>
      <w:r w:rsidR="00D55532">
        <w:t>organisations</w:t>
      </w:r>
      <w:proofErr w:type="spellEnd"/>
      <w:r w:rsidR="00D55532">
        <w:t xml:space="preserve"> are funded to coordinate </w:t>
      </w:r>
      <w:r w:rsidR="00830F27">
        <w:t>the collaboration between these stakeholders.</w:t>
      </w:r>
    </w:p>
    <w:p w14:paraId="50F03BA6" w14:textId="77777777" w:rsidR="00164B29" w:rsidRDefault="00164B29" w:rsidP="00164B29">
      <w:r>
        <w:t>According to the Disability Standards,</w:t>
      </w:r>
    </w:p>
    <w:p w14:paraId="2B2D312A" w14:textId="77777777" w:rsidR="00164B29" w:rsidRPr="00622FED" w:rsidRDefault="00164B29" w:rsidP="00164B29">
      <w:pPr>
        <w:pStyle w:val="Quote"/>
      </w:pPr>
      <w:bookmarkStart w:id="0" w:name="_Toc98234075"/>
      <w:r w:rsidRPr="00622FED">
        <w:rPr>
          <w:rStyle w:val="CharSectno"/>
          <w:rFonts w:cs="Arial"/>
        </w:rPr>
        <w:t>6.3</w:t>
      </w:r>
      <w:r w:rsidRPr="00622FED">
        <w:tab/>
        <w:t>Measures for compliance with standards</w:t>
      </w:r>
      <w:bookmarkEnd w:id="0"/>
    </w:p>
    <w:p w14:paraId="7FC3D446" w14:textId="77777777" w:rsidR="00164B29" w:rsidRPr="00622FED" w:rsidRDefault="00164B29" w:rsidP="00164B29">
      <w:pPr>
        <w:pStyle w:val="Quote"/>
      </w:pPr>
      <w:r w:rsidRPr="00622FED">
        <w:t>Measures that the education provider may implement to enable the student to participate in the learning experiences (including the assessment and certification requirements) of the course or program, and any relevant supplementary course or program, on the same basis as a student without a disability, include measures ensuring that:</w:t>
      </w:r>
    </w:p>
    <w:p w14:paraId="16B36E3A" w14:textId="77777777" w:rsidR="00164B29" w:rsidRDefault="00164B29" w:rsidP="00164B29">
      <w:pPr>
        <w:pStyle w:val="Quote"/>
      </w:pPr>
      <w:r w:rsidRPr="00622FED">
        <w:t>(e)</w:t>
      </w:r>
      <w:r w:rsidRPr="00622FED">
        <w:tab/>
        <w:t xml:space="preserve">any activities that are not conducted in a classroom, such as field trips, industry site visits and work placements, or activities that are part of the broader course or educational program of which the course or program is a part, are designed to include the </w:t>
      </w:r>
      <w:proofErr w:type="gramStart"/>
      <w:r w:rsidRPr="00622FED">
        <w:t>student;</w:t>
      </w:r>
      <w:proofErr w:type="gramEnd"/>
      <w:r w:rsidRPr="00622FED">
        <w:t xml:space="preserve"> </w:t>
      </w:r>
    </w:p>
    <w:p w14:paraId="7C987704" w14:textId="77777777" w:rsidR="00A079CC" w:rsidRDefault="00505FAC" w:rsidP="00A079CC">
      <w:r>
        <w:t xml:space="preserve">Currently </w:t>
      </w:r>
      <w:r w:rsidR="00A079CC">
        <w:t>the requirements of education providers related to career development are not explicitly set out in the Standards. Consequently, students with complex needs are being excluded from work related activities such as work experience while at school</w:t>
      </w:r>
      <w:r w:rsidR="00D078B3">
        <w:t xml:space="preserve">. </w:t>
      </w:r>
      <w:r w:rsidR="007E2BA1">
        <w:t xml:space="preserve">School and other </w:t>
      </w:r>
      <w:proofErr w:type="spellStart"/>
      <w:r w:rsidR="007E2BA1">
        <w:t>organisations</w:t>
      </w:r>
      <w:proofErr w:type="spellEnd"/>
      <w:r w:rsidR="007E2BA1">
        <w:t xml:space="preserve"> state that stude</w:t>
      </w:r>
      <w:r w:rsidR="0088653A">
        <w:t>n</w:t>
      </w:r>
      <w:r w:rsidR="007E2BA1">
        <w:t xml:space="preserve">ts are excluded </w:t>
      </w:r>
      <w:r w:rsidR="00D078B3">
        <w:lastRenderedPageBreak/>
        <w:t>beca</w:t>
      </w:r>
      <w:r w:rsidR="00A079CC">
        <w:t>use their support</w:t>
      </w:r>
      <w:r w:rsidR="007B794B">
        <w:t xml:space="preserve"> needs</w:t>
      </w:r>
      <w:r w:rsidR="00A079CC">
        <w:t xml:space="preserve"> are over and above what education providers are reasonably expected to provide according to the Disability Standards</w:t>
      </w:r>
      <w:r w:rsidR="000002E4">
        <w:t>.</w:t>
      </w:r>
    </w:p>
    <w:p w14:paraId="001ACD64" w14:textId="77777777" w:rsidR="00A359AE" w:rsidRDefault="00A359AE" w:rsidP="00A359AE">
      <w:r>
        <w:t xml:space="preserve">The Disability Standards need to ensure all students, regardless of their level of disability, are supported to participate in work experience when they have a desire to do so. A clear explanation of reasonable adjustment relating to </w:t>
      </w:r>
      <w:r w:rsidR="00B117C9">
        <w:t>career development</w:t>
      </w:r>
      <w:r>
        <w:t xml:space="preserve"> ensure all students with disability are appropriately supported to participate in </w:t>
      </w:r>
      <w:r w:rsidR="00B117C9">
        <w:t>these activities</w:t>
      </w:r>
      <w:r w:rsidR="00E37B8B">
        <w:t>.</w:t>
      </w:r>
      <w:r w:rsidR="003570AD" w:rsidRPr="003570AD">
        <w:t xml:space="preserve"> </w:t>
      </w:r>
      <w:r w:rsidR="003570AD">
        <w:t>With work experience at school being the number one indicator of post school employment no matter the nature of the disability, we believe that it should be explicit</w:t>
      </w:r>
      <w:r w:rsidR="00934692">
        <w:t xml:space="preserve"> in the standards</w:t>
      </w:r>
      <w:r w:rsidR="00C52993">
        <w:t xml:space="preserve"> </w:t>
      </w:r>
      <w:r w:rsidR="00C52993">
        <w:fldChar w:fldCharType="begin"/>
      </w:r>
      <w:r w:rsidR="00276280">
        <w:instrText xml:space="preserve"> ADDIN EN.CITE &lt;EndNote&gt;&lt;Cite Hidden="1"&gt;&lt;Author&gt;Sheppard&lt;/Author&gt;&lt;Year&gt;2017&lt;/Year&gt;&lt;RecNum&gt;1762&lt;/RecNum&gt;&lt;record&gt;&lt;rec-number&gt;1762&lt;/rec-number&gt;&lt;foreign-keys&gt;&lt;key app="EN" db-id="afrvxfvzvvpp2tew2sbxfrtxszxsa992r2f0" timestamp="1585270850"&gt;1762&lt;/key&gt;&lt;/foreign-keys&gt;&lt;ref-type name="Report"&gt;27&lt;/ref-type&gt;&lt;contributors&gt;&lt;authors&gt;&lt;author&gt;Sheppard, L., Harrington, R. &amp;amp; Howard, K. &lt;/author&gt;&lt;/authors&gt;&lt;/contributors&gt;&lt;titles&gt;&lt;title&gt; Journey to employment for young people with disability Research to Action Guide Good Practice Summary&lt;/title&gt;&lt;/titles&gt;&lt;dates&gt;&lt;year&gt;2017&lt;/year&gt;&lt;/dates&gt;&lt;publisher&gt;Centre for Applied Disability Research&lt;/publisher&gt;&lt;urls&gt;&lt;related-urls&gt;&lt;url&gt;www.cadr.org.au&lt;/url&gt;&lt;/related-urls&gt;&lt;/urls&gt;&lt;electronic-resource-num&gt;www.cadr.org.au&lt;/electronic-resource-num&gt;&lt;/record&gt;&lt;/Cite&gt;&lt;/EndNote&gt;</w:instrText>
      </w:r>
      <w:r w:rsidR="00C52993">
        <w:fldChar w:fldCharType="end"/>
      </w:r>
      <w:r w:rsidR="00E262AF">
        <w:t>(</w:t>
      </w:r>
      <w:r w:rsidR="00276280">
        <w:t>S</w:t>
      </w:r>
      <w:r w:rsidR="003570AD" w:rsidRPr="00A52A7A">
        <w:t xml:space="preserve">heppard, Harrington, </w:t>
      </w:r>
      <w:r w:rsidR="00E262AF">
        <w:t xml:space="preserve">&amp; </w:t>
      </w:r>
      <w:r w:rsidR="003570AD" w:rsidRPr="00A52A7A">
        <w:t>Howard, 2017).</w:t>
      </w:r>
    </w:p>
    <w:p w14:paraId="1F462F66" w14:textId="77777777" w:rsidR="002177C6" w:rsidRDefault="001E4B2A" w:rsidP="002177C6">
      <w:r>
        <w:t xml:space="preserve">It is essential that the Education </w:t>
      </w:r>
      <w:r w:rsidR="003B07EE">
        <w:t>Sta</w:t>
      </w:r>
      <w:r>
        <w:t>ndards</w:t>
      </w:r>
      <w:r w:rsidR="00EE0835">
        <w:t xml:space="preserve"> </w:t>
      </w:r>
      <w:r>
        <w:t>ensure all students with disability who have a desire to participate in career development activities have the support need</w:t>
      </w:r>
      <w:r w:rsidR="00E80500">
        <w:t>ed</w:t>
      </w:r>
      <w:r>
        <w:t xml:space="preserve"> to do so</w:t>
      </w:r>
      <w:r w:rsidR="00C86BBB">
        <w:t>.</w:t>
      </w:r>
    </w:p>
    <w:p w14:paraId="62952D20" w14:textId="77777777" w:rsidR="00662D44" w:rsidRPr="0028137B" w:rsidRDefault="00B872F8" w:rsidP="00331BBD">
      <w:pPr>
        <w:pStyle w:val="Heading2"/>
        <w:rPr>
          <w:sz w:val="28"/>
          <w:szCs w:val="28"/>
        </w:rPr>
      </w:pPr>
      <w:r w:rsidRPr="0028137B">
        <w:rPr>
          <w:sz w:val="28"/>
          <w:szCs w:val="28"/>
        </w:rPr>
        <w:t>Conclusion</w:t>
      </w:r>
    </w:p>
    <w:p w14:paraId="6E84DE67" w14:textId="77777777" w:rsidR="004C30A2" w:rsidRDefault="00006C1B" w:rsidP="004C30A2">
      <w:r w:rsidRPr="00A52A7A">
        <w:t>Ticket to Work demonstrate</w:t>
      </w:r>
      <w:r w:rsidR="002E479E" w:rsidRPr="00A52A7A">
        <w:t>s</w:t>
      </w:r>
      <w:r w:rsidRPr="00A52A7A">
        <w:t xml:space="preserve"> young people can </w:t>
      </w:r>
      <w:r w:rsidR="002E479E" w:rsidRPr="00A52A7A">
        <w:t>succeed</w:t>
      </w:r>
      <w:r w:rsidRPr="00A52A7A">
        <w:t xml:space="preserve"> in open employment when prepared and supported while at school through a coordinated approach</w:t>
      </w:r>
      <w:r w:rsidR="00B8710F" w:rsidRPr="00A52A7A">
        <w:t xml:space="preserve"> based upon empirical evidence</w:t>
      </w:r>
      <w:r w:rsidRPr="00A52A7A">
        <w:t xml:space="preserve">. </w:t>
      </w:r>
      <w:r w:rsidR="006A38EE" w:rsidRPr="00A52A7A">
        <w:t>C</w:t>
      </w:r>
      <w:r w:rsidR="00AA4CCF" w:rsidRPr="00A52A7A">
        <w:t xml:space="preserve">areer development and pre-employment skills training </w:t>
      </w:r>
      <w:r w:rsidR="006A38EE" w:rsidRPr="00A52A7A">
        <w:t>need to begin</w:t>
      </w:r>
      <w:r w:rsidR="00AA4CCF" w:rsidRPr="00A52A7A">
        <w:t xml:space="preserve"> before school-leaving age</w:t>
      </w:r>
      <w:r w:rsidR="004275FC">
        <w:t xml:space="preserve"> </w:t>
      </w:r>
      <w:r w:rsidR="004275FC">
        <w:fldChar w:fldCharType="begin"/>
      </w:r>
      <w:r w:rsidR="004275FC">
        <w:instrText xml:space="preserve"> ADDIN EN.CITE &lt;EndNote&gt;&lt;Cite&gt;&lt;Author&gt;Kruger&lt;/Author&gt;&lt;Year&gt;2006&lt;/Year&gt;&lt;RecNum&gt;1745&lt;/RecNum&gt;&lt;DisplayText&gt;(Kruger et al., 2006)&lt;/DisplayText&gt;&lt;record&gt;&lt;rec-number&gt;1745&lt;/rec-number&gt;&lt;foreign-keys&gt;&lt;key app="EN" db-id="afrvxfvzvvpp2tew2sbxfrtxszxsa992r2f0" timestamp="1585266603"&gt;1745&lt;/key&gt;&lt;/foreign-keys&gt;&lt;ref-type name="Journal Article"&gt;17&lt;/ref-type&gt;&lt;contributors&gt;&lt;authors&gt;&lt;author&gt;Kruger, H. R.&lt;/author&gt;&lt;author&gt;Elinson, L&lt;/author&gt;&lt;author&gt;Milfort, R.&lt;/author&gt;&lt;/authors&gt;&lt;/contributors&gt;&lt;titles&gt;&lt;title&gt; Role of intermediaries in ODEP Youth Demonstration Programs.&lt;/title&gt;&lt;/titles&gt;&lt;dates&gt;&lt;year&gt;2006&lt;/year&gt;&lt;/dates&gt;&lt;urls&gt;&lt;related-urls&gt;&lt;url&gt;https://digitalcommons.ilr.cornell.edu/cgi/viewcontent.cgi?article=1330&amp;amp;context=gladnetcollect&lt;/url&gt;&lt;/related-urls&gt;&lt;/urls&gt;&lt;/record&gt;&lt;/Cite&gt;&lt;/EndNote&gt;</w:instrText>
      </w:r>
      <w:r w:rsidR="004275FC">
        <w:fldChar w:fldCharType="separate"/>
      </w:r>
      <w:r w:rsidR="004275FC">
        <w:rPr>
          <w:noProof/>
        </w:rPr>
        <w:t>(Kruger et al., 2006)</w:t>
      </w:r>
      <w:r w:rsidR="004275FC">
        <w:fldChar w:fldCharType="end"/>
      </w:r>
      <w:r w:rsidR="00AA4CCF" w:rsidRPr="00A52A7A">
        <w:t>.</w:t>
      </w:r>
      <w:r w:rsidR="00DC4B97" w:rsidRPr="00A52A7A">
        <w:t xml:space="preserve"> </w:t>
      </w:r>
      <w:r w:rsidR="00116257" w:rsidRPr="00A52A7A">
        <w:t>Coll</w:t>
      </w:r>
      <w:r w:rsidR="006E1D96" w:rsidRPr="00A52A7A">
        <w:t>ab</w:t>
      </w:r>
      <w:r w:rsidR="00116257" w:rsidRPr="00A52A7A">
        <w:t>oration</w:t>
      </w:r>
      <w:r w:rsidR="006E1D96" w:rsidRPr="00A52A7A">
        <w:t xml:space="preserve"> between </w:t>
      </w:r>
      <w:r w:rsidR="00CF027E" w:rsidRPr="00A52A7A">
        <w:t xml:space="preserve">parents, staff from schools and </w:t>
      </w:r>
      <w:r w:rsidR="007B7D59" w:rsidRPr="00A52A7A">
        <w:t xml:space="preserve">disability and </w:t>
      </w:r>
      <w:r w:rsidR="00CF027E" w:rsidRPr="00A52A7A">
        <w:t>employment services together with employers,</w:t>
      </w:r>
      <w:r w:rsidR="0071428B" w:rsidRPr="00A52A7A">
        <w:t xml:space="preserve"> is essential to ensuring this occurs</w:t>
      </w:r>
      <w:r w:rsidR="00676170" w:rsidRPr="00A52A7A">
        <w:t xml:space="preserve">. </w:t>
      </w:r>
      <w:r w:rsidR="00FE4E10">
        <w:t>The Disa</w:t>
      </w:r>
      <w:r w:rsidR="00523536">
        <w:t>b</w:t>
      </w:r>
      <w:r w:rsidR="00FE4E10">
        <w:t xml:space="preserve">ility </w:t>
      </w:r>
      <w:r w:rsidR="00523536">
        <w:t xml:space="preserve">Standards for Education </w:t>
      </w:r>
      <w:r w:rsidR="00AC6CAE">
        <w:t>need to ensure</w:t>
      </w:r>
      <w:r w:rsidR="001A5D0C">
        <w:t xml:space="preserve"> all students have access to the</w:t>
      </w:r>
      <w:r w:rsidR="0081572F">
        <w:t xml:space="preserve"> support they require to undertake </w:t>
      </w:r>
      <w:r w:rsidR="00E9762F">
        <w:t xml:space="preserve">career development </w:t>
      </w:r>
      <w:r w:rsidR="002F328E">
        <w:t xml:space="preserve">and work experience </w:t>
      </w:r>
      <w:r w:rsidR="006C5B22">
        <w:t>while at school.</w:t>
      </w:r>
      <w:r w:rsidR="00544360">
        <w:t xml:space="preserve"> </w:t>
      </w:r>
      <w:r w:rsidR="004C30A2">
        <w:t>Thank you for your consideration of this submission. For further information on any issues raised, please get in touch.</w:t>
      </w:r>
    </w:p>
    <w:p w14:paraId="7A5506EE" w14:textId="77777777" w:rsidR="004C30A2" w:rsidRPr="004C30A2" w:rsidRDefault="004C30A2" w:rsidP="004C30A2">
      <w:pPr>
        <w:spacing w:before="100" w:beforeAutospacing="1" w:after="0"/>
        <w:contextualSpacing/>
        <w:rPr>
          <w:b/>
        </w:rPr>
      </w:pPr>
      <w:r w:rsidRPr="004C30A2">
        <w:rPr>
          <w:b/>
        </w:rPr>
        <w:t>Michelle Wakeford</w:t>
      </w:r>
    </w:p>
    <w:p w14:paraId="2AF7DFDC" w14:textId="77777777" w:rsidR="004C30A2" w:rsidRDefault="004C30A2" w:rsidP="004C30A2">
      <w:pPr>
        <w:spacing w:before="100" w:beforeAutospacing="1" w:after="0"/>
        <w:contextualSpacing/>
      </w:pPr>
      <w:r>
        <w:t>National Ticket to Work Manager</w:t>
      </w:r>
    </w:p>
    <w:p w14:paraId="0253B718" w14:textId="77777777" w:rsidR="004C30A2" w:rsidRDefault="004C30A2" w:rsidP="004C30A2">
      <w:pPr>
        <w:spacing w:before="100" w:beforeAutospacing="1" w:after="0"/>
        <w:contextualSpacing/>
      </w:pPr>
      <w:r>
        <w:t>Phone: 0413 750 745</w:t>
      </w:r>
    </w:p>
    <w:p w14:paraId="0FF12162" w14:textId="60A3C1B9" w:rsidR="00544360" w:rsidRDefault="004C30A2" w:rsidP="004C30A2">
      <w:pPr>
        <w:spacing w:before="100" w:beforeAutospacing="1" w:after="0"/>
        <w:contextualSpacing/>
      </w:pPr>
      <w:r>
        <w:t>Email: Michelle@ttickettowork.org.au</w:t>
      </w:r>
    </w:p>
    <w:p w14:paraId="19ECDB0D" w14:textId="77777777" w:rsidR="004C30A2" w:rsidRDefault="004C30A2" w:rsidP="006C5B22"/>
    <w:p w14:paraId="1707AC7E" w14:textId="77777777" w:rsidR="004C30A2" w:rsidRDefault="004C30A2" w:rsidP="0046098A">
      <w:pPr>
        <w:pStyle w:val="Heading3"/>
      </w:pPr>
    </w:p>
    <w:p w14:paraId="4C0CCB83" w14:textId="77777777" w:rsidR="004C30A2" w:rsidRDefault="004C30A2" w:rsidP="0046098A">
      <w:pPr>
        <w:pStyle w:val="Heading3"/>
      </w:pPr>
    </w:p>
    <w:p w14:paraId="26CE4CB2" w14:textId="7F0DB605" w:rsidR="00CC5983" w:rsidRPr="0028137B" w:rsidRDefault="00CC5983" w:rsidP="0046098A">
      <w:pPr>
        <w:pStyle w:val="Heading3"/>
        <w:rPr>
          <w:rFonts w:eastAsiaTheme="minorHAnsi"/>
          <w:w w:val="100"/>
          <w:kern w:val="0"/>
          <w:sz w:val="28"/>
          <w:szCs w:val="28"/>
        </w:rPr>
      </w:pPr>
      <w:r w:rsidRPr="0028137B">
        <w:rPr>
          <w:sz w:val="28"/>
          <w:szCs w:val="28"/>
        </w:rPr>
        <w:t>Ticket to Work evidence</w:t>
      </w:r>
    </w:p>
    <w:p w14:paraId="53611DEE" w14:textId="77777777" w:rsidR="00CC5983" w:rsidRPr="00A52A7A" w:rsidRDefault="00CC5983" w:rsidP="003C34C7">
      <w:pPr>
        <w:pStyle w:val="Default"/>
        <w:spacing w:after="240"/>
        <w:rPr>
          <w:rFonts w:ascii="Arial" w:hAnsi="Arial" w:cs="Arial"/>
          <w:color w:val="auto"/>
        </w:rPr>
      </w:pPr>
      <w:r w:rsidRPr="00A52A7A">
        <w:rPr>
          <w:rFonts w:ascii="Arial" w:hAnsi="Arial" w:cs="Arial"/>
          <w:color w:val="auto"/>
        </w:rPr>
        <w:t xml:space="preserve">We have commissioned and conducted a significant amount of research/evaluation evidenced based school to work transition for young people with disability. </w:t>
      </w:r>
    </w:p>
    <w:p w14:paraId="4FC6286C" w14:textId="1FE86C5F" w:rsidR="00CC5983" w:rsidRDefault="00CC5983" w:rsidP="003C34C7">
      <w:pPr>
        <w:pStyle w:val="Default"/>
        <w:spacing w:after="240"/>
        <w:ind w:left="709" w:hanging="709"/>
        <w:rPr>
          <w:rStyle w:val="Hyperlink"/>
          <w:rFonts w:ascii="Arial" w:hAnsi="Arial" w:cs="Arial"/>
        </w:rPr>
      </w:pPr>
      <w:r w:rsidRPr="00A52A7A">
        <w:rPr>
          <w:rFonts w:ascii="Arial" w:hAnsi="Arial" w:cs="Arial"/>
          <w:color w:val="auto"/>
        </w:rPr>
        <w:t xml:space="preserve">Atkinson, G., Christian, F., Cassidy, J., Rutherford, J., &amp; </w:t>
      </w:r>
      <w:r w:rsidRPr="002A2CBD">
        <w:rPr>
          <w:rFonts w:ascii="Arial" w:hAnsi="Arial" w:cs="Arial"/>
          <w:color w:val="auto"/>
        </w:rPr>
        <w:t>Hawkins, A. (20</w:t>
      </w:r>
      <w:r w:rsidR="000B2C66" w:rsidRPr="002A2CBD">
        <w:rPr>
          <w:rFonts w:ascii="Arial" w:hAnsi="Arial" w:cs="Arial"/>
          <w:color w:val="auto"/>
        </w:rPr>
        <w:t>20</w:t>
      </w:r>
      <w:r w:rsidRPr="002A2CBD">
        <w:rPr>
          <w:rFonts w:ascii="Arial" w:hAnsi="Arial" w:cs="Arial"/>
          <w:color w:val="auto"/>
        </w:rPr>
        <w:t>). Ticket to Work Post School Outcomes Report for National Disability Services Final</w:t>
      </w:r>
      <w:r w:rsidRPr="00A52A7A">
        <w:rPr>
          <w:rFonts w:ascii="Arial" w:hAnsi="Arial" w:cs="Arial"/>
          <w:i/>
          <w:iCs/>
          <w:color w:val="auto"/>
        </w:rPr>
        <w:t xml:space="preserve"> </w:t>
      </w:r>
      <w:r w:rsidRPr="002A2CBD">
        <w:rPr>
          <w:rFonts w:ascii="Arial" w:hAnsi="Arial" w:cs="Arial"/>
          <w:color w:val="auto"/>
        </w:rPr>
        <w:t>Report</w:t>
      </w:r>
      <w:r w:rsidRPr="00A52A7A">
        <w:rPr>
          <w:rFonts w:ascii="Arial" w:hAnsi="Arial" w:cs="Arial"/>
          <w:i/>
          <w:iCs/>
          <w:color w:val="auto"/>
        </w:rPr>
        <w:t xml:space="preserve"> </w:t>
      </w:r>
      <w:r w:rsidRPr="00A52A7A">
        <w:rPr>
          <w:rFonts w:ascii="Arial" w:hAnsi="Arial" w:cs="Arial"/>
          <w:color w:val="auto"/>
        </w:rPr>
        <w:t xml:space="preserve">Sydney. </w:t>
      </w:r>
      <w:hyperlink r:id="rId12" w:history="1">
        <w:r w:rsidR="002A2CBD" w:rsidRPr="002A2CBD">
          <w:rPr>
            <w:rStyle w:val="Hyperlink"/>
            <w:rFonts w:ascii="Arial" w:hAnsi="Arial" w:cs="Arial"/>
          </w:rPr>
          <w:t>Ticket to Work post school outcomes report here</w:t>
        </w:r>
      </w:hyperlink>
      <w:r w:rsidR="002A2CBD">
        <w:rPr>
          <w:rFonts w:ascii="Arial" w:hAnsi="Arial" w:cs="Arial"/>
          <w:color w:val="auto"/>
        </w:rPr>
        <w:t xml:space="preserve"> </w:t>
      </w:r>
    </w:p>
    <w:p w14:paraId="0009A5D5" w14:textId="691F4278" w:rsidR="00912B0C" w:rsidRPr="00A52A7A" w:rsidRDefault="00912B0C" w:rsidP="00912B0C">
      <w:pPr>
        <w:pStyle w:val="Default"/>
        <w:ind w:left="709" w:hanging="709"/>
        <w:rPr>
          <w:rFonts w:ascii="Arial" w:hAnsi="Arial" w:cs="Arial"/>
          <w:color w:val="auto"/>
        </w:rPr>
      </w:pPr>
      <w:r w:rsidRPr="00A52A7A">
        <w:rPr>
          <w:rFonts w:ascii="Arial" w:hAnsi="Arial" w:cs="Arial"/>
          <w:color w:val="auto"/>
        </w:rPr>
        <w:lastRenderedPageBreak/>
        <w:t xml:space="preserve">ARTD Consultants. (2019). </w:t>
      </w:r>
      <w:r w:rsidRPr="00A52A7A">
        <w:rPr>
          <w:rFonts w:ascii="Arial" w:hAnsi="Arial" w:cs="Arial"/>
          <w:i/>
          <w:iCs/>
          <w:color w:val="auto"/>
        </w:rPr>
        <w:t>Ticket to Work Network Analysis</w:t>
      </w:r>
      <w:r w:rsidRPr="00A52A7A">
        <w:rPr>
          <w:rFonts w:ascii="Arial" w:hAnsi="Arial" w:cs="Arial"/>
          <w:color w:val="auto"/>
        </w:rPr>
        <w:t xml:space="preserve">. (Sydney). </w:t>
      </w:r>
      <w:hyperlink r:id="rId13" w:history="1">
        <w:r w:rsidR="00E517E8" w:rsidRPr="00E517E8">
          <w:rPr>
            <w:rStyle w:val="Hyperlink"/>
            <w:rFonts w:ascii="Arial" w:hAnsi="Arial" w:cs="Arial"/>
          </w:rPr>
          <w:t>Research article here</w:t>
        </w:r>
      </w:hyperlink>
    </w:p>
    <w:p w14:paraId="0D2B93C1" w14:textId="77777777" w:rsidR="00912B0C" w:rsidRPr="00A52A7A" w:rsidRDefault="00912B0C" w:rsidP="00912B0C">
      <w:pPr>
        <w:pStyle w:val="Default"/>
        <w:spacing w:before="240" w:after="240"/>
        <w:ind w:left="709" w:hanging="709"/>
        <w:rPr>
          <w:rFonts w:ascii="Arial" w:hAnsi="Arial" w:cs="Arial"/>
          <w:color w:val="auto"/>
        </w:rPr>
      </w:pPr>
      <w:r w:rsidRPr="00A52A7A">
        <w:rPr>
          <w:rFonts w:ascii="Arial" w:hAnsi="Arial" w:cs="Arial"/>
          <w:color w:val="auto"/>
        </w:rPr>
        <w:t>ARTD Consultants (2019) Stakeholder report. (Sydney)</w:t>
      </w:r>
    </w:p>
    <w:p w14:paraId="5BD00F81" w14:textId="62B952F6" w:rsidR="00912B0C" w:rsidRPr="00A52A7A" w:rsidRDefault="00912B0C" w:rsidP="00912B0C">
      <w:pPr>
        <w:pStyle w:val="Default"/>
        <w:spacing w:after="240"/>
        <w:ind w:left="709" w:hanging="709"/>
        <w:rPr>
          <w:rFonts w:ascii="Arial" w:hAnsi="Arial" w:cs="Arial"/>
          <w:color w:val="auto"/>
        </w:rPr>
      </w:pPr>
      <w:r w:rsidRPr="00E517E8">
        <w:rPr>
          <w:rFonts w:ascii="Arial" w:hAnsi="Arial" w:cs="Arial"/>
          <w:color w:val="auto"/>
        </w:rPr>
        <w:t>Hawkins, A., &amp; Rasheed, E. (2016). Ticket to Work pilot outcomes study: a quasi-experimental evaluation of pathways from school to economic and social inclusion. (Sydney).</w:t>
      </w:r>
      <w:r w:rsidR="00E517E8">
        <w:rPr>
          <w:rFonts w:ascii="Arial" w:hAnsi="Arial" w:cs="Arial"/>
          <w:color w:val="auto"/>
        </w:rPr>
        <w:t xml:space="preserve"> </w:t>
      </w:r>
      <w:hyperlink r:id="rId14" w:history="1">
        <w:r w:rsidR="00E517E8" w:rsidRPr="00A5393E">
          <w:rPr>
            <w:rStyle w:val="Hyperlink"/>
            <w:rFonts w:ascii="Arial" w:hAnsi="Arial" w:cs="Arial"/>
          </w:rPr>
          <w:t xml:space="preserve">Research </w:t>
        </w:r>
        <w:r w:rsidR="00A5393E" w:rsidRPr="00A5393E">
          <w:rPr>
            <w:rStyle w:val="Hyperlink"/>
            <w:rFonts w:ascii="Arial" w:hAnsi="Arial" w:cs="Arial"/>
          </w:rPr>
          <w:t xml:space="preserve">pilot outcome study here </w:t>
        </w:r>
      </w:hyperlink>
      <w:r w:rsidRPr="00A52A7A">
        <w:rPr>
          <w:rFonts w:ascii="Arial" w:hAnsi="Arial" w:cs="Arial"/>
          <w:color w:val="auto"/>
        </w:rPr>
        <w:t xml:space="preserve"> </w:t>
      </w:r>
    </w:p>
    <w:p w14:paraId="57EFBECB" w14:textId="2B72E3CC" w:rsidR="00CC5983" w:rsidRDefault="00CC5983" w:rsidP="00A52A7A">
      <w:pPr>
        <w:pStyle w:val="Default"/>
        <w:ind w:left="709" w:hanging="709"/>
        <w:rPr>
          <w:rStyle w:val="Hyperlink"/>
          <w:rFonts w:ascii="Arial" w:hAnsi="Arial" w:cs="Arial"/>
        </w:rPr>
      </w:pPr>
      <w:r w:rsidRPr="00A52A7A">
        <w:rPr>
          <w:rFonts w:ascii="Arial" w:hAnsi="Arial" w:cs="Arial"/>
          <w:color w:val="auto"/>
        </w:rPr>
        <w:t>Kellock, P (2</w:t>
      </w:r>
      <w:r w:rsidRPr="00A5393E">
        <w:rPr>
          <w:rFonts w:ascii="Arial" w:hAnsi="Arial" w:cs="Arial"/>
          <w:color w:val="auto"/>
        </w:rPr>
        <w:t>020) Employer Experience of employing young people with Intellectual/Cognitive disability (Melbourne)</w:t>
      </w:r>
      <w:r w:rsidR="00A5393E" w:rsidRPr="00A5393E">
        <w:rPr>
          <w:rFonts w:ascii="Arial" w:hAnsi="Arial" w:cs="Arial"/>
          <w:color w:val="auto"/>
        </w:rPr>
        <w:t xml:space="preserve"> </w:t>
      </w:r>
      <w:hyperlink r:id="rId15" w:history="1">
        <w:r w:rsidR="00A5393E" w:rsidRPr="00A5393E">
          <w:rPr>
            <w:rStyle w:val="Hyperlink"/>
            <w:rFonts w:ascii="Arial" w:hAnsi="Arial" w:cs="Arial"/>
          </w:rPr>
          <w:t>Employer experience hiring report here</w:t>
        </w:r>
      </w:hyperlink>
    </w:p>
    <w:p w14:paraId="23774DD6" w14:textId="030186A3" w:rsidR="00912B0C" w:rsidRDefault="00912B0C" w:rsidP="00905122">
      <w:pPr>
        <w:ind w:left="709" w:hanging="709"/>
        <w:rPr>
          <w:rStyle w:val="Hyperlink"/>
          <w:shd w:val="clear" w:color="auto" w:fill="FFFFFF"/>
        </w:rPr>
      </w:pPr>
      <w:r w:rsidRPr="00A52A7A">
        <w:t>Meadows, D (2019</w:t>
      </w:r>
      <w:r w:rsidRPr="00A5393E">
        <w:t>) Collaboration in school to work transition,</w:t>
      </w:r>
      <w:r w:rsidRPr="00A52A7A">
        <w:rPr>
          <w:i/>
          <w:iCs/>
        </w:rPr>
        <w:t xml:space="preserve"> </w:t>
      </w:r>
      <w:r w:rsidRPr="00A52A7A">
        <w:t>(Melbourne)</w:t>
      </w:r>
      <w:r w:rsidR="00A5393E">
        <w:t xml:space="preserve"> </w:t>
      </w:r>
      <w:hyperlink r:id="rId16" w:history="1">
        <w:r w:rsidR="00A5393E" w:rsidRPr="00A5393E">
          <w:rPr>
            <w:rStyle w:val="Hyperlink"/>
          </w:rPr>
          <w:t>Ticket to Work report here</w:t>
        </w:r>
      </w:hyperlink>
      <w:r w:rsidRPr="00A52A7A">
        <w:t xml:space="preserve"> </w:t>
      </w:r>
    </w:p>
    <w:p w14:paraId="32F1C749" w14:textId="5BB96E02" w:rsidR="005A7675" w:rsidRPr="00905122" w:rsidRDefault="005A7675" w:rsidP="00905122">
      <w:pPr>
        <w:autoSpaceDE w:val="0"/>
        <w:autoSpaceDN w:val="0"/>
        <w:adjustRightInd w:val="0"/>
        <w:spacing w:before="0"/>
        <w:ind w:left="720" w:hanging="720"/>
        <w:rPr>
          <w:rFonts w:eastAsiaTheme="minorHAnsi"/>
          <w:color w:val="0070C0"/>
          <w:w w:val="100"/>
          <w:kern w:val="0"/>
          <w:u w:val="single"/>
          <w:lang w:val="en-AU"/>
        </w:rPr>
      </w:pPr>
      <w:r w:rsidRPr="005A7675">
        <w:rPr>
          <w:rFonts w:eastAsiaTheme="minorHAnsi"/>
          <w:w w:val="100"/>
          <w:kern w:val="0"/>
          <w:lang w:val="en-AU"/>
        </w:rPr>
        <w:t>Thiele, R</w:t>
      </w:r>
      <w:r w:rsidRPr="00A5393E">
        <w:rPr>
          <w:rFonts w:eastAsiaTheme="minorHAnsi"/>
          <w:w w:val="100"/>
          <w:kern w:val="0"/>
          <w:lang w:val="en-AU"/>
        </w:rPr>
        <w:t xml:space="preserve">., </w:t>
      </w:r>
      <w:proofErr w:type="spellStart"/>
      <w:r w:rsidRPr="00A5393E">
        <w:rPr>
          <w:rFonts w:eastAsiaTheme="minorHAnsi"/>
          <w:w w:val="100"/>
          <w:kern w:val="0"/>
          <w:lang w:val="en-AU"/>
        </w:rPr>
        <w:t>Bigby</w:t>
      </w:r>
      <w:proofErr w:type="spellEnd"/>
      <w:r w:rsidRPr="00A5393E">
        <w:rPr>
          <w:rFonts w:eastAsiaTheme="minorHAnsi"/>
          <w:w w:val="100"/>
          <w:kern w:val="0"/>
          <w:lang w:val="en-AU"/>
        </w:rPr>
        <w:t xml:space="preserve">, C., &amp; </w:t>
      </w:r>
      <w:proofErr w:type="spellStart"/>
      <w:r w:rsidRPr="00A5393E">
        <w:rPr>
          <w:rFonts w:eastAsiaTheme="minorHAnsi"/>
          <w:w w:val="100"/>
          <w:kern w:val="0"/>
          <w:lang w:val="en-AU"/>
        </w:rPr>
        <w:t>Tideman</w:t>
      </w:r>
      <w:proofErr w:type="spellEnd"/>
      <w:r w:rsidRPr="00A5393E">
        <w:rPr>
          <w:rFonts w:eastAsiaTheme="minorHAnsi"/>
          <w:w w:val="100"/>
          <w:kern w:val="0"/>
          <w:lang w:val="en-AU"/>
        </w:rPr>
        <w:t>, M. (2018). Young people with intellectual disabilities and work in after school jobs: a literature review. Bundoora, Vic. Retrieved from</w:t>
      </w:r>
      <w:hyperlink r:id="rId17" w:history="1">
        <w:r w:rsidRPr="00672C0D">
          <w:rPr>
            <w:rStyle w:val="Hyperlink"/>
            <w:rFonts w:eastAsiaTheme="minorHAnsi"/>
            <w:w w:val="100"/>
            <w:kern w:val="0"/>
            <w:lang w:val="en-AU"/>
          </w:rPr>
          <w:t xml:space="preserve"> </w:t>
        </w:r>
        <w:r w:rsidR="00672C0D" w:rsidRPr="00672C0D">
          <w:rPr>
            <w:rStyle w:val="Hyperlink"/>
            <w:rFonts w:eastAsiaTheme="minorHAnsi"/>
            <w:w w:val="100"/>
            <w:kern w:val="0"/>
            <w:lang w:val="en-AU"/>
          </w:rPr>
          <w:t>Latrobe Uni website</w:t>
        </w:r>
      </w:hyperlink>
    </w:p>
    <w:p w14:paraId="00770C5F" w14:textId="1632F264" w:rsidR="00CC5983" w:rsidRDefault="00CC5983" w:rsidP="00912B0C">
      <w:pPr>
        <w:pStyle w:val="Default"/>
        <w:spacing w:after="240"/>
        <w:ind w:left="709" w:hanging="709"/>
        <w:rPr>
          <w:rStyle w:val="Hyperlink"/>
          <w:rFonts w:ascii="Arial" w:hAnsi="Arial" w:cs="Arial"/>
        </w:rPr>
      </w:pPr>
      <w:r w:rsidRPr="00A52A7A">
        <w:rPr>
          <w:rFonts w:ascii="Arial" w:hAnsi="Arial" w:cs="Arial"/>
          <w:color w:val="auto"/>
        </w:rPr>
        <w:t xml:space="preserve">Sheppard, L., </w:t>
      </w:r>
      <w:r w:rsidRPr="00672C0D">
        <w:rPr>
          <w:rFonts w:ascii="Arial" w:hAnsi="Arial" w:cs="Arial"/>
          <w:color w:val="auto"/>
        </w:rPr>
        <w:t>Harrington, R. &amp; Howard, K. (2017). Leaving School and Getting a Job. Research to Action Guide, A guide for young people with disability who want to work. NDS CADR (Sydney)</w:t>
      </w:r>
      <w:r w:rsidRPr="00A52A7A">
        <w:rPr>
          <w:rFonts w:ascii="Arial" w:hAnsi="Arial" w:cs="Arial"/>
          <w:color w:val="auto"/>
        </w:rPr>
        <w:t xml:space="preserve"> </w:t>
      </w:r>
      <w:hyperlink r:id="rId18" w:history="1">
        <w:r w:rsidR="00672C0D" w:rsidRPr="007E3701">
          <w:rPr>
            <w:rStyle w:val="Hyperlink"/>
            <w:rFonts w:ascii="Arial" w:hAnsi="Arial" w:cs="Arial"/>
          </w:rPr>
          <w:t>Action guides</w:t>
        </w:r>
        <w:r w:rsidR="007E3701" w:rsidRPr="007E3701">
          <w:rPr>
            <w:rStyle w:val="Hyperlink"/>
            <w:rFonts w:ascii="Arial" w:hAnsi="Arial" w:cs="Arial"/>
          </w:rPr>
          <w:t xml:space="preserve"> school to employment here</w:t>
        </w:r>
      </w:hyperlink>
      <w:r w:rsidR="007E3701" w:rsidRPr="007E3701">
        <w:rPr>
          <w:rFonts w:ascii="Arial" w:hAnsi="Arial" w:cs="Arial"/>
          <w:color w:val="auto"/>
        </w:rPr>
        <w:t xml:space="preserve"> </w:t>
      </w:r>
    </w:p>
    <w:p w14:paraId="72224B9C" w14:textId="77777777" w:rsidR="007E2BA1" w:rsidRPr="00912B0C" w:rsidRDefault="007E2BA1" w:rsidP="00912B0C">
      <w:pPr>
        <w:pStyle w:val="Heading2"/>
        <w:spacing w:before="0" w:after="120" w:line="259" w:lineRule="auto"/>
        <w:ind w:left="709" w:hanging="709"/>
        <w:rPr>
          <w:b w:val="0"/>
          <w:bCs w:val="0"/>
          <w:iCs/>
        </w:rPr>
      </w:pPr>
      <w:r w:rsidRPr="00912B0C">
        <w:rPr>
          <w:b w:val="0"/>
          <w:bCs w:val="0"/>
          <w:iCs/>
        </w:rPr>
        <w:t xml:space="preserve">Social Ventures Australia Consulting (2020) Ticket to Work Valuation of key outcomes (Melbourne) unpublished </w:t>
      </w:r>
      <w:proofErr w:type="gramStart"/>
      <w:r w:rsidRPr="00912B0C">
        <w:rPr>
          <w:b w:val="0"/>
          <w:bCs w:val="0"/>
          <w:iCs/>
        </w:rPr>
        <w:t>at this time</w:t>
      </w:r>
      <w:proofErr w:type="gramEnd"/>
      <w:r w:rsidRPr="00912B0C">
        <w:rPr>
          <w:b w:val="0"/>
          <w:bCs w:val="0"/>
          <w:iCs/>
        </w:rPr>
        <w:t xml:space="preserve">. </w:t>
      </w:r>
    </w:p>
    <w:p w14:paraId="28BB9B3B" w14:textId="50CE5821" w:rsidR="000F7745" w:rsidRDefault="00CC5983" w:rsidP="00A52A7A">
      <w:pPr>
        <w:pStyle w:val="Default"/>
        <w:ind w:left="709" w:hanging="709"/>
        <w:rPr>
          <w:rStyle w:val="Hyperlink"/>
          <w:rFonts w:ascii="Arial" w:hAnsi="Arial" w:cs="Arial"/>
        </w:rPr>
      </w:pPr>
      <w:r w:rsidRPr="00A52A7A">
        <w:rPr>
          <w:rFonts w:ascii="Arial" w:hAnsi="Arial" w:cs="Arial"/>
          <w:color w:val="auto"/>
        </w:rPr>
        <w:t xml:space="preserve">Wakeford, M, Waugh, F (2014), </w:t>
      </w:r>
      <w:r w:rsidRPr="00A52A7A">
        <w:rPr>
          <w:rFonts w:ascii="Arial" w:hAnsi="Arial" w:cs="Arial"/>
          <w:i/>
          <w:iCs/>
          <w:color w:val="auto"/>
        </w:rPr>
        <w:t>Transitions to employment of Australian young people with disability and the Ticket to Work initiative</w:t>
      </w:r>
      <w:r w:rsidRPr="00A52A7A">
        <w:rPr>
          <w:rFonts w:ascii="Arial" w:hAnsi="Arial" w:cs="Arial"/>
          <w:color w:val="auto"/>
        </w:rPr>
        <w:t>, Ticket to Work, (Melbourne).</w:t>
      </w:r>
      <w:r w:rsidR="007E3701">
        <w:rPr>
          <w:rFonts w:ascii="Arial" w:hAnsi="Arial" w:cs="Arial"/>
          <w:color w:val="auto"/>
        </w:rPr>
        <w:t xml:space="preserve"> </w:t>
      </w:r>
      <w:hyperlink r:id="rId19" w:history="1">
        <w:r w:rsidR="007E3701" w:rsidRPr="000E0A33">
          <w:rPr>
            <w:rStyle w:val="Hyperlink"/>
            <w:rFonts w:ascii="Arial" w:hAnsi="Arial" w:cs="Arial"/>
          </w:rPr>
          <w:t>Research article e</w:t>
        </w:r>
        <w:r w:rsidR="000E0A33" w:rsidRPr="000E0A33">
          <w:rPr>
            <w:rStyle w:val="Hyperlink"/>
            <w:rFonts w:ascii="Arial" w:hAnsi="Arial" w:cs="Arial"/>
          </w:rPr>
          <w:t>mployment of Australian young people here</w:t>
        </w:r>
      </w:hyperlink>
      <w:r w:rsidR="00417AD1" w:rsidRPr="00A52A7A">
        <w:rPr>
          <w:rFonts w:ascii="Arial" w:hAnsi="Arial" w:cs="Arial"/>
        </w:rPr>
        <w:t xml:space="preserve"> </w:t>
      </w:r>
      <w:hyperlink r:id="rId20" w:history="1">
        <w:r w:rsidR="00417AD1" w:rsidRPr="00A52A7A">
          <w:rPr>
            <w:rStyle w:val="Hyperlink"/>
            <w:rFonts w:ascii="Arial" w:hAnsi="Arial" w:cs="Arial"/>
          </w:rPr>
          <w:t>https://tickettowork.org.au/research/article/transitions-to-employment-of-australian-young-peop/</w:t>
        </w:r>
      </w:hyperlink>
    </w:p>
    <w:p w14:paraId="403EF9AE" w14:textId="77777777" w:rsidR="000B2C66" w:rsidRDefault="000B2C66" w:rsidP="00331BBD">
      <w:pPr>
        <w:rPr>
          <w:rFonts w:eastAsiaTheme="majorEastAsia"/>
        </w:rPr>
      </w:pPr>
      <w:r>
        <w:br w:type="page"/>
      </w:r>
    </w:p>
    <w:p w14:paraId="4AFD5A7B" w14:textId="77777777" w:rsidR="00AC0BC3" w:rsidRPr="00E05144" w:rsidRDefault="0020108F" w:rsidP="00331BBD">
      <w:pPr>
        <w:pStyle w:val="Heading2"/>
        <w:rPr>
          <w:sz w:val="28"/>
          <w:szCs w:val="28"/>
        </w:rPr>
      </w:pPr>
      <w:r w:rsidRPr="00E05144">
        <w:rPr>
          <w:sz w:val="28"/>
          <w:szCs w:val="28"/>
        </w:rPr>
        <w:lastRenderedPageBreak/>
        <w:t>References</w:t>
      </w:r>
    </w:p>
    <w:p w14:paraId="74850B74" w14:textId="2C472595" w:rsidR="005A7675" w:rsidRPr="005A7675" w:rsidRDefault="001C0803" w:rsidP="005A7675">
      <w:pPr>
        <w:pStyle w:val="EndNoteBibliography"/>
        <w:spacing w:after="0"/>
        <w:ind w:left="720" w:hanging="720"/>
      </w:pPr>
      <w:r w:rsidRPr="00A52A7A">
        <w:fldChar w:fldCharType="begin"/>
      </w:r>
      <w:r w:rsidRPr="00A52A7A">
        <w:instrText xml:space="preserve"> ADDIN EN.REFLIST </w:instrText>
      </w:r>
      <w:r w:rsidRPr="00A52A7A">
        <w:fldChar w:fldCharType="separate"/>
      </w:r>
      <w:r w:rsidR="005A7675" w:rsidRPr="005A7675">
        <w:t xml:space="preserve">APSE Executive Board. (2010). </w:t>
      </w:r>
      <w:r w:rsidR="005A7675" w:rsidRPr="005A7675">
        <w:rPr>
          <w:i/>
        </w:rPr>
        <w:t xml:space="preserve">‘Statement on Employment First’, 11 October 2010 </w:t>
      </w:r>
      <w:r w:rsidR="005A7675" w:rsidRPr="005A7675">
        <w:t xml:space="preserve">Retrieved from </w:t>
      </w:r>
      <w:r w:rsidR="005A7675" w:rsidRPr="00E05144">
        <w:t>www.apse.org/employment-first/statement/</w:t>
      </w:r>
    </w:p>
    <w:p w14:paraId="2F155B20" w14:textId="77777777" w:rsidR="005A7675" w:rsidRPr="005A7675" w:rsidRDefault="005A7675" w:rsidP="005A7675">
      <w:pPr>
        <w:pStyle w:val="EndNoteBibliography"/>
        <w:spacing w:after="0"/>
        <w:ind w:left="720" w:hanging="720"/>
      </w:pPr>
      <w:r w:rsidRPr="005A7675">
        <w:t xml:space="preserve">Atkinson, G., Christian, F., Cassidy, J., Rutherford, J., &amp; Hawkins, A. . (2019). </w:t>
      </w:r>
      <w:r w:rsidRPr="005A7675">
        <w:rPr>
          <w:i/>
        </w:rPr>
        <w:t xml:space="preserve">Ticket to Work Post School Outcomes Report for National Disability Services Final Report </w:t>
      </w:r>
      <w:r w:rsidRPr="005A7675">
        <w:t xml:space="preserve">Sydney. Retrieved from </w:t>
      </w:r>
      <w:hyperlink r:id="rId21" w:history="1">
        <w:r w:rsidRPr="005A7675">
          <w:rPr>
            <w:rStyle w:val="Hyperlink"/>
          </w:rPr>
          <w:t>www.tickettowork.org.au/research_evaluation/ticket-work-post-school-outcomes/</w:t>
        </w:r>
      </w:hyperlink>
      <w:r w:rsidRPr="005A7675">
        <w:t xml:space="preserve">    </w:t>
      </w:r>
    </w:p>
    <w:p w14:paraId="6155A95F" w14:textId="77777777" w:rsidR="005A7675" w:rsidRPr="005A7675" w:rsidRDefault="005A7675" w:rsidP="005A7675">
      <w:pPr>
        <w:pStyle w:val="EndNoteBibliography"/>
        <w:spacing w:after="0"/>
        <w:ind w:left="720" w:hanging="720"/>
      </w:pPr>
      <w:r w:rsidRPr="005A7675">
        <w:t xml:space="preserve">Blamires, K. (2015). A summary of government initiatives relating to employment for people with learning disabilities in England. </w:t>
      </w:r>
      <w:r w:rsidRPr="005A7675">
        <w:rPr>
          <w:i/>
        </w:rPr>
        <w:t>Tizard Learning Disability Review</w:t>
      </w:r>
      <w:r w:rsidRPr="005A7675">
        <w:t xml:space="preserve">. </w:t>
      </w:r>
    </w:p>
    <w:p w14:paraId="2E4F9E0B" w14:textId="77777777" w:rsidR="005A7675" w:rsidRPr="005A7675" w:rsidRDefault="005A7675" w:rsidP="005A7675">
      <w:pPr>
        <w:pStyle w:val="EndNoteBibliography"/>
        <w:spacing w:after="0"/>
        <w:ind w:left="720" w:hanging="720"/>
      </w:pPr>
      <w:r w:rsidRPr="005A7675">
        <w:t xml:space="preserve">Buddelmeyer, H., &amp; Polidano, C. (2016). </w:t>
      </w:r>
      <w:r w:rsidRPr="005A7675">
        <w:rPr>
          <w:i/>
        </w:rPr>
        <w:t>Can VET help create a more inclusive society?</w:t>
      </w:r>
      <w:r w:rsidRPr="005A7675">
        <w:t xml:space="preserve"> Melbourne: Melbourne Institute of Applied Economic and Social Research. Retrieved from </w:t>
      </w:r>
      <w:hyperlink r:id="rId22" w:history="1">
        <w:r w:rsidRPr="005A7675">
          <w:rPr>
            <w:rStyle w:val="Hyperlink"/>
          </w:rPr>
          <w:t>https://files.eric.ed.gov/fulltext/ED565436.pdf</w:t>
        </w:r>
      </w:hyperlink>
      <w:r w:rsidRPr="005A7675">
        <w:t>.</w:t>
      </w:r>
    </w:p>
    <w:p w14:paraId="3F6EE17D" w14:textId="77777777" w:rsidR="005A7675" w:rsidRPr="005A7675" w:rsidRDefault="005A7675" w:rsidP="005A7675">
      <w:pPr>
        <w:pStyle w:val="EndNoteBibliography"/>
        <w:spacing w:after="0"/>
        <w:ind w:left="720" w:hanging="720"/>
      </w:pPr>
      <w:r w:rsidRPr="005A7675">
        <w:t xml:space="preserve">Carter, E. W., Austin, D., &amp; Trainor, A. A. (2012). Predictors of postschool employment outcomes for young adults with severe disabilities. </w:t>
      </w:r>
      <w:r w:rsidRPr="005A7675">
        <w:rPr>
          <w:i/>
        </w:rPr>
        <w:t>Journal of disability policy studies, 23</w:t>
      </w:r>
      <w:r w:rsidRPr="005A7675">
        <w:t xml:space="preserve">(1), 50-63. </w:t>
      </w:r>
    </w:p>
    <w:p w14:paraId="1BCD5BEB" w14:textId="77777777" w:rsidR="005A7675" w:rsidRPr="005A7675" w:rsidRDefault="005A7675" w:rsidP="005A7675">
      <w:pPr>
        <w:pStyle w:val="EndNoteBibliography"/>
        <w:spacing w:after="0"/>
        <w:ind w:left="720" w:hanging="720"/>
      </w:pPr>
      <w:r w:rsidRPr="005A7675">
        <w:t xml:space="preserve">Cavallaro, T., Foley, P., Saunders, J., &amp; Bowman, K. (2005). </w:t>
      </w:r>
      <w:r w:rsidRPr="005A7675">
        <w:rPr>
          <w:i/>
        </w:rPr>
        <w:t>People with a disability in vocational education and training: a statistical compendium</w:t>
      </w:r>
      <w:r w:rsidRPr="005A7675">
        <w:t>. SA: Adelaide, SA: National Centre for Vocational Education Research.</w:t>
      </w:r>
    </w:p>
    <w:p w14:paraId="304C023D" w14:textId="77777777" w:rsidR="005A7675" w:rsidRPr="005A7675" w:rsidRDefault="005A7675" w:rsidP="005A7675">
      <w:pPr>
        <w:pStyle w:val="EndNoteBibliography"/>
        <w:spacing w:after="0"/>
        <w:ind w:left="720" w:hanging="720"/>
      </w:pPr>
      <w:r w:rsidRPr="005A7675">
        <w:t>Children with Disability Australia. (2015).</w:t>
      </w:r>
      <w:r w:rsidRPr="005A7675">
        <w:rPr>
          <w:i/>
        </w:rPr>
        <w:t xml:space="preserve"> Post school transition: the experiences of students with disability,</w:t>
      </w:r>
      <w:r w:rsidRPr="005A7675">
        <w:t>. Clifton Hill.</w:t>
      </w:r>
    </w:p>
    <w:p w14:paraId="6EFEBD04" w14:textId="77777777" w:rsidR="005A7675" w:rsidRPr="005A7675" w:rsidRDefault="005A7675" w:rsidP="005A7675">
      <w:pPr>
        <w:pStyle w:val="EndNoteBibliography"/>
        <w:spacing w:after="0"/>
        <w:ind w:left="720" w:hanging="720"/>
      </w:pPr>
      <w:r w:rsidRPr="005A7675">
        <w:t xml:space="preserve">Department of Social Services, Department of Social Services. (2020). </w:t>
      </w:r>
      <w:r w:rsidRPr="005A7675">
        <w:rPr>
          <w:i/>
        </w:rPr>
        <w:t>Disability Employment Services Eligible School Leaver Guidelines V 1.2</w:t>
      </w:r>
      <w:r w:rsidRPr="005A7675">
        <w:t xml:space="preserve">. Canberra Retrieved from </w:t>
      </w:r>
      <w:hyperlink r:id="rId23" w:history="1">
        <w:r w:rsidRPr="005A7675">
          <w:rPr>
            <w:rStyle w:val="Hyperlink"/>
          </w:rPr>
          <w:t>https://www.dss.gov.au/freedom-of-information-operational-information-disability-employment-and-carers-group/des-eligible-school-leaver-guidelines</w:t>
        </w:r>
      </w:hyperlink>
      <w:r w:rsidRPr="005A7675">
        <w:t>.</w:t>
      </w:r>
    </w:p>
    <w:p w14:paraId="3DA64102" w14:textId="77777777" w:rsidR="005A7675" w:rsidRPr="005A7675" w:rsidRDefault="005A7675" w:rsidP="005A7675">
      <w:pPr>
        <w:pStyle w:val="EndNoteBibliography"/>
        <w:spacing w:after="0"/>
        <w:ind w:left="720" w:hanging="720"/>
      </w:pPr>
      <w:r w:rsidRPr="005A7675">
        <w:t>Dyson, A., Aston, J., Dewson, S., &amp; Loukas, G. (2005).</w:t>
      </w:r>
      <w:r w:rsidRPr="005A7675">
        <w:rPr>
          <w:i/>
        </w:rPr>
        <w:t xml:space="preserve"> Post-16 transitions: a longitudinal study of young people with special educational needs (wave three).</w:t>
      </w:r>
      <w:r w:rsidRPr="005A7675">
        <w:t xml:space="preserve"> Brighton UK Retrieved from </w:t>
      </w:r>
      <w:hyperlink r:id="rId24" w:history="1">
        <w:r w:rsidRPr="005A7675">
          <w:rPr>
            <w:rStyle w:val="Hyperlink"/>
          </w:rPr>
          <w:t>https://www.educationandemployers.org/wp-content/uploads/2014/06/sen-transitions-wave-3-dfes.pdf</w:t>
        </w:r>
      </w:hyperlink>
    </w:p>
    <w:p w14:paraId="2E18BBA0" w14:textId="77777777" w:rsidR="005A7675" w:rsidRPr="005A7675" w:rsidRDefault="005A7675" w:rsidP="005A7675">
      <w:pPr>
        <w:pStyle w:val="EndNoteBibliography"/>
        <w:spacing w:after="0"/>
        <w:ind w:left="720" w:hanging="720"/>
      </w:pPr>
      <w:r w:rsidRPr="005A7675">
        <w:t xml:space="preserve">Gilson, C. B., Carter, E. W., Bumble, J. L., &amp; McMillan, E. D. (2018). Family perspectives on integrated employment for adults with intellectual and developmental disabilities. </w:t>
      </w:r>
      <w:r w:rsidRPr="005A7675">
        <w:rPr>
          <w:i/>
        </w:rPr>
        <w:t>Research and Practice for Persons with Severe Disabilities, 43</w:t>
      </w:r>
      <w:r w:rsidRPr="005A7675">
        <w:t xml:space="preserve">(1), 20-37. </w:t>
      </w:r>
    </w:p>
    <w:p w14:paraId="05E2B10F" w14:textId="77777777" w:rsidR="005A7675" w:rsidRPr="005A7675" w:rsidRDefault="005A7675" w:rsidP="005A7675">
      <w:pPr>
        <w:pStyle w:val="EndNoteBibliography"/>
        <w:spacing w:after="0"/>
        <w:ind w:left="720" w:hanging="720"/>
      </w:pPr>
      <w:r w:rsidRPr="005A7675">
        <w:t xml:space="preserve">Karmel, T. (2019). </w:t>
      </w:r>
      <w:r w:rsidRPr="005A7675">
        <w:rPr>
          <w:i/>
        </w:rPr>
        <w:t>Certificates I and II in post-school VET: some preliminary work</w:t>
      </w:r>
      <w:r w:rsidRPr="005A7675">
        <w:t xml:space="preserve">. Retrieved from </w:t>
      </w:r>
      <w:hyperlink r:id="rId25" w:history="1">
        <w:r w:rsidRPr="005A7675">
          <w:rPr>
            <w:rStyle w:val="Hyperlink"/>
          </w:rPr>
          <w:t>https://holmesglen.edu.au/Holmesglen/media/PDFs/Certificates_I_and_II_in_post-school_VET-1.pdf</w:t>
        </w:r>
      </w:hyperlink>
    </w:p>
    <w:p w14:paraId="64AF4E4F" w14:textId="77777777" w:rsidR="005A7675" w:rsidRPr="005A7675" w:rsidRDefault="005A7675" w:rsidP="005A7675">
      <w:pPr>
        <w:pStyle w:val="EndNoteBibliography"/>
        <w:spacing w:after="0"/>
        <w:ind w:left="720" w:hanging="720"/>
      </w:pPr>
      <w:r w:rsidRPr="005A7675">
        <w:t xml:space="preserve">Kellock, P. (2020). </w:t>
      </w:r>
      <w:r w:rsidRPr="005A7675">
        <w:rPr>
          <w:i/>
        </w:rPr>
        <w:t>Employer Experience of employing young people with Intellectual/Cognitive disability</w:t>
      </w:r>
      <w:r w:rsidRPr="005A7675">
        <w:t xml:space="preserve">. Melbourne. Retrieved from </w:t>
      </w:r>
      <w:hyperlink r:id="rId26" w:history="1">
        <w:r w:rsidRPr="005A7675">
          <w:rPr>
            <w:rStyle w:val="Hyperlink"/>
          </w:rPr>
          <w:t>https://tickettowork.org.au/research/article/the-employer-experience-hiring-young-people-with-i/</w:t>
        </w:r>
      </w:hyperlink>
    </w:p>
    <w:p w14:paraId="345C1FF1" w14:textId="77777777" w:rsidR="005A7675" w:rsidRPr="005A7675" w:rsidRDefault="005A7675" w:rsidP="005A7675">
      <w:pPr>
        <w:pStyle w:val="EndNoteBibliography"/>
        <w:spacing w:after="0"/>
        <w:ind w:left="720" w:hanging="720"/>
      </w:pPr>
      <w:r w:rsidRPr="005A7675">
        <w:t xml:space="preserve">Kohler, P. D. (1993). Best practices in transition: Substantiated or implied? </w:t>
      </w:r>
      <w:r w:rsidRPr="005A7675">
        <w:rPr>
          <w:i/>
        </w:rPr>
        <w:t>Career Development for exceptional individuals, 16</w:t>
      </w:r>
      <w:r w:rsidRPr="005A7675">
        <w:t xml:space="preserve">(2), 107-121. </w:t>
      </w:r>
    </w:p>
    <w:p w14:paraId="4D4221F6" w14:textId="77777777" w:rsidR="005A7675" w:rsidRPr="005A7675" w:rsidRDefault="005A7675" w:rsidP="005A7675">
      <w:pPr>
        <w:pStyle w:val="EndNoteBibliography"/>
        <w:spacing w:after="0"/>
        <w:ind w:left="720" w:hanging="720"/>
      </w:pPr>
      <w:r w:rsidRPr="005A7675">
        <w:t xml:space="preserve">Kohler, P. D., &amp; Gothberg, J. E. (2016). </w:t>
      </w:r>
      <w:r w:rsidRPr="005A7675">
        <w:rPr>
          <w:i/>
        </w:rPr>
        <w:t>Taxonomy for Transition Programming 2.0</w:t>
      </w:r>
      <w:r w:rsidRPr="005A7675">
        <w:t>. Kalamazoo Michigan:: Western Michigan University.</w:t>
      </w:r>
    </w:p>
    <w:p w14:paraId="7D1DCA28" w14:textId="77777777" w:rsidR="005A7675" w:rsidRPr="005A7675" w:rsidRDefault="005A7675" w:rsidP="005A7675">
      <w:pPr>
        <w:pStyle w:val="EndNoteBibliography"/>
        <w:spacing w:after="0"/>
        <w:ind w:left="720" w:hanging="720"/>
      </w:pPr>
      <w:r w:rsidRPr="005A7675">
        <w:t xml:space="preserve">Kruger, H. R., Elinson, L., &amp; Milfort, R. (2006). Role of intermediaries in ODEP Youth Demonstration Programs. Retrieved from </w:t>
      </w:r>
      <w:hyperlink r:id="rId27" w:history="1">
        <w:r w:rsidRPr="005A7675">
          <w:rPr>
            <w:rStyle w:val="Hyperlink"/>
          </w:rPr>
          <w:t>https://digitalcommons.ilr.cornell.edu/cgi/viewcontent.cgi?article=1330&amp;context=gladnetcollect</w:t>
        </w:r>
      </w:hyperlink>
    </w:p>
    <w:p w14:paraId="7AE16108" w14:textId="77777777" w:rsidR="005A7675" w:rsidRPr="005A7675" w:rsidRDefault="005A7675" w:rsidP="005A7675">
      <w:pPr>
        <w:pStyle w:val="EndNoteBibliography"/>
        <w:spacing w:after="0"/>
        <w:ind w:left="720" w:hanging="720"/>
      </w:pPr>
      <w:r w:rsidRPr="005A7675">
        <w:t xml:space="preserve">Lewis, G., Thoresen, S. H., &amp; Cocks, E. (2011a). Post-course outcomes of apprenticeships and traineeships for people with disability in Western Australia. </w:t>
      </w:r>
      <w:r w:rsidRPr="005A7675">
        <w:rPr>
          <w:i/>
        </w:rPr>
        <w:t>Journal of Vocational Rehabilitation, 35</w:t>
      </w:r>
      <w:r w:rsidRPr="005A7675">
        <w:t>(2), 107-116. doi:10.3233/JVR-2011-0558</w:t>
      </w:r>
    </w:p>
    <w:p w14:paraId="33545D87" w14:textId="77777777" w:rsidR="005A7675" w:rsidRPr="005A7675" w:rsidRDefault="005A7675" w:rsidP="005A7675">
      <w:pPr>
        <w:pStyle w:val="EndNoteBibliography"/>
        <w:spacing w:after="0"/>
        <w:ind w:left="720" w:hanging="720"/>
      </w:pPr>
      <w:r w:rsidRPr="005A7675">
        <w:t xml:space="preserve">Lewis, G., Thoresen, S. H., &amp; Cocks, E. (2011b). Successful approaches to placing and supporting apprentices and trainees with disability in Australia. </w:t>
      </w:r>
      <w:r w:rsidRPr="005A7675">
        <w:rPr>
          <w:i/>
        </w:rPr>
        <w:t>Journal of Vocational Rehabilitation, 34</w:t>
      </w:r>
      <w:r w:rsidRPr="005A7675">
        <w:t>(3), 181-189. doi:10.3233/JVR-2011-0546</w:t>
      </w:r>
    </w:p>
    <w:p w14:paraId="4694D3FE" w14:textId="77777777" w:rsidR="005A7675" w:rsidRPr="005A7675" w:rsidRDefault="005A7675" w:rsidP="005A7675">
      <w:pPr>
        <w:pStyle w:val="EndNoteBibliography"/>
        <w:spacing w:after="0"/>
        <w:ind w:left="720" w:hanging="720"/>
      </w:pPr>
      <w:r w:rsidRPr="005A7675">
        <w:t xml:space="preserve">McVicar, D., &amp; Tabasso, D. (2016). </w:t>
      </w:r>
      <w:r w:rsidRPr="005A7675">
        <w:rPr>
          <w:i/>
        </w:rPr>
        <w:t>The Impact of Disadvantage on VET Completion and Employment Gaps. Research Report</w:t>
      </w:r>
      <w:r w:rsidRPr="005A7675">
        <w:t xml:space="preserve"> (1925173240). Retrieved from </w:t>
      </w:r>
      <w:hyperlink r:id="rId28" w:history="1">
        <w:r w:rsidRPr="005A7675">
          <w:rPr>
            <w:rStyle w:val="Hyperlink"/>
          </w:rPr>
          <w:t>https://files.eric.ed.gov/fulltext/ED565435.pdf</w:t>
        </w:r>
      </w:hyperlink>
    </w:p>
    <w:p w14:paraId="569589D8" w14:textId="77777777" w:rsidR="005A7675" w:rsidRPr="005A7675" w:rsidRDefault="005A7675" w:rsidP="005A7675">
      <w:pPr>
        <w:pStyle w:val="EndNoteBibliography"/>
        <w:spacing w:after="0"/>
        <w:ind w:left="720" w:hanging="720"/>
      </w:pPr>
      <w:r w:rsidRPr="005A7675">
        <w:t xml:space="preserve">Meadows, D. (2019). </w:t>
      </w:r>
      <w:r w:rsidRPr="005A7675">
        <w:rPr>
          <w:i/>
        </w:rPr>
        <w:t>Collaboration in school to work transition</w:t>
      </w:r>
      <w:r w:rsidRPr="005A7675">
        <w:t xml:space="preserve">. Melbourne. Retrieved from </w:t>
      </w:r>
      <w:hyperlink r:id="rId29" w:history="1">
        <w:r w:rsidRPr="005A7675">
          <w:rPr>
            <w:rStyle w:val="Hyperlink"/>
          </w:rPr>
          <w:t>https://tickettowork.org.au/resource/9/</w:t>
        </w:r>
      </w:hyperlink>
    </w:p>
    <w:p w14:paraId="41D603C0" w14:textId="77777777" w:rsidR="005A7675" w:rsidRPr="005A7675" w:rsidRDefault="005A7675" w:rsidP="005A7675">
      <w:pPr>
        <w:pStyle w:val="EndNoteBibliography"/>
        <w:spacing w:after="0"/>
        <w:ind w:left="720" w:hanging="720"/>
      </w:pPr>
      <w:r w:rsidRPr="005A7675">
        <w:t xml:space="preserve">Monteleone, R. (2016). Employment for all: United States disability policy. </w:t>
      </w:r>
      <w:r w:rsidRPr="005A7675">
        <w:rPr>
          <w:i/>
        </w:rPr>
        <w:t>Tizard Learning Disability Review</w:t>
      </w:r>
      <w:r w:rsidRPr="005A7675">
        <w:t xml:space="preserve">. </w:t>
      </w:r>
    </w:p>
    <w:p w14:paraId="4A5AC640" w14:textId="77777777" w:rsidR="005A7675" w:rsidRPr="005A7675" w:rsidRDefault="005A7675" w:rsidP="005A7675">
      <w:pPr>
        <w:pStyle w:val="EndNoteBibliography"/>
        <w:spacing w:after="0"/>
        <w:ind w:left="720" w:hanging="720"/>
      </w:pPr>
      <w:r w:rsidRPr="005A7675">
        <w:t xml:space="preserve">National Governors’ Association Center for Best Practice. (2004). </w:t>
      </w:r>
      <w:r w:rsidRPr="005A7675">
        <w:rPr>
          <w:i/>
        </w:rPr>
        <w:t>Early lessons from states to promote youth development’</w:t>
      </w:r>
      <w:r w:rsidRPr="005A7675">
        <w:t>. Washington, DC.</w:t>
      </w:r>
    </w:p>
    <w:p w14:paraId="17745580" w14:textId="77777777" w:rsidR="005A7675" w:rsidRPr="005A7675" w:rsidRDefault="005A7675" w:rsidP="005A7675">
      <w:pPr>
        <w:pStyle w:val="EndNoteBibliography"/>
        <w:spacing w:after="0"/>
        <w:ind w:left="720" w:hanging="720"/>
      </w:pPr>
      <w:r w:rsidRPr="005A7675">
        <w:t xml:space="preserve">Polidano, C., &amp; Mavromaras, K. (2010). </w:t>
      </w:r>
      <w:r w:rsidRPr="005A7675">
        <w:rPr>
          <w:i/>
        </w:rPr>
        <w:t xml:space="preserve">The Role of Vocational Education and Training in the Labour Market Outcomes of People with Disabilities. </w:t>
      </w:r>
      <w:r w:rsidRPr="005A7675">
        <w:t xml:space="preserve">(1921413654). Retrieved from </w:t>
      </w:r>
      <w:hyperlink r:id="rId30" w:history="1">
        <w:r w:rsidRPr="005A7675">
          <w:rPr>
            <w:rStyle w:val="Hyperlink"/>
          </w:rPr>
          <w:t>https://www.ncver.edu.au/research-and-statistics/publications/all-publications/the-role-of-vocational-education-and-training-in-the-labour-market-outcomes-of-people-with-disabilities</w:t>
        </w:r>
      </w:hyperlink>
    </w:p>
    <w:p w14:paraId="6500D794" w14:textId="77777777" w:rsidR="005A7675" w:rsidRPr="005A7675" w:rsidRDefault="005A7675" w:rsidP="005A7675">
      <w:pPr>
        <w:pStyle w:val="EndNoteBibliography"/>
        <w:spacing w:after="0"/>
        <w:ind w:left="720" w:hanging="720"/>
      </w:pPr>
      <w:r w:rsidRPr="005A7675">
        <w:t xml:space="preserve">PricewaterhouseCoopers Australia. (2011). </w:t>
      </w:r>
      <w:r w:rsidRPr="005A7675">
        <w:rPr>
          <w:i/>
        </w:rPr>
        <w:t>Disability expectations: Investing in a better life, a stronger Australia</w:t>
      </w:r>
      <w:r w:rsidRPr="005A7675">
        <w:t xml:space="preserve">. Retrieved from </w:t>
      </w:r>
      <w:hyperlink r:id="rId31" w:history="1">
        <w:r w:rsidRPr="005A7675">
          <w:rPr>
            <w:rStyle w:val="Hyperlink"/>
          </w:rPr>
          <w:t>https://www.pwc.com.au/industry/government/assets/disability-in-australia.pdf</w:t>
        </w:r>
      </w:hyperlink>
    </w:p>
    <w:p w14:paraId="6C5B3EED" w14:textId="77777777" w:rsidR="005A7675" w:rsidRPr="005A7675" w:rsidRDefault="005A7675" w:rsidP="005A7675">
      <w:pPr>
        <w:pStyle w:val="EndNoteBibliography"/>
        <w:spacing w:after="0"/>
        <w:ind w:left="720" w:hanging="720"/>
      </w:pPr>
      <w:r w:rsidRPr="005A7675">
        <w:t>Sheppard, L., Harrington, R. &amp; Howard, K. . (2017).</w:t>
      </w:r>
      <w:r w:rsidRPr="005A7675">
        <w:rPr>
          <w:i/>
        </w:rPr>
        <w:t xml:space="preserve"> Journey to employment for young people with disability Research to Action Guide Good Practice Summary</w:t>
      </w:r>
      <w:r w:rsidRPr="005A7675">
        <w:t xml:space="preserve">. Retrieved from </w:t>
      </w:r>
      <w:hyperlink r:id="rId32" w:history="1">
        <w:r w:rsidRPr="005A7675">
          <w:rPr>
            <w:rStyle w:val="Hyperlink"/>
          </w:rPr>
          <w:t>www.cadr.org.au</w:t>
        </w:r>
      </w:hyperlink>
    </w:p>
    <w:p w14:paraId="0389F519" w14:textId="77777777" w:rsidR="005A7675" w:rsidRPr="005A7675" w:rsidRDefault="005A7675" w:rsidP="005A7675">
      <w:pPr>
        <w:pStyle w:val="EndNoteBibliography"/>
        <w:spacing w:after="0"/>
        <w:ind w:left="720" w:hanging="720"/>
      </w:pPr>
      <w:r w:rsidRPr="005A7675">
        <w:t xml:space="preserve">Thoresen, S. H., Cocks, E., &amp; Parsons, R. (2019). Three Year Longitudinal Study of Graduate Employment Outcomes for Australian Apprentices and Trainees with and without Disabilities. </w:t>
      </w:r>
      <w:r w:rsidRPr="005A7675">
        <w:rPr>
          <w:i/>
        </w:rPr>
        <w:t>International Journal of Disability, Development and Education</w:t>
      </w:r>
      <w:r w:rsidRPr="005A7675">
        <w:t>, 1-15. doi:10.1080/1034912X.2019.1699648</w:t>
      </w:r>
    </w:p>
    <w:p w14:paraId="5E8C823E" w14:textId="77777777" w:rsidR="005A7675" w:rsidRPr="005A7675" w:rsidRDefault="005A7675" w:rsidP="005A7675">
      <w:pPr>
        <w:pStyle w:val="EndNoteBibliography"/>
        <w:spacing w:after="0"/>
        <w:ind w:left="720" w:hanging="720"/>
      </w:pPr>
      <w:r w:rsidRPr="005A7675">
        <w:t xml:space="preserve">Wakeford, M. (2020). </w:t>
      </w:r>
      <w:r w:rsidRPr="005A7675">
        <w:rPr>
          <w:i/>
        </w:rPr>
        <w:t>Parent engagement in school to work transition for their child with disability</w:t>
      </w:r>
      <w:r w:rsidRPr="005A7675">
        <w:t xml:space="preserve">. Melbourne. Retrieved from </w:t>
      </w:r>
      <w:hyperlink r:id="rId33" w:history="1">
        <w:r w:rsidRPr="005A7675">
          <w:rPr>
            <w:rStyle w:val="Hyperlink"/>
          </w:rPr>
          <w:t>https://tickettowork.org.au/research/article/parent-engagement-in-school-to-work-transition-for/</w:t>
        </w:r>
      </w:hyperlink>
    </w:p>
    <w:p w14:paraId="4F6D6D46" w14:textId="77777777" w:rsidR="005A7675" w:rsidRPr="005A7675" w:rsidRDefault="005A7675" w:rsidP="005A7675">
      <w:pPr>
        <w:pStyle w:val="EndNoteBibliography"/>
        <w:ind w:left="720" w:hanging="720"/>
      </w:pPr>
      <w:r w:rsidRPr="005A7675">
        <w:t xml:space="preserve">Winn, S., &amp; Hay, I. (2009). Transition from school for youths with a disability: issues and challenges. </w:t>
      </w:r>
      <w:r w:rsidRPr="005A7675">
        <w:rPr>
          <w:i/>
        </w:rPr>
        <w:t>Disability &amp; Society, 24</w:t>
      </w:r>
      <w:r w:rsidRPr="005A7675">
        <w:t>(1), 103-115. doi:10.1080/09687590802535725</w:t>
      </w:r>
    </w:p>
    <w:p w14:paraId="627D9D22" w14:textId="466496F0" w:rsidR="003856DD" w:rsidRPr="004C30A2" w:rsidRDefault="001C0803" w:rsidP="00331BBD">
      <w:pPr>
        <w:rPr>
          <w:rFonts w:eastAsiaTheme="minorHAnsi"/>
          <w:w w:val="100"/>
          <w:kern w:val="0"/>
        </w:rPr>
      </w:pPr>
      <w:r w:rsidRPr="00A52A7A">
        <w:fldChar w:fldCharType="end"/>
      </w:r>
    </w:p>
    <w:sectPr w:rsidR="003856DD" w:rsidRPr="004C30A2" w:rsidSect="0024507B">
      <w:headerReference w:type="default" r:id="rId34"/>
      <w:footerReference w:type="default" r:id="rId35"/>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09E17" w14:textId="77777777" w:rsidR="00644849" w:rsidRDefault="00644849" w:rsidP="00331BBD">
      <w:r>
        <w:separator/>
      </w:r>
    </w:p>
  </w:endnote>
  <w:endnote w:type="continuationSeparator" w:id="0">
    <w:p w14:paraId="4BEAA5FA" w14:textId="77777777" w:rsidR="00644849" w:rsidRDefault="00644849" w:rsidP="0033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verage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15141"/>
      <w:docPartObj>
        <w:docPartGallery w:val="Page Numbers (Bottom of Page)"/>
        <w:docPartUnique/>
      </w:docPartObj>
    </w:sdtPr>
    <w:sdtEndPr>
      <w:rPr>
        <w:noProof/>
      </w:rPr>
    </w:sdtEndPr>
    <w:sdtContent>
      <w:p w14:paraId="34D9A36D" w14:textId="132BD1EC" w:rsidR="000F7BFE" w:rsidRDefault="000F7BFE" w:rsidP="00331BBD">
        <w:pPr>
          <w:pStyle w:val="Footer"/>
        </w:pPr>
        <w:r>
          <w:fldChar w:fldCharType="begin"/>
        </w:r>
        <w:r>
          <w:instrText xml:space="preserve"> PAGE   \* MERGEFORMAT </w:instrText>
        </w:r>
        <w:r>
          <w:fldChar w:fldCharType="separate"/>
        </w:r>
        <w:r w:rsidR="00893C8D">
          <w:rPr>
            <w:noProof/>
          </w:rPr>
          <w:t>1</w:t>
        </w:r>
        <w:r>
          <w:rPr>
            <w:noProof/>
          </w:rPr>
          <w:fldChar w:fldCharType="end"/>
        </w:r>
      </w:p>
    </w:sdtContent>
  </w:sdt>
  <w:p w14:paraId="1C5F5B80" w14:textId="77777777" w:rsidR="000F7BFE" w:rsidRDefault="000F7BFE" w:rsidP="00331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EA210" w14:textId="77777777" w:rsidR="00644849" w:rsidRDefault="00644849" w:rsidP="00331BBD">
      <w:r>
        <w:separator/>
      </w:r>
    </w:p>
  </w:footnote>
  <w:footnote w:type="continuationSeparator" w:id="0">
    <w:p w14:paraId="0C8013CB" w14:textId="77777777" w:rsidR="00644849" w:rsidRDefault="00644849" w:rsidP="0033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39DCD" w14:textId="77777777" w:rsidR="000F7BFE" w:rsidRPr="00D172E7" w:rsidRDefault="000F7BFE" w:rsidP="00331BBD">
    <w:pPr>
      <w:pStyle w:val="Header"/>
    </w:pPr>
    <w:r>
      <w:rPr>
        <w:noProof/>
        <w:lang w:val="en-AU" w:eastAsia="en-AU"/>
      </w:rPr>
      <w:drawing>
        <wp:anchor distT="0" distB="0" distL="114300" distR="114300" simplePos="0" relativeHeight="251659264" behindDoc="1" locked="0" layoutInCell="1" allowOverlap="1" wp14:anchorId="38DBFE2F" wp14:editId="36B7CA31">
          <wp:simplePos x="0" y="0"/>
          <wp:positionH relativeFrom="margin">
            <wp:posOffset>-24553</wp:posOffset>
          </wp:positionH>
          <wp:positionV relativeFrom="paragraph">
            <wp:posOffset>-67310</wp:posOffset>
          </wp:positionV>
          <wp:extent cx="1300480" cy="996950"/>
          <wp:effectExtent l="0" t="0" r="0" b="0"/>
          <wp:wrapTight wrapText="bothSides">
            <wp:wrapPolygon edited="0">
              <wp:start x="0" y="0"/>
              <wp:lineTo x="0" y="21050"/>
              <wp:lineTo x="21199" y="21050"/>
              <wp:lineTo x="21199" y="0"/>
              <wp:lineTo x="0" y="0"/>
            </wp:wrapPolygon>
          </wp:wrapTight>
          <wp:docPr id="7" name="Picture 7" descr="www.tickettowork.org.au Ticket To Work logo hand with black and whit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www.tickettowork.org.au Ticket To Work logo hand with black and white&#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0480" cy="996950"/>
                  </a:xfrm>
                  <a:prstGeom prst="rect">
                    <a:avLst/>
                  </a:prstGeom>
                </pic:spPr>
              </pic:pic>
            </a:graphicData>
          </a:graphic>
          <wp14:sizeRelH relativeFrom="page">
            <wp14:pctWidth>0</wp14:pctWidth>
          </wp14:sizeRelH>
          <wp14:sizeRelV relativeFrom="page">
            <wp14:pctHeight>0</wp14:pctHeight>
          </wp14:sizeRelV>
        </wp:anchor>
      </w:drawing>
    </w:r>
    <w:r>
      <w:tab/>
    </w:r>
    <w:r>
      <w:tab/>
    </w:r>
    <w:r>
      <w:rPr>
        <w:noProof/>
        <w:color w:val="0563C1"/>
        <w:sz w:val="2"/>
        <w:szCs w:val="2"/>
        <w:lang w:val="en-AU" w:eastAsia="en-AU"/>
      </w:rPr>
      <w:drawing>
        <wp:inline distT="0" distB="0" distL="0" distR="0" wp14:anchorId="76B5E259" wp14:editId="1F3115A3">
          <wp:extent cx="1143000" cy="676275"/>
          <wp:effectExtent l="0" t="0" r="0" b="9525"/>
          <wp:docPr id="1" name="Picture 1" descr="www.nds.org.au NDS logo blue and green">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ww.nds.org.au NDS logo blue and green">
                    <a:hlinkClick r:id="rId2" tgtFrame="&quot;_blank&quot;"/>
                  </pic:cNvPr>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47799" cy="6791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80795"/>
    <w:multiLevelType w:val="hybridMultilevel"/>
    <w:tmpl w:val="3C980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417DEC"/>
    <w:multiLevelType w:val="multilevel"/>
    <w:tmpl w:val="4AF4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B3961"/>
    <w:multiLevelType w:val="multilevel"/>
    <w:tmpl w:val="F32430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979368E"/>
    <w:multiLevelType w:val="multilevel"/>
    <w:tmpl w:val="33E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89586A"/>
    <w:multiLevelType w:val="hybridMultilevel"/>
    <w:tmpl w:val="629A3A2A"/>
    <w:lvl w:ilvl="0" w:tplc="E6422C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25E7048"/>
    <w:multiLevelType w:val="multilevel"/>
    <w:tmpl w:val="F32430A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7FE5463F"/>
    <w:multiLevelType w:val="hybridMultilevel"/>
    <w:tmpl w:val="B9C4424E"/>
    <w:lvl w:ilvl="0" w:tplc="0C09000F">
      <w:start w:val="2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6th-LTU-v14-X7&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rvxfvzvvpp2tew2sbxfrtxszxsa992r2f0&quot;&gt;My EndNote Library Jul 15-Saved-Saved&lt;record-ids&gt;&lt;item&gt;1731&lt;/item&gt;&lt;item&gt;1734&lt;/item&gt;&lt;item&gt;1735&lt;/item&gt;&lt;item&gt;1736&lt;/item&gt;&lt;item&gt;1738&lt;/item&gt;&lt;item&gt;1745&lt;/item&gt;&lt;item&gt;1746&lt;/item&gt;&lt;item&gt;1748&lt;/item&gt;&lt;item&gt;1757&lt;/item&gt;&lt;item&gt;1758&lt;/item&gt;&lt;item&gt;1760&lt;/item&gt;&lt;item&gt;1761&lt;/item&gt;&lt;item&gt;1762&lt;/item&gt;&lt;item&gt;1763&lt;/item&gt;&lt;item&gt;1790&lt;/item&gt;&lt;item&gt;1793&lt;/item&gt;&lt;item&gt;1795&lt;/item&gt;&lt;item&gt;1796&lt;/item&gt;&lt;item&gt;1797&lt;/item&gt;&lt;item&gt;1798&lt;/item&gt;&lt;item&gt;1799&lt;/item&gt;&lt;item&gt;1800&lt;/item&gt;&lt;item&gt;1802&lt;/item&gt;&lt;item&gt;1830&lt;/item&gt;&lt;item&gt;1832&lt;/item&gt;&lt;item&gt;1833&lt;/item&gt;&lt;item&gt;1854&lt;/item&gt;&lt;/record-ids&gt;&lt;/item&gt;&lt;/Libraries&gt;"/>
  </w:docVars>
  <w:rsids>
    <w:rsidRoot w:val="00787CB4"/>
    <w:rsid w:val="000002E4"/>
    <w:rsid w:val="00003AA3"/>
    <w:rsid w:val="000051BF"/>
    <w:rsid w:val="0000687D"/>
    <w:rsid w:val="00006C1B"/>
    <w:rsid w:val="00007877"/>
    <w:rsid w:val="0001145C"/>
    <w:rsid w:val="00011DC0"/>
    <w:rsid w:val="00015008"/>
    <w:rsid w:val="00017614"/>
    <w:rsid w:val="00017AD0"/>
    <w:rsid w:val="000224F5"/>
    <w:rsid w:val="000275B8"/>
    <w:rsid w:val="00043A7B"/>
    <w:rsid w:val="00043B91"/>
    <w:rsid w:val="000468B4"/>
    <w:rsid w:val="00046F24"/>
    <w:rsid w:val="000539A4"/>
    <w:rsid w:val="00065D40"/>
    <w:rsid w:val="000721DA"/>
    <w:rsid w:val="00072F12"/>
    <w:rsid w:val="00072F89"/>
    <w:rsid w:val="00073CB4"/>
    <w:rsid w:val="000812B0"/>
    <w:rsid w:val="00084E8D"/>
    <w:rsid w:val="00087AEE"/>
    <w:rsid w:val="000921B9"/>
    <w:rsid w:val="00092EBF"/>
    <w:rsid w:val="00097D8D"/>
    <w:rsid w:val="000A2D84"/>
    <w:rsid w:val="000A3265"/>
    <w:rsid w:val="000A3E5E"/>
    <w:rsid w:val="000A5ED5"/>
    <w:rsid w:val="000B2C66"/>
    <w:rsid w:val="000B4B24"/>
    <w:rsid w:val="000D4FB7"/>
    <w:rsid w:val="000D636F"/>
    <w:rsid w:val="000E0A33"/>
    <w:rsid w:val="000E0FD7"/>
    <w:rsid w:val="000E4B7E"/>
    <w:rsid w:val="000E55B4"/>
    <w:rsid w:val="000E6491"/>
    <w:rsid w:val="000E7BE2"/>
    <w:rsid w:val="000F1069"/>
    <w:rsid w:val="000F4915"/>
    <w:rsid w:val="000F7745"/>
    <w:rsid w:val="000F7BFE"/>
    <w:rsid w:val="000F7FAF"/>
    <w:rsid w:val="00100D4E"/>
    <w:rsid w:val="0010125B"/>
    <w:rsid w:val="00106365"/>
    <w:rsid w:val="00110013"/>
    <w:rsid w:val="00110655"/>
    <w:rsid w:val="00111365"/>
    <w:rsid w:val="00116257"/>
    <w:rsid w:val="001214C2"/>
    <w:rsid w:val="001236CA"/>
    <w:rsid w:val="00124D06"/>
    <w:rsid w:val="001265F6"/>
    <w:rsid w:val="00140B53"/>
    <w:rsid w:val="0014494C"/>
    <w:rsid w:val="00145D14"/>
    <w:rsid w:val="00151A13"/>
    <w:rsid w:val="00151E1F"/>
    <w:rsid w:val="00151EF6"/>
    <w:rsid w:val="00152869"/>
    <w:rsid w:val="001619FA"/>
    <w:rsid w:val="00163BF2"/>
    <w:rsid w:val="00163F7A"/>
    <w:rsid w:val="00164B29"/>
    <w:rsid w:val="00173BBB"/>
    <w:rsid w:val="0018251F"/>
    <w:rsid w:val="00182EA4"/>
    <w:rsid w:val="00185530"/>
    <w:rsid w:val="0018674D"/>
    <w:rsid w:val="001956FE"/>
    <w:rsid w:val="001969EF"/>
    <w:rsid w:val="001A153D"/>
    <w:rsid w:val="001A425E"/>
    <w:rsid w:val="001A4CBB"/>
    <w:rsid w:val="001A5D0C"/>
    <w:rsid w:val="001B1D19"/>
    <w:rsid w:val="001B4200"/>
    <w:rsid w:val="001C0228"/>
    <w:rsid w:val="001C0803"/>
    <w:rsid w:val="001C539D"/>
    <w:rsid w:val="001C5404"/>
    <w:rsid w:val="001D070D"/>
    <w:rsid w:val="001D2D1C"/>
    <w:rsid w:val="001D544F"/>
    <w:rsid w:val="001E2580"/>
    <w:rsid w:val="001E4B2A"/>
    <w:rsid w:val="001E7EC8"/>
    <w:rsid w:val="001F6CD9"/>
    <w:rsid w:val="00200E84"/>
    <w:rsid w:val="0020108F"/>
    <w:rsid w:val="00203B59"/>
    <w:rsid w:val="00204135"/>
    <w:rsid w:val="002126B3"/>
    <w:rsid w:val="002132A0"/>
    <w:rsid w:val="00215207"/>
    <w:rsid w:val="002177C6"/>
    <w:rsid w:val="0021795A"/>
    <w:rsid w:val="00224909"/>
    <w:rsid w:val="00224A67"/>
    <w:rsid w:val="00230DD8"/>
    <w:rsid w:val="00231E57"/>
    <w:rsid w:val="002423A2"/>
    <w:rsid w:val="002437A0"/>
    <w:rsid w:val="0024507B"/>
    <w:rsid w:val="00246083"/>
    <w:rsid w:val="00247755"/>
    <w:rsid w:val="0025247B"/>
    <w:rsid w:val="00252640"/>
    <w:rsid w:val="00254E60"/>
    <w:rsid w:val="00262F42"/>
    <w:rsid w:val="00263604"/>
    <w:rsid w:val="00264811"/>
    <w:rsid w:val="00265024"/>
    <w:rsid w:val="00265F20"/>
    <w:rsid w:val="00273E2C"/>
    <w:rsid w:val="00276118"/>
    <w:rsid w:val="00276280"/>
    <w:rsid w:val="00276322"/>
    <w:rsid w:val="0028012F"/>
    <w:rsid w:val="0028137B"/>
    <w:rsid w:val="00284C43"/>
    <w:rsid w:val="00290E7A"/>
    <w:rsid w:val="00291265"/>
    <w:rsid w:val="00293A75"/>
    <w:rsid w:val="00297797"/>
    <w:rsid w:val="00297BD3"/>
    <w:rsid w:val="002A2CBD"/>
    <w:rsid w:val="002A375A"/>
    <w:rsid w:val="002A44D6"/>
    <w:rsid w:val="002C5D68"/>
    <w:rsid w:val="002C6835"/>
    <w:rsid w:val="002D0029"/>
    <w:rsid w:val="002D1436"/>
    <w:rsid w:val="002D5811"/>
    <w:rsid w:val="002E0163"/>
    <w:rsid w:val="002E479E"/>
    <w:rsid w:val="002E62D0"/>
    <w:rsid w:val="002F328E"/>
    <w:rsid w:val="002F4739"/>
    <w:rsid w:val="002F5633"/>
    <w:rsid w:val="002F6BF6"/>
    <w:rsid w:val="00312B66"/>
    <w:rsid w:val="003224AB"/>
    <w:rsid w:val="00322B08"/>
    <w:rsid w:val="00324893"/>
    <w:rsid w:val="00325F40"/>
    <w:rsid w:val="003264E8"/>
    <w:rsid w:val="00331BBD"/>
    <w:rsid w:val="0033461C"/>
    <w:rsid w:val="00337C99"/>
    <w:rsid w:val="00341AAA"/>
    <w:rsid w:val="00341AD8"/>
    <w:rsid w:val="00342A47"/>
    <w:rsid w:val="00343D98"/>
    <w:rsid w:val="00345397"/>
    <w:rsid w:val="0035497A"/>
    <w:rsid w:val="003554D0"/>
    <w:rsid w:val="0035555A"/>
    <w:rsid w:val="003570AD"/>
    <w:rsid w:val="003603A6"/>
    <w:rsid w:val="00361CCB"/>
    <w:rsid w:val="003629C2"/>
    <w:rsid w:val="003629DA"/>
    <w:rsid w:val="00362ECA"/>
    <w:rsid w:val="00364841"/>
    <w:rsid w:val="00366362"/>
    <w:rsid w:val="00366F9E"/>
    <w:rsid w:val="00370304"/>
    <w:rsid w:val="003716BA"/>
    <w:rsid w:val="00373A96"/>
    <w:rsid w:val="003748D7"/>
    <w:rsid w:val="00376B81"/>
    <w:rsid w:val="0037710C"/>
    <w:rsid w:val="00383E21"/>
    <w:rsid w:val="003856DD"/>
    <w:rsid w:val="00395712"/>
    <w:rsid w:val="00395755"/>
    <w:rsid w:val="003A135A"/>
    <w:rsid w:val="003A7003"/>
    <w:rsid w:val="003B01A0"/>
    <w:rsid w:val="003B07EE"/>
    <w:rsid w:val="003B7ECC"/>
    <w:rsid w:val="003C1FE1"/>
    <w:rsid w:val="003C329E"/>
    <w:rsid w:val="003C34C7"/>
    <w:rsid w:val="003D0A15"/>
    <w:rsid w:val="003D2294"/>
    <w:rsid w:val="003D2F7A"/>
    <w:rsid w:val="003D587F"/>
    <w:rsid w:val="003D6053"/>
    <w:rsid w:val="003F0E22"/>
    <w:rsid w:val="004038BA"/>
    <w:rsid w:val="00412953"/>
    <w:rsid w:val="004156CD"/>
    <w:rsid w:val="00417AD1"/>
    <w:rsid w:val="0042382E"/>
    <w:rsid w:val="004275FC"/>
    <w:rsid w:val="00430EB5"/>
    <w:rsid w:val="0043378A"/>
    <w:rsid w:val="00451E5E"/>
    <w:rsid w:val="0045555F"/>
    <w:rsid w:val="0046098A"/>
    <w:rsid w:val="004638CF"/>
    <w:rsid w:val="00467481"/>
    <w:rsid w:val="0046752B"/>
    <w:rsid w:val="004676C6"/>
    <w:rsid w:val="00473C2B"/>
    <w:rsid w:val="004836FA"/>
    <w:rsid w:val="00491CD4"/>
    <w:rsid w:val="004A0121"/>
    <w:rsid w:val="004A66BF"/>
    <w:rsid w:val="004A7176"/>
    <w:rsid w:val="004B2750"/>
    <w:rsid w:val="004C02B2"/>
    <w:rsid w:val="004C30A2"/>
    <w:rsid w:val="004C36F7"/>
    <w:rsid w:val="004C4541"/>
    <w:rsid w:val="004D0493"/>
    <w:rsid w:val="004D0BBD"/>
    <w:rsid w:val="004D5DBC"/>
    <w:rsid w:val="004D662D"/>
    <w:rsid w:val="004E11B2"/>
    <w:rsid w:val="004E4481"/>
    <w:rsid w:val="004E6A4F"/>
    <w:rsid w:val="004F2E5F"/>
    <w:rsid w:val="00501117"/>
    <w:rsid w:val="0050539C"/>
    <w:rsid w:val="00505FAC"/>
    <w:rsid w:val="00513685"/>
    <w:rsid w:val="005145F0"/>
    <w:rsid w:val="005160C5"/>
    <w:rsid w:val="00523536"/>
    <w:rsid w:val="00525EF0"/>
    <w:rsid w:val="00544360"/>
    <w:rsid w:val="00553360"/>
    <w:rsid w:val="00555310"/>
    <w:rsid w:val="00556066"/>
    <w:rsid w:val="00556496"/>
    <w:rsid w:val="005665C0"/>
    <w:rsid w:val="0057499A"/>
    <w:rsid w:val="005769CE"/>
    <w:rsid w:val="00577997"/>
    <w:rsid w:val="00587C4A"/>
    <w:rsid w:val="005900C8"/>
    <w:rsid w:val="00593609"/>
    <w:rsid w:val="00594753"/>
    <w:rsid w:val="005A3DE2"/>
    <w:rsid w:val="005A4C41"/>
    <w:rsid w:val="005A51DC"/>
    <w:rsid w:val="005A5481"/>
    <w:rsid w:val="005A7675"/>
    <w:rsid w:val="005B2734"/>
    <w:rsid w:val="005B3808"/>
    <w:rsid w:val="005B4F5D"/>
    <w:rsid w:val="005C07E1"/>
    <w:rsid w:val="005C15F4"/>
    <w:rsid w:val="005D754E"/>
    <w:rsid w:val="005E3607"/>
    <w:rsid w:val="005E3C09"/>
    <w:rsid w:val="005E464C"/>
    <w:rsid w:val="0060258A"/>
    <w:rsid w:val="00604629"/>
    <w:rsid w:val="0060515D"/>
    <w:rsid w:val="00605EDE"/>
    <w:rsid w:val="00611DA4"/>
    <w:rsid w:val="00614E0C"/>
    <w:rsid w:val="00617B6C"/>
    <w:rsid w:val="00617E0E"/>
    <w:rsid w:val="00622FED"/>
    <w:rsid w:val="006275E3"/>
    <w:rsid w:val="006302E7"/>
    <w:rsid w:val="00632F11"/>
    <w:rsid w:val="00633454"/>
    <w:rsid w:val="0064039E"/>
    <w:rsid w:val="0064053B"/>
    <w:rsid w:val="00640D7D"/>
    <w:rsid w:val="00644849"/>
    <w:rsid w:val="006474AB"/>
    <w:rsid w:val="006502BA"/>
    <w:rsid w:val="0066166C"/>
    <w:rsid w:val="006622BC"/>
    <w:rsid w:val="00662D44"/>
    <w:rsid w:val="006714F9"/>
    <w:rsid w:val="006717A6"/>
    <w:rsid w:val="00672C0D"/>
    <w:rsid w:val="00673C96"/>
    <w:rsid w:val="0067526A"/>
    <w:rsid w:val="00675AD8"/>
    <w:rsid w:val="00676170"/>
    <w:rsid w:val="0067658B"/>
    <w:rsid w:val="00677536"/>
    <w:rsid w:val="00684F3F"/>
    <w:rsid w:val="006869BE"/>
    <w:rsid w:val="00687C51"/>
    <w:rsid w:val="0069048C"/>
    <w:rsid w:val="00691C34"/>
    <w:rsid w:val="0069437E"/>
    <w:rsid w:val="00695029"/>
    <w:rsid w:val="006A2EC7"/>
    <w:rsid w:val="006A38EE"/>
    <w:rsid w:val="006A41F6"/>
    <w:rsid w:val="006A665B"/>
    <w:rsid w:val="006A676E"/>
    <w:rsid w:val="006B0BB6"/>
    <w:rsid w:val="006B35D5"/>
    <w:rsid w:val="006C5B22"/>
    <w:rsid w:val="006D1654"/>
    <w:rsid w:val="006D26FF"/>
    <w:rsid w:val="006D368A"/>
    <w:rsid w:val="006E1D96"/>
    <w:rsid w:val="006E34C3"/>
    <w:rsid w:val="006E4F1B"/>
    <w:rsid w:val="006E5736"/>
    <w:rsid w:val="006E6059"/>
    <w:rsid w:val="006F5DC9"/>
    <w:rsid w:val="006F6B41"/>
    <w:rsid w:val="006F75DB"/>
    <w:rsid w:val="00703D42"/>
    <w:rsid w:val="00713C4F"/>
    <w:rsid w:val="0071428B"/>
    <w:rsid w:val="00716802"/>
    <w:rsid w:val="00716E4B"/>
    <w:rsid w:val="00721845"/>
    <w:rsid w:val="00721A13"/>
    <w:rsid w:val="0072468A"/>
    <w:rsid w:val="00732DBA"/>
    <w:rsid w:val="00734D94"/>
    <w:rsid w:val="007378C7"/>
    <w:rsid w:val="00737A5C"/>
    <w:rsid w:val="00744993"/>
    <w:rsid w:val="00750629"/>
    <w:rsid w:val="00751B87"/>
    <w:rsid w:val="00757F91"/>
    <w:rsid w:val="00760705"/>
    <w:rsid w:val="007633D0"/>
    <w:rsid w:val="007668B7"/>
    <w:rsid w:val="00767D19"/>
    <w:rsid w:val="0077311A"/>
    <w:rsid w:val="007769E8"/>
    <w:rsid w:val="00782C83"/>
    <w:rsid w:val="0078540B"/>
    <w:rsid w:val="00787233"/>
    <w:rsid w:val="00787CB4"/>
    <w:rsid w:val="0079091E"/>
    <w:rsid w:val="007A4083"/>
    <w:rsid w:val="007B4141"/>
    <w:rsid w:val="007B794B"/>
    <w:rsid w:val="007B7D59"/>
    <w:rsid w:val="007C442A"/>
    <w:rsid w:val="007C46FE"/>
    <w:rsid w:val="007D4494"/>
    <w:rsid w:val="007D5053"/>
    <w:rsid w:val="007E07E8"/>
    <w:rsid w:val="007E1B6F"/>
    <w:rsid w:val="007E2BA1"/>
    <w:rsid w:val="007E3701"/>
    <w:rsid w:val="007E6397"/>
    <w:rsid w:val="00804BE4"/>
    <w:rsid w:val="00806615"/>
    <w:rsid w:val="008076A7"/>
    <w:rsid w:val="0081572F"/>
    <w:rsid w:val="0082097F"/>
    <w:rsid w:val="0082231C"/>
    <w:rsid w:val="0082412B"/>
    <w:rsid w:val="00825583"/>
    <w:rsid w:val="00830F27"/>
    <w:rsid w:val="008327EC"/>
    <w:rsid w:val="00834AA9"/>
    <w:rsid w:val="00836918"/>
    <w:rsid w:val="008371D1"/>
    <w:rsid w:val="00855613"/>
    <w:rsid w:val="00860F7C"/>
    <w:rsid w:val="0086738A"/>
    <w:rsid w:val="00867F5B"/>
    <w:rsid w:val="00870930"/>
    <w:rsid w:val="008726E7"/>
    <w:rsid w:val="00875033"/>
    <w:rsid w:val="00881A20"/>
    <w:rsid w:val="0088653A"/>
    <w:rsid w:val="00893C8D"/>
    <w:rsid w:val="008A2E12"/>
    <w:rsid w:val="008A385E"/>
    <w:rsid w:val="008C0EAB"/>
    <w:rsid w:val="008C520D"/>
    <w:rsid w:val="008E1616"/>
    <w:rsid w:val="008F0FEB"/>
    <w:rsid w:val="008F4A8B"/>
    <w:rsid w:val="009027B9"/>
    <w:rsid w:val="0090486D"/>
    <w:rsid w:val="00905122"/>
    <w:rsid w:val="00906743"/>
    <w:rsid w:val="00910371"/>
    <w:rsid w:val="009123FF"/>
    <w:rsid w:val="00912692"/>
    <w:rsid w:val="00912B0C"/>
    <w:rsid w:val="00915BB7"/>
    <w:rsid w:val="009172D9"/>
    <w:rsid w:val="00921EAB"/>
    <w:rsid w:val="00922925"/>
    <w:rsid w:val="00923A41"/>
    <w:rsid w:val="00925FB6"/>
    <w:rsid w:val="00927368"/>
    <w:rsid w:val="0093000E"/>
    <w:rsid w:val="00934692"/>
    <w:rsid w:val="00941452"/>
    <w:rsid w:val="009450D9"/>
    <w:rsid w:val="0094650F"/>
    <w:rsid w:val="00952C06"/>
    <w:rsid w:val="00960F0A"/>
    <w:rsid w:val="00962969"/>
    <w:rsid w:val="00962F6C"/>
    <w:rsid w:val="0096419C"/>
    <w:rsid w:val="00971BE5"/>
    <w:rsid w:val="00977FB0"/>
    <w:rsid w:val="00991A2B"/>
    <w:rsid w:val="009A47C0"/>
    <w:rsid w:val="009A62FE"/>
    <w:rsid w:val="009B0C3A"/>
    <w:rsid w:val="009B4CDE"/>
    <w:rsid w:val="009B51C0"/>
    <w:rsid w:val="009B7292"/>
    <w:rsid w:val="009C1960"/>
    <w:rsid w:val="009C3F54"/>
    <w:rsid w:val="009C4416"/>
    <w:rsid w:val="009C44C6"/>
    <w:rsid w:val="009C6C26"/>
    <w:rsid w:val="009D6807"/>
    <w:rsid w:val="009D7217"/>
    <w:rsid w:val="009E199E"/>
    <w:rsid w:val="009E7DA3"/>
    <w:rsid w:val="009F027A"/>
    <w:rsid w:val="009F2D2A"/>
    <w:rsid w:val="00A002E6"/>
    <w:rsid w:val="00A020B8"/>
    <w:rsid w:val="00A0237B"/>
    <w:rsid w:val="00A03854"/>
    <w:rsid w:val="00A06CE3"/>
    <w:rsid w:val="00A079CC"/>
    <w:rsid w:val="00A15320"/>
    <w:rsid w:val="00A1638D"/>
    <w:rsid w:val="00A21A2D"/>
    <w:rsid w:val="00A30E30"/>
    <w:rsid w:val="00A33EFF"/>
    <w:rsid w:val="00A347AE"/>
    <w:rsid w:val="00A359AE"/>
    <w:rsid w:val="00A45635"/>
    <w:rsid w:val="00A50B06"/>
    <w:rsid w:val="00A52A7A"/>
    <w:rsid w:val="00A5393E"/>
    <w:rsid w:val="00A6067D"/>
    <w:rsid w:val="00A62BAF"/>
    <w:rsid w:val="00A70FB8"/>
    <w:rsid w:val="00A728C0"/>
    <w:rsid w:val="00A83562"/>
    <w:rsid w:val="00A92549"/>
    <w:rsid w:val="00A9256F"/>
    <w:rsid w:val="00AA03E7"/>
    <w:rsid w:val="00AA2866"/>
    <w:rsid w:val="00AA38CA"/>
    <w:rsid w:val="00AA4CCF"/>
    <w:rsid w:val="00AA741B"/>
    <w:rsid w:val="00AB2615"/>
    <w:rsid w:val="00AB432E"/>
    <w:rsid w:val="00AB52B0"/>
    <w:rsid w:val="00AC087E"/>
    <w:rsid w:val="00AC0BC3"/>
    <w:rsid w:val="00AC0FFC"/>
    <w:rsid w:val="00AC118F"/>
    <w:rsid w:val="00AC364A"/>
    <w:rsid w:val="00AC46CB"/>
    <w:rsid w:val="00AC67CA"/>
    <w:rsid w:val="00AC6CAE"/>
    <w:rsid w:val="00AD5C8E"/>
    <w:rsid w:val="00AD724F"/>
    <w:rsid w:val="00AD7E32"/>
    <w:rsid w:val="00AE51CD"/>
    <w:rsid w:val="00AE54F2"/>
    <w:rsid w:val="00AE6DA3"/>
    <w:rsid w:val="00B014F2"/>
    <w:rsid w:val="00B02B58"/>
    <w:rsid w:val="00B117C9"/>
    <w:rsid w:val="00B12883"/>
    <w:rsid w:val="00B1401E"/>
    <w:rsid w:val="00B27B1D"/>
    <w:rsid w:val="00B324F6"/>
    <w:rsid w:val="00B43142"/>
    <w:rsid w:val="00B466A0"/>
    <w:rsid w:val="00B61AE7"/>
    <w:rsid w:val="00B6330D"/>
    <w:rsid w:val="00B73757"/>
    <w:rsid w:val="00B7379F"/>
    <w:rsid w:val="00B76F72"/>
    <w:rsid w:val="00B77375"/>
    <w:rsid w:val="00B77F99"/>
    <w:rsid w:val="00B8710F"/>
    <w:rsid w:val="00B872F8"/>
    <w:rsid w:val="00B9246E"/>
    <w:rsid w:val="00B93231"/>
    <w:rsid w:val="00B94EE3"/>
    <w:rsid w:val="00B97A89"/>
    <w:rsid w:val="00BA03E9"/>
    <w:rsid w:val="00BA4023"/>
    <w:rsid w:val="00BA4543"/>
    <w:rsid w:val="00BB0612"/>
    <w:rsid w:val="00BB32FC"/>
    <w:rsid w:val="00BC1819"/>
    <w:rsid w:val="00BC366A"/>
    <w:rsid w:val="00BC46C7"/>
    <w:rsid w:val="00BE1E74"/>
    <w:rsid w:val="00BF2A50"/>
    <w:rsid w:val="00C10175"/>
    <w:rsid w:val="00C11194"/>
    <w:rsid w:val="00C12777"/>
    <w:rsid w:val="00C160FD"/>
    <w:rsid w:val="00C26419"/>
    <w:rsid w:val="00C27B7B"/>
    <w:rsid w:val="00C52993"/>
    <w:rsid w:val="00C572D6"/>
    <w:rsid w:val="00C63A46"/>
    <w:rsid w:val="00C6429B"/>
    <w:rsid w:val="00C65693"/>
    <w:rsid w:val="00C664D4"/>
    <w:rsid w:val="00C7041E"/>
    <w:rsid w:val="00C84C22"/>
    <w:rsid w:val="00C86BBB"/>
    <w:rsid w:val="00C87F69"/>
    <w:rsid w:val="00C904EF"/>
    <w:rsid w:val="00C956F1"/>
    <w:rsid w:val="00CA15FD"/>
    <w:rsid w:val="00CA1774"/>
    <w:rsid w:val="00CA2AA4"/>
    <w:rsid w:val="00CA2E27"/>
    <w:rsid w:val="00CB0EAA"/>
    <w:rsid w:val="00CB610B"/>
    <w:rsid w:val="00CC16B3"/>
    <w:rsid w:val="00CC5983"/>
    <w:rsid w:val="00CD43AB"/>
    <w:rsid w:val="00CE00A0"/>
    <w:rsid w:val="00CE1D80"/>
    <w:rsid w:val="00CE27B4"/>
    <w:rsid w:val="00CE2FE0"/>
    <w:rsid w:val="00CF0140"/>
    <w:rsid w:val="00CF027E"/>
    <w:rsid w:val="00D078B3"/>
    <w:rsid w:val="00D10694"/>
    <w:rsid w:val="00D128A7"/>
    <w:rsid w:val="00D1379E"/>
    <w:rsid w:val="00D172E7"/>
    <w:rsid w:val="00D26269"/>
    <w:rsid w:val="00D31AB8"/>
    <w:rsid w:val="00D40CFF"/>
    <w:rsid w:val="00D41D3A"/>
    <w:rsid w:val="00D421DA"/>
    <w:rsid w:val="00D44F6F"/>
    <w:rsid w:val="00D549B1"/>
    <w:rsid w:val="00D55532"/>
    <w:rsid w:val="00D55CC2"/>
    <w:rsid w:val="00D57E99"/>
    <w:rsid w:val="00D6413A"/>
    <w:rsid w:val="00D73A07"/>
    <w:rsid w:val="00D75469"/>
    <w:rsid w:val="00D76E7C"/>
    <w:rsid w:val="00D80A9C"/>
    <w:rsid w:val="00D83B23"/>
    <w:rsid w:val="00D845FE"/>
    <w:rsid w:val="00D84E8E"/>
    <w:rsid w:val="00D9020B"/>
    <w:rsid w:val="00D90D8C"/>
    <w:rsid w:val="00D930C3"/>
    <w:rsid w:val="00D94DDD"/>
    <w:rsid w:val="00D96DFC"/>
    <w:rsid w:val="00D97AEE"/>
    <w:rsid w:val="00DA1157"/>
    <w:rsid w:val="00DA1917"/>
    <w:rsid w:val="00DA45DA"/>
    <w:rsid w:val="00DB64F3"/>
    <w:rsid w:val="00DB73BC"/>
    <w:rsid w:val="00DB7465"/>
    <w:rsid w:val="00DB7DDE"/>
    <w:rsid w:val="00DC3E1E"/>
    <w:rsid w:val="00DC3F76"/>
    <w:rsid w:val="00DC4B97"/>
    <w:rsid w:val="00DC4E00"/>
    <w:rsid w:val="00DC5537"/>
    <w:rsid w:val="00DC7885"/>
    <w:rsid w:val="00DD382A"/>
    <w:rsid w:val="00DD4D3C"/>
    <w:rsid w:val="00DD7EE4"/>
    <w:rsid w:val="00DE1485"/>
    <w:rsid w:val="00DE38B1"/>
    <w:rsid w:val="00DE76C4"/>
    <w:rsid w:val="00DF155F"/>
    <w:rsid w:val="00E00D59"/>
    <w:rsid w:val="00E02F38"/>
    <w:rsid w:val="00E05144"/>
    <w:rsid w:val="00E05B73"/>
    <w:rsid w:val="00E05BFA"/>
    <w:rsid w:val="00E0618C"/>
    <w:rsid w:val="00E101A2"/>
    <w:rsid w:val="00E10DEB"/>
    <w:rsid w:val="00E11450"/>
    <w:rsid w:val="00E11797"/>
    <w:rsid w:val="00E11F18"/>
    <w:rsid w:val="00E15657"/>
    <w:rsid w:val="00E176C2"/>
    <w:rsid w:val="00E22FE1"/>
    <w:rsid w:val="00E25FC3"/>
    <w:rsid w:val="00E262AF"/>
    <w:rsid w:val="00E3574B"/>
    <w:rsid w:val="00E37B8B"/>
    <w:rsid w:val="00E40DA1"/>
    <w:rsid w:val="00E517E8"/>
    <w:rsid w:val="00E523FC"/>
    <w:rsid w:val="00E56366"/>
    <w:rsid w:val="00E56B9A"/>
    <w:rsid w:val="00E63D22"/>
    <w:rsid w:val="00E66B8B"/>
    <w:rsid w:val="00E703E5"/>
    <w:rsid w:val="00E72BC5"/>
    <w:rsid w:val="00E76BAD"/>
    <w:rsid w:val="00E77829"/>
    <w:rsid w:val="00E80500"/>
    <w:rsid w:val="00E84C9D"/>
    <w:rsid w:val="00E851E5"/>
    <w:rsid w:val="00E85956"/>
    <w:rsid w:val="00E85C4E"/>
    <w:rsid w:val="00E8626A"/>
    <w:rsid w:val="00E869EA"/>
    <w:rsid w:val="00E87674"/>
    <w:rsid w:val="00E90DAF"/>
    <w:rsid w:val="00E92898"/>
    <w:rsid w:val="00E94F07"/>
    <w:rsid w:val="00E96A4B"/>
    <w:rsid w:val="00E9762F"/>
    <w:rsid w:val="00EA2107"/>
    <w:rsid w:val="00EA495D"/>
    <w:rsid w:val="00EA772E"/>
    <w:rsid w:val="00EB0203"/>
    <w:rsid w:val="00EB14C0"/>
    <w:rsid w:val="00EB61EA"/>
    <w:rsid w:val="00EC0160"/>
    <w:rsid w:val="00EC4057"/>
    <w:rsid w:val="00EC4BCF"/>
    <w:rsid w:val="00ED00E4"/>
    <w:rsid w:val="00ED5647"/>
    <w:rsid w:val="00EE0835"/>
    <w:rsid w:val="00EE2620"/>
    <w:rsid w:val="00EF2498"/>
    <w:rsid w:val="00F01994"/>
    <w:rsid w:val="00F01E1F"/>
    <w:rsid w:val="00F0788F"/>
    <w:rsid w:val="00F12CC0"/>
    <w:rsid w:val="00F13874"/>
    <w:rsid w:val="00F21920"/>
    <w:rsid w:val="00F23C26"/>
    <w:rsid w:val="00F24F81"/>
    <w:rsid w:val="00F26ADE"/>
    <w:rsid w:val="00F34F93"/>
    <w:rsid w:val="00F35FF2"/>
    <w:rsid w:val="00F40E03"/>
    <w:rsid w:val="00F42D03"/>
    <w:rsid w:val="00F46387"/>
    <w:rsid w:val="00F53741"/>
    <w:rsid w:val="00F6270A"/>
    <w:rsid w:val="00F70057"/>
    <w:rsid w:val="00F76094"/>
    <w:rsid w:val="00F83FDD"/>
    <w:rsid w:val="00F916BD"/>
    <w:rsid w:val="00F936B0"/>
    <w:rsid w:val="00F96C30"/>
    <w:rsid w:val="00F96F08"/>
    <w:rsid w:val="00F971E2"/>
    <w:rsid w:val="00FA4A56"/>
    <w:rsid w:val="00FA54A9"/>
    <w:rsid w:val="00FB6530"/>
    <w:rsid w:val="00FC02E8"/>
    <w:rsid w:val="00FC3BEF"/>
    <w:rsid w:val="00FC4E4F"/>
    <w:rsid w:val="00FC51AF"/>
    <w:rsid w:val="00FD347D"/>
    <w:rsid w:val="00FD5F0E"/>
    <w:rsid w:val="00FE4E10"/>
    <w:rsid w:val="00FF0351"/>
    <w:rsid w:val="00FF0996"/>
    <w:rsid w:val="00FF0AC8"/>
    <w:rsid w:val="00FF38ED"/>
    <w:rsid w:val="00FF4A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F3D42"/>
  <w15:chartTrackingRefBased/>
  <w15:docId w15:val="{A3A11D48-71BA-4333-9978-47A39356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BBD"/>
    <w:pPr>
      <w:spacing w:before="240" w:after="240" w:line="240" w:lineRule="auto"/>
    </w:pPr>
    <w:rPr>
      <w:rFonts w:ascii="Arial" w:eastAsia="Calibri" w:hAnsi="Arial" w:cs="Arial"/>
      <w:w w:val="105"/>
      <w:kern w:val="40"/>
      <w:sz w:val="24"/>
      <w:szCs w:val="24"/>
      <w:lang w:val="en-US"/>
    </w:rPr>
  </w:style>
  <w:style w:type="paragraph" w:styleId="Heading1">
    <w:name w:val="heading 1"/>
    <w:basedOn w:val="Normal"/>
    <w:next w:val="Normal"/>
    <w:link w:val="Heading1Char"/>
    <w:uiPriority w:val="9"/>
    <w:qFormat/>
    <w:rsid w:val="00084E8D"/>
    <w:pPr>
      <w:jc w:val="center"/>
      <w:outlineLvl w:val="0"/>
    </w:pPr>
    <w:rPr>
      <w:b/>
      <w:bCs/>
    </w:rPr>
  </w:style>
  <w:style w:type="paragraph" w:styleId="Heading2">
    <w:name w:val="heading 2"/>
    <w:basedOn w:val="Normal"/>
    <w:next w:val="Normal"/>
    <w:link w:val="Heading2Char"/>
    <w:uiPriority w:val="9"/>
    <w:unhideWhenUsed/>
    <w:qFormat/>
    <w:rsid w:val="00361CCB"/>
    <w:pPr>
      <w:keepNext/>
      <w:keepLines/>
      <w:spacing w:before="40" w:after="0"/>
      <w:outlineLvl w:val="1"/>
    </w:pPr>
    <w:rPr>
      <w:rFonts w:eastAsiaTheme="majorEastAsia"/>
      <w:b/>
      <w:bCs/>
    </w:rPr>
  </w:style>
  <w:style w:type="paragraph" w:styleId="Heading3">
    <w:name w:val="heading 3"/>
    <w:basedOn w:val="Normal"/>
    <w:link w:val="Heading3Char"/>
    <w:uiPriority w:val="9"/>
    <w:qFormat/>
    <w:rsid w:val="00224A67"/>
    <w:p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CB4"/>
    <w:pPr>
      <w:spacing w:before="100" w:beforeAutospacing="1" w:after="100" w:afterAutospacing="1"/>
    </w:pPr>
    <w:rPr>
      <w:rFonts w:ascii="Times New Roman" w:eastAsia="Times New Roman" w:hAnsi="Times New Roman" w:cs="Times New Roman"/>
      <w:w w:val="100"/>
      <w:kern w:val="0"/>
      <w:lang w:eastAsia="en-AU"/>
    </w:rPr>
  </w:style>
  <w:style w:type="table" w:styleId="TableGrid">
    <w:name w:val="Table Grid"/>
    <w:basedOn w:val="TableNormal"/>
    <w:uiPriority w:val="39"/>
    <w:rsid w:val="00787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24A67"/>
    <w:rPr>
      <w:rFonts w:ascii="Arial" w:eastAsia="Calibri" w:hAnsi="Arial" w:cs="Arial"/>
      <w:b/>
      <w:bCs/>
      <w:w w:val="105"/>
      <w:kern w:val="40"/>
      <w:sz w:val="24"/>
      <w:szCs w:val="24"/>
    </w:rPr>
  </w:style>
  <w:style w:type="character" w:customStyle="1" w:styleId="Heading1Char">
    <w:name w:val="Heading 1 Char"/>
    <w:basedOn w:val="DefaultParagraphFont"/>
    <w:link w:val="Heading1"/>
    <w:uiPriority w:val="9"/>
    <w:rsid w:val="00084E8D"/>
    <w:rPr>
      <w:rFonts w:ascii="Arial" w:eastAsia="Calibri" w:hAnsi="Arial" w:cs="Arial"/>
      <w:b/>
      <w:bCs/>
      <w:w w:val="105"/>
      <w:kern w:val="40"/>
      <w:sz w:val="24"/>
      <w:szCs w:val="24"/>
    </w:rPr>
  </w:style>
  <w:style w:type="character" w:customStyle="1" w:styleId="Heading2Char">
    <w:name w:val="Heading 2 Char"/>
    <w:basedOn w:val="DefaultParagraphFont"/>
    <w:link w:val="Heading2"/>
    <w:uiPriority w:val="9"/>
    <w:rsid w:val="00361CCB"/>
    <w:rPr>
      <w:rFonts w:ascii="Arial" w:eastAsiaTheme="majorEastAsia" w:hAnsi="Arial" w:cs="Arial"/>
      <w:b/>
      <w:bCs/>
      <w:w w:val="105"/>
      <w:kern w:val="40"/>
      <w:sz w:val="24"/>
      <w:szCs w:val="24"/>
    </w:rPr>
  </w:style>
  <w:style w:type="paragraph" w:customStyle="1" w:styleId="Default">
    <w:name w:val="Default"/>
    <w:rsid w:val="005A5481"/>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rsid w:val="005A5481"/>
    <w:pPr>
      <w:spacing w:after="0"/>
    </w:pPr>
    <w:rPr>
      <w:rFonts w:ascii="Times New Roman" w:eastAsia="Times New Roman" w:hAnsi="Times New Roman" w:cs="Times New Roman"/>
      <w:w w:val="100"/>
      <w:kern w:val="0"/>
      <w:sz w:val="20"/>
      <w:szCs w:val="20"/>
      <w:shd w:val="clear" w:color="auto" w:fill="FFFFFF"/>
      <w:lang w:eastAsia="en-AU"/>
    </w:rPr>
  </w:style>
  <w:style w:type="character" w:customStyle="1" w:styleId="FootnoteTextChar">
    <w:name w:val="Footnote Text Char"/>
    <w:basedOn w:val="DefaultParagraphFont"/>
    <w:link w:val="FootnoteText"/>
    <w:uiPriority w:val="99"/>
    <w:semiHidden/>
    <w:rsid w:val="005A5481"/>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rsid w:val="005A5481"/>
    <w:rPr>
      <w:vertAlign w:val="superscript"/>
    </w:rPr>
  </w:style>
  <w:style w:type="paragraph" w:styleId="Quote">
    <w:name w:val="Quote"/>
    <w:basedOn w:val="Normal"/>
    <w:next w:val="Normal"/>
    <w:link w:val="QuoteChar"/>
    <w:uiPriority w:val="29"/>
    <w:qFormat/>
    <w:rsid w:val="00622FED"/>
    <w:pPr>
      <w:spacing w:after="160" w:line="259" w:lineRule="auto"/>
      <w:ind w:left="720" w:right="804"/>
    </w:pPr>
    <w:rPr>
      <w:rFonts w:eastAsiaTheme="minorHAnsi"/>
      <w:w w:val="100"/>
      <w:kern w:val="0"/>
      <w:shd w:val="clear" w:color="auto" w:fill="FFFFFF"/>
    </w:rPr>
  </w:style>
  <w:style w:type="character" w:customStyle="1" w:styleId="QuoteChar">
    <w:name w:val="Quote Char"/>
    <w:basedOn w:val="DefaultParagraphFont"/>
    <w:link w:val="Quote"/>
    <w:uiPriority w:val="29"/>
    <w:rsid w:val="00622FED"/>
    <w:rPr>
      <w:rFonts w:ascii="Arial" w:hAnsi="Arial" w:cs="Arial"/>
      <w:sz w:val="24"/>
      <w:szCs w:val="24"/>
    </w:rPr>
  </w:style>
  <w:style w:type="paragraph" w:styleId="BodyText">
    <w:name w:val="Body Text"/>
    <w:basedOn w:val="Normal"/>
    <w:link w:val="BodyTextChar"/>
    <w:uiPriority w:val="99"/>
    <w:unhideWhenUsed/>
    <w:qFormat/>
    <w:rsid w:val="00364841"/>
    <w:pPr>
      <w:spacing w:before="120" w:line="276" w:lineRule="auto"/>
    </w:pPr>
    <w:rPr>
      <w:rFonts w:eastAsia="Times New Roman"/>
      <w:b/>
      <w:w w:val="100"/>
      <w:kern w:val="0"/>
      <w:lang w:eastAsia="ja-JP"/>
    </w:rPr>
  </w:style>
  <w:style w:type="character" w:customStyle="1" w:styleId="BodyTextChar">
    <w:name w:val="Body Text Char"/>
    <w:basedOn w:val="DefaultParagraphFont"/>
    <w:link w:val="BodyText"/>
    <w:uiPriority w:val="99"/>
    <w:rsid w:val="00364841"/>
    <w:rPr>
      <w:rFonts w:ascii="Arial" w:eastAsia="Times New Roman" w:hAnsi="Arial" w:cs="Arial"/>
      <w:b/>
      <w:sz w:val="24"/>
      <w:szCs w:val="24"/>
      <w:lang w:eastAsia="ja-JP"/>
    </w:rPr>
  </w:style>
  <w:style w:type="character" w:styleId="CommentReference">
    <w:name w:val="annotation reference"/>
    <w:basedOn w:val="DefaultParagraphFont"/>
    <w:uiPriority w:val="99"/>
    <w:semiHidden/>
    <w:unhideWhenUsed/>
    <w:rsid w:val="008A385E"/>
    <w:rPr>
      <w:sz w:val="16"/>
      <w:szCs w:val="16"/>
    </w:rPr>
  </w:style>
  <w:style w:type="paragraph" w:styleId="CommentText">
    <w:name w:val="annotation text"/>
    <w:basedOn w:val="Normal"/>
    <w:link w:val="CommentTextChar"/>
    <w:uiPriority w:val="99"/>
    <w:unhideWhenUsed/>
    <w:rsid w:val="008A385E"/>
    <w:pPr>
      <w:spacing w:after="160"/>
    </w:pPr>
    <w:rPr>
      <w:rFonts w:asciiTheme="minorHAnsi" w:eastAsiaTheme="minorHAnsi" w:hAnsiTheme="minorHAnsi" w:cstheme="minorBidi"/>
      <w:w w:val="100"/>
      <w:kern w:val="0"/>
      <w:sz w:val="20"/>
      <w:szCs w:val="20"/>
    </w:rPr>
  </w:style>
  <w:style w:type="character" w:customStyle="1" w:styleId="CommentTextChar">
    <w:name w:val="Comment Text Char"/>
    <w:basedOn w:val="DefaultParagraphFont"/>
    <w:link w:val="CommentText"/>
    <w:uiPriority w:val="99"/>
    <w:rsid w:val="008A385E"/>
    <w:rPr>
      <w:sz w:val="20"/>
      <w:szCs w:val="20"/>
    </w:rPr>
  </w:style>
  <w:style w:type="paragraph" w:styleId="BalloonText">
    <w:name w:val="Balloon Text"/>
    <w:basedOn w:val="Normal"/>
    <w:link w:val="BalloonTextChar"/>
    <w:uiPriority w:val="99"/>
    <w:semiHidden/>
    <w:unhideWhenUsed/>
    <w:rsid w:val="008A38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85E"/>
    <w:rPr>
      <w:rFonts w:ascii="Segoe UI" w:eastAsia="Calibri" w:hAnsi="Segoe UI" w:cs="Segoe UI"/>
      <w:w w:val="105"/>
      <w:kern w:val="40"/>
      <w:sz w:val="18"/>
      <w:szCs w:val="18"/>
    </w:rPr>
  </w:style>
  <w:style w:type="character" w:styleId="Hyperlink">
    <w:name w:val="Hyperlink"/>
    <w:basedOn w:val="DefaultParagraphFont"/>
    <w:uiPriority w:val="99"/>
    <w:unhideWhenUsed/>
    <w:rsid w:val="000468B4"/>
    <w:rPr>
      <w:color w:val="0563C1" w:themeColor="hyperlink"/>
      <w:u w:val="single"/>
    </w:rPr>
  </w:style>
  <w:style w:type="character" w:customStyle="1" w:styleId="UnresolvedMention1">
    <w:name w:val="Unresolved Mention1"/>
    <w:basedOn w:val="DefaultParagraphFont"/>
    <w:uiPriority w:val="99"/>
    <w:semiHidden/>
    <w:unhideWhenUsed/>
    <w:rsid w:val="000468B4"/>
    <w:rPr>
      <w:color w:val="605E5C"/>
      <w:shd w:val="clear" w:color="auto" w:fill="E1DFDD"/>
    </w:rPr>
  </w:style>
  <w:style w:type="paragraph" w:customStyle="1" w:styleId="EndNoteBibliographyTitle">
    <w:name w:val="EndNote Bibliography Title"/>
    <w:basedOn w:val="Normal"/>
    <w:link w:val="EndNoteBibliographyTitleChar"/>
    <w:rsid w:val="00325F40"/>
    <w:pPr>
      <w:spacing w:after="0"/>
      <w:jc w:val="center"/>
    </w:pPr>
    <w:rPr>
      <w:noProof/>
    </w:rPr>
  </w:style>
  <w:style w:type="character" w:customStyle="1" w:styleId="EndNoteBibliographyTitleChar">
    <w:name w:val="EndNote Bibliography Title Char"/>
    <w:basedOn w:val="FootnoteTextChar"/>
    <w:link w:val="EndNoteBibliographyTitle"/>
    <w:rsid w:val="00325F40"/>
    <w:rPr>
      <w:rFonts w:ascii="Arial" w:eastAsia="Calibri" w:hAnsi="Arial" w:cs="Arial"/>
      <w:noProof/>
      <w:w w:val="105"/>
      <w:kern w:val="40"/>
      <w:sz w:val="24"/>
      <w:szCs w:val="24"/>
      <w:lang w:val="en-US" w:eastAsia="en-AU"/>
    </w:rPr>
  </w:style>
  <w:style w:type="paragraph" w:customStyle="1" w:styleId="EndNoteBibliography">
    <w:name w:val="EndNote Bibliography"/>
    <w:basedOn w:val="Normal"/>
    <w:link w:val="EndNoteBibliographyChar"/>
    <w:rsid w:val="00325F40"/>
    <w:rPr>
      <w:noProof/>
    </w:rPr>
  </w:style>
  <w:style w:type="character" w:customStyle="1" w:styleId="EndNoteBibliographyChar">
    <w:name w:val="EndNote Bibliography Char"/>
    <w:basedOn w:val="FootnoteTextChar"/>
    <w:link w:val="EndNoteBibliography"/>
    <w:rsid w:val="00325F40"/>
    <w:rPr>
      <w:rFonts w:ascii="Arial" w:eastAsia="Calibri" w:hAnsi="Arial" w:cs="Arial"/>
      <w:noProof/>
      <w:w w:val="105"/>
      <w:kern w:val="40"/>
      <w:sz w:val="24"/>
      <w:szCs w:val="24"/>
      <w:lang w:val="en-US" w:eastAsia="en-AU"/>
    </w:rPr>
  </w:style>
  <w:style w:type="paragraph" w:styleId="CommentSubject">
    <w:name w:val="annotation subject"/>
    <w:basedOn w:val="CommentText"/>
    <w:next w:val="CommentText"/>
    <w:link w:val="CommentSubjectChar"/>
    <w:uiPriority w:val="99"/>
    <w:semiHidden/>
    <w:unhideWhenUsed/>
    <w:rsid w:val="00CC5983"/>
    <w:pPr>
      <w:spacing w:after="200"/>
    </w:pPr>
    <w:rPr>
      <w:rFonts w:ascii="Arial" w:eastAsia="Calibri" w:hAnsi="Arial" w:cs="Arial"/>
      <w:b/>
      <w:bCs/>
      <w:w w:val="105"/>
      <w:kern w:val="40"/>
    </w:rPr>
  </w:style>
  <w:style w:type="character" w:customStyle="1" w:styleId="CommentSubjectChar">
    <w:name w:val="Comment Subject Char"/>
    <w:basedOn w:val="CommentTextChar"/>
    <w:link w:val="CommentSubject"/>
    <w:uiPriority w:val="99"/>
    <w:semiHidden/>
    <w:rsid w:val="00CC5983"/>
    <w:rPr>
      <w:rFonts w:ascii="Arial" w:eastAsia="Calibri" w:hAnsi="Arial" w:cs="Arial"/>
      <w:b/>
      <w:bCs/>
      <w:w w:val="105"/>
      <w:kern w:val="40"/>
      <w:sz w:val="20"/>
      <w:szCs w:val="20"/>
    </w:rPr>
  </w:style>
  <w:style w:type="paragraph" w:styleId="Header">
    <w:name w:val="header"/>
    <w:basedOn w:val="Normal"/>
    <w:link w:val="HeaderChar"/>
    <w:uiPriority w:val="99"/>
    <w:unhideWhenUsed/>
    <w:rsid w:val="00D172E7"/>
    <w:pPr>
      <w:tabs>
        <w:tab w:val="center" w:pos="4513"/>
        <w:tab w:val="right" w:pos="9026"/>
      </w:tabs>
      <w:spacing w:after="0"/>
    </w:pPr>
  </w:style>
  <w:style w:type="character" w:customStyle="1" w:styleId="HeaderChar">
    <w:name w:val="Header Char"/>
    <w:basedOn w:val="DefaultParagraphFont"/>
    <w:link w:val="Header"/>
    <w:uiPriority w:val="99"/>
    <w:rsid w:val="00D172E7"/>
    <w:rPr>
      <w:rFonts w:ascii="Arial" w:eastAsia="Calibri" w:hAnsi="Arial" w:cs="Arial"/>
      <w:w w:val="105"/>
      <w:kern w:val="40"/>
      <w:sz w:val="24"/>
      <w:szCs w:val="24"/>
    </w:rPr>
  </w:style>
  <w:style w:type="paragraph" w:styleId="Footer">
    <w:name w:val="footer"/>
    <w:basedOn w:val="Normal"/>
    <w:link w:val="FooterChar"/>
    <w:uiPriority w:val="99"/>
    <w:unhideWhenUsed/>
    <w:rsid w:val="00D172E7"/>
    <w:pPr>
      <w:tabs>
        <w:tab w:val="center" w:pos="4513"/>
        <w:tab w:val="right" w:pos="9026"/>
      </w:tabs>
      <w:spacing w:after="0"/>
    </w:pPr>
  </w:style>
  <w:style w:type="character" w:customStyle="1" w:styleId="FooterChar">
    <w:name w:val="Footer Char"/>
    <w:basedOn w:val="DefaultParagraphFont"/>
    <w:link w:val="Footer"/>
    <w:uiPriority w:val="99"/>
    <w:rsid w:val="00D172E7"/>
    <w:rPr>
      <w:rFonts w:ascii="Arial" w:eastAsia="Calibri" w:hAnsi="Arial" w:cs="Arial"/>
      <w:w w:val="105"/>
      <w:kern w:val="40"/>
      <w:sz w:val="24"/>
      <w:szCs w:val="24"/>
    </w:rPr>
  </w:style>
  <w:style w:type="character" w:customStyle="1" w:styleId="NoSpacingChar">
    <w:name w:val="No Spacing Char"/>
    <w:basedOn w:val="DefaultParagraphFont"/>
    <w:link w:val="NoSpacing"/>
    <w:uiPriority w:val="1"/>
    <w:locked/>
    <w:rsid w:val="00544360"/>
    <w:rPr>
      <w:rFonts w:ascii="Arial" w:eastAsiaTheme="minorEastAsia" w:hAnsi="Arial" w:cs="Arial"/>
      <w:b/>
      <w:sz w:val="24"/>
      <w:szCs w:val="28"/>
      <w:lang w:val="en-US"/>
    </w:rPr>
  </w:style>
  <w:style w:type="paragraph" w:styleId="NoSpacing">
    <w:name w:val="No Spacing"/>
    <w:link w:val="NoSpacingChar"/>
    <w:autoRedefine/>
    <w:uiPriority w:val="1"/>
    <w:qFormat/>
    <w:rsid w:val="00544360"/>
    <w:pPr>
      <w:spacing w:after="120" w:line="360" w:lineRule="auto"/>
    </w:pPr>
    <w:rPr>
      <w:rFonts w:ascii="Arial" w:eastAsiaTheme="minorEastAsia" w:hAnsi="Arial" w:cs="Arial"/>
      <w:b/>
      <w:sz w:val="24"/>
      <w:szCs w:val="28"/>
      <w:lang w:val="en-US"/>
    </w:rPr>
  </w:style>
  <w:style w:type="character" w:styleId="Strong">
    <w:name w:val="Strong"/>
    <w:basedOn w:val="DefaultParagraphFont"/>
    <w:uiPriority w:val="22"/>
    <w:qFormat/>
    <w:rsid w:val="00544360"/>
    <w:rPr>
      <w:b/>
      <w:bCs/>
    </w:rPr>
  </w:style>
  <w:style w:type="character" w:styleId="FollowedHyperlink">
    <w:name w:val="FollowedHyperlink"/>
    <w:basedOn w:val="DefaultParagraphFont"/>
    <w:uiPriority w:val="99"/>
    <w:semiHidden/>
    <w:unhideWhenUsed/>
    <w:rsid w:val="009D7217"/>
    <w:rPr>
      <w:color w:val="954F72" w:themeColor="followedHyperlink"/>
      <w:u w:val="single"/>
    </w:rPr>
  </w:style>
  <w:style w:type="character" w:customStyle="1" w:styleId="UnresolvedMention2">
    <w:name w:val="Unresolved Mention2"/>
    <w:basedOn w:val="DefaultParagraphFont"/>
    <w:uiPriority w:val="99"/>
    <w:semiHidden/>
    <w:unhideWhenUsed/>
    <w:rsid w:val="00D930C3"/>
    <w:rPr>
      <w:color w:val="605E5C"/>
      <w:shd w:val="clear" w:color="auto" w:fill="E1DFDD"/>
    </w:rPr>
  </w:style>
  <w:style w:type="paragraph" w:styleId="Title">
    <w:name w:val="Title"/>
    <w:basedOn w:val="Normal"/>
    <w:next w:val="Normal"/>
    <w:link w:val="TitleChar"/>
    <w:uiPriority w:val="10"/>
    <w:qFormat/>
    <w:rsid w:val="006275E3"/>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75E3"/>
    <w:rPr>
      <w:rFonts w:asciiTheme="majorHAnsi" w:eastAsiaTheme="majorEastAsia" w:hAnsiTheme="majorHAnsi" w:cstheme="majorBidi"/>
      <w:spacing w:val="-10"/>
      <w:w w:val="105"/>
      <w:kern w:val="28"/>
      <w:sz w:val="56"/>
      <w:szCs w:val="56"/>
    </w:rPr>
  </w:style>
  <w:style w:type="paragraph" w:styleId="ListParagraph">
    <w:name w:val="List Paragraph"/>
    <w:aliases w:val="Recommendation,List Paragraph1,List Paragraph11,List Paragraph*,Dot Point,#List Paragraph,L"/>
    <w:basedOn w:val="Normal"/>
    <w:link w:val="ListParagraphChar"/>
    <w:uiPriority w:val="34"/>
    <w:qFormat/>
    <w:rsid w:val="00F96F08"/>
    <w:pPr>
      <w:ind w:left="720"/>
      <w:contextualSpacing/>
    </w:pPr>
  </w:style>
  <w:style w:type="paragraph" w:customStyle="1" w:styleId="R1">
    <w:name w:val="R1"/>
    <w:aliases w:val="1. or 1.(1)"/>
    <w:basedOn w:val="Normal"/>
    <w:next w:val="Normal"/>
    <w:uiPriority w:val="99"/>
    <w:rsid w:val="00D84E8E"/>
    <w:pPr>
      <w:tabs>
        <w:tab w:val="right" w:pos="794"/>
      </w:tabs>
      <w:spacing w:before="120" w:line="260" w:lineRule="exact"/>
      <w:ind w:left="964" w:hanging="964"/>
      <w:jc w:val="both"/>
    </w:pPr>
    <w:rPr>
      <w:rFonts w:ascii="Times New Roman" w:eastAsia="Times New Roman" w:hAnsi="Times New Roman" w:cs="Times New Roman"/>
      <w:w w:val="100"/>
      <w:kern w:val="0"/>
    </w:rPr>
  </w:style>
  <w:style w:type="paragraph" w:customStyle="1" w:styleId="P1">
    <w:name w:val="P1"/>
    <w:aliases w:val="(a)"/>
    <w:basedOn w:val="Normal"/>
    <w:rsid w:val="00D84E8E"/>
    <w:pPr>
      <w:tabs>
        <w:tab w:val="right" w:pos="1191"/>
      </w:tabs>
      <w:spacing w:before="60" w:line="260" w:lineRule="exact"/>
      <w:ind w:left="1418" w:hanging="1418"/>
      <w:jc w:val="both"/>
    </w:pPr>
    <w:rPr>
      <w:rFonts w:ascii="Times New Roman" w:eastAsia="Times New Roman" w:hAnsi="Times New Roman" w:cs="Times New Roman"/>
      <w:w w:val="100"/>
      <w:kern w:val="0"/>
    </w:rPr>
  </w:style>
  <w:style w:type="paragraph" w:customStyle="1" w:styleId="HR">
    <w:name w:val="HR"/>
    <w:aliases w:val="Regulation Heading"/>
    <w:basedOn w:val="Normal"/>
    <w:next w:val="R1"/>
    <w:rsid w:val="00D84E8E"/>
    <w:pPr>
      <w:keepNext/>
      <w:spacing w:before="360"/>
      <w:ind w:left="964" w:hanging="964"/>
    </w:pPr>
    <w:rPr>
      <w:rFonts w:eastAsia="Times New Roman"/>
      <w:b/>
      <w:bCs/>
      <w:w w:val="100"/>
      <w:kern w:val="0"/>
    </w:rPr>
  </w:style>
  <w:style w:type="character" w:customStyle="1" w:styleId="CharSectno">
    <w:name w:val="CharSectno"/>
    <w:basedOn w:val="DefaultParagraphFont"/>
    <w:uiPriority w:val="99"/>
    <w:rsid w:val="00D84E8E"/>
    <w:rPr>
      <w:rFonts w:cs="Times New Roman"/>
    </w:rPr>
  </w:style>
  <w:style w:type="character" w:customStyle="1" w:styleId="UnresolvedMention3">
    <w:name w:val="Unresolved Mention3"/>
    <w:basedOn w:val="DefaultParagraphFont"/>
    <w:uiPriority w:val="99"/>
    <w:semiHidden/>
    <w:unhideWhenUsed/>
    <w:rsid w:val="00716802"/>
    <w:rPr>
      <w:color w:val="605E5C"/>
      <w:shd w:val="clear" w:color="auto" w:fill="E1DFDD"/>
    </w:rPr>
  </w:style>
  <w:style w:type="character" w:customStyle="1" w:styleId="ListParagraphChar">
    <w:name w:val="List Paragraph Char"/>
    <w:aliases w:val="Recommendation Char,List Paragraph1 Char,List Paragraph11 Char,List Paragraph* Char,Dot Point Char,#List Paragraph Char,L Char"/>
    <w:basedOn w:val="DefaultParagraphFont"/>
    <w:link w:val="ListParagraph"/>
    <w:uiPriority w:val="34"/>
    <w:rsid w:val="00DB64F3"/>
    <w:rPr>
      <w:rFonts w:ascii="Arial" w:eastAsia="Calibri" w:hAnsi="Arial" w:cs="Arial"/>
      <w:w w:val="105"/>
      <w:kern w:val="40"/>
      <w:sz w:val="24"/>
      <w:szCs w:val="24"/>
      <w:lang w:val="en-US"/>
    </w:rPr>
  </w:style>
  <w:style w:type="character" w:customStyle="1" w:styleId="UnresolvedMention4">
    <w:name w:val="Unresolved Mention4"/>
    <w:basedOn w:val="DefaultParagraphFont"/>
    <w:uiPriority w:val="99"/>
    <w:semiHidden/>
    <w:unhideWhenUsed/>
    <w:rsid w:val="003C34C7"/>
    <w:rPr>
      <w:color w:val="605E5C"/>
      <w:shd w:val="clear" w:color="auto" w:fill="E1DFDD"/>
    </w:rPr>
  </w:style>
  <w:style w:type="paragraph" w:styleId="Revision">
    <w:name w:val="Revision"/>
    <w:hidden/>
    <w:uiPriority w:val="99"/>
    <w:semiHidden/>
    <w:rsid w:val="00804BE4"/>
    <w:pPr>
      <w:spacing w:after="0" w:line="240" w:lineRule="auto"/>
    </w:pPr>
    <w:rPr>
      <w:rFonts w:ascii="Arial" w:eastAsia="Calibri" w:hAnsi="Arial" w:cs="Arial"/>
      <w:w w:val="105"/>
      <w:kern w:val="40"/>
      <w:sz w:val="24"/>
      <w:szCs w:val="24"/>
      <w:lang w:val="en-US"/>
    </w:rPr>
  </w:style>
  <w:style w:type="character" w:styleId="UnresolvedMention">
    <w:name w:val="Unresolved Mention"/>
    <w:basedOn w:val="DefaultParagraphFont"/>
    <w:uiPriority w:val="99"/>
    <w:semiHidden/>
    <w:unhideWhenUsed/>
    <w:rsid w:val="002A2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78144">
      <w:bodyDiv w:val="1"/>
      <w:marLeft w:val="0"/>
      <w:marRight w:val="0"/>
      <w:marTop w:val="0"/>
      <w:marBottom w:val="0"/>
      <w:divBdr>
        <w:top w:val="none" w:sz="0" w:space="0" w:color="auto"/>
        <w:left w:val="none" w:sz="0" w:space="0" w:color="auto"/>
        <w:bottom w:val="none" w:sz="0" w:space="0" w:color="auto"/>
        <w:right w:val="none" w:sz="0" w:space="0" w:color="auto"/>
      </w:divBdr>
    </w:div>
    <w:div w:id="846672148">
      <w:bodyDiv w:val="1"/>
      <w:marLeft w:val="0"/>
      <w:marRight w:val="0"/>
      <w:marTop w:val="0"/>
      <w:marBottom w:val="0"/>
      <w:divBdr>
        <w:top w:val="none" w:sz="0" w:space="0" w:color="auto"/>
        <w:left w:val="none" w:sz="0" w:space="0" w:color="auto"/>
        <w:bottom w:val="none" w:sz="0" w:space="0" w:color="auto"/>
        <w:right w:val="none" w:sz="0" w:space="0" w:color="auto"/>
      </w:divBdr>
    </w:div>
    <w:div w:id="1208640845">
      <w:bodyDiv w:val="1"/>
      <w:marLeft w:val="0"/>
      <w:marRight w:val="0"/>
      <w:marTop w:val="0"/>
      <w:marBottom w:val="0"/>
      <w:divBdr>
        <w:top w:val="none" w:sz="0" w:space="0" w:color="auto"/>
        <w:left w:val="none" w:sz="0" w:space="0" w:color="auto"/>
        <w:bottom w:val="none" w:sz="0" w:space="0" w:color="auto"/>
        <w:right w:val="none" w:sz="0" w:space="0" w:color="auto"/>
      </w:divBdr>
    </w:div>
    <w:div w:id="1277180020">
      <w:bodyDiv w:val="1"/>
      <w:marLeft w:val="0"/>
      <w:marRight w:val="0"/>
      <w:marTop w:val="0"/>
      <w:marBottom w:val="0"/>
      <w:divBdr>
        <w:top w:val="none" w:sz="0" w:space="0" w:color="auto"/>
        <w:left w:val="none" w:sz="0" w:space="0" w:color="auto"/>
        <w:bottom w:val="none" w:sz="0" w:space="0" w:color="auto"/>
        <w:right w:val="none" w:sz="0" w:space="0" w:color="auto"/>
      </w:divBdr>
      <w:divsChild>
        <w:div w:id="1918055149">
          <w:marLeft w:val="0"/>
          <w:marRight w:val="0"/>
          <w:marTop w:val="0"/>
          <w:marBottom w:val="0"/>
          <w:divBdr>
            <w:top w:val="none" w:sz="0" w:space="0" w:color="auto"/>
            <w:left w:val="none" w:sz="0" w:space="0" w:color="auto"/>
            <w:bottom w:val="none" w:sz="0" w:space="0" w:color="auto"/>
            <w:right w:val="none" w:sz="0" w:space="0" w:color="auto"/>
          </w:divBdr>
          <w:divsChild>
            <w:div w:id="15118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7440">
      <w:bodyDiv w:val="1"/>
      <w:marLeft w:val="0"/>
      <w:marRight w:val="0"/>
      <w:marTop w:val="0"/>
      <w:marBottom w:val="0"/>
      <w:divBdr>
        <w:top w:val="none" w:sz="0" w:space="0" w:color="auto"/>
        <w:left w:val="none" w:sz="0" w:space="0" w:color="auto"/>
        <w:bottom w:val="none" w:sz="0" w:space="0" w:color="auto"/>
        <w:right w:val="none" w:sz="0" w:space="0" w:color="auto"/>
      </w:divBdr>
    </w:div>
    <w:div w:id="1914660376">
      <w:bodyDiv w:val="1"/>
      <w:marLeft w:val="0"/>
      <w:marRight w:val="0"/>
      <w:marTop w:val="0"/>
      <w:marBottom w:val="0"/>
      <w:divBdr>
        <w:top w:val="none" w:sz="0" w:space="0" w:color="auto"/>
        <w:left w:val="none" w:sz="0" w:space="0" w:color="auto"/>
        <w:bottom w:val="none" w:sz="0" w:space="0" w:color="auto"/>
        <w:right w:val="none" w:sz="0" w:space="0" w:color="auto"/>
      </w:divBdr>
    </w:div>
    <w:div w:id="197239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ckettowork.org.au/research/article/network/" TargetMode="External"/><Relationship Id="rId18" Type="http://schemas.openxmlformats.org/officeDocument/2006/relationships/hyperlink" Target="https://www.cadr.org.au/research-to-action-guides/research-to-action-sheets/school-to-employment-transitions" TargetMode="External"/><Relationship Id="rId26" Type="http://schemas.openxmlformats.org/officeDocument/2006/relationships/hyperlink" Target="https://tickettowork.org.au/research/article/the-employer-experience-hiring-young-people-with-i/" TargetMode="External"/><Relationship Id="rId21" Type="http://schemas.openxmlformats.org/officeDocument/2006/relationships/hyperlink" Target="file:///C:\Users\kira.edwards\AppData\Local\Microsoft\Windows\INetCache\Content.Outlook\I7I3IZMI\www.tickettowork.org.au\research_evaluation\ticket-work-post-school-outcome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ickettowork.org.au/research/article/ticket-to-work-post-school-outcomes/" TargetMode="External"/><Relationship Id="rId17" Type="http://schemas.openxmlformats.org/officeDocument/2006/relationships/hyperlink" Target="http://hdl.handle.net/1959.9/563693" TargetMode="External"/><Relationship Id="rId25" Type="http://schemas.openxmlformats.org/officeDocument/2006/relationships/hyperlink" Target="https://holmesglen.edu.au/Holmesglen/media/PDFs/Certificates_I_and_II_in_post-school_VET-1.pdf" TargetMode="External"/><Relationship Id="rId33" Type="http://schemas.openxmlformats.org/officeDocument/2006/relationships/hyperlink" Target="https://tickettowork.org.au/research/article/parent-engagement-in-school-to-work-transition-for/" TargetMode="External"/><Relationship Id="rId2" Type="http://schemas.openxmlformats.org/officeDocument/2006/relationships/customXml" Target="../customXml/item2.xml"/><Relationship Id="rId16" Type="http://schemas.openxmlformats.org/officeDocument/2006/relationships/hyperlink" Target="https://tickettowork.org.au/resource/9/" TargetMode="External"/><Relationship Id="rId20" Type="http://schemas.openxmlformats.org/officeDocument/2006/relationships/hyperlink" Target="https://tickettowork.org.au/research/article/transitions-to-employment-of-australian-young-peop/" TargetMode="External"/><Relationship Id="rId29" Type="http://schemas.openxmlformats.org/officeDocument/2006/relationships/hyperlink" Target="https://tickettowork.org.au/resource/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andemployers.org/wp-content/uploads/2014/06/sen-transitions-wave-3-dfes.pdf" TargetMode="External"/><Relationship Id="rId32" Type="http://schemas.openxmlformats.org/officeDocument/2006/relationships/hyperlink" Target="file:///C:\Users\kira.edwards\AppData\Local\Microsoft\Windows\INetCache\Content.Outlook\I7I3IZMI\www.cadr.org.a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ickettowork.org.au/research/article/the-employer-experience-hiring-young-people-with-i/" TargetMode="External"/><Relationship Id="rId23" Type="http://schemas.openxmlformats.org/officeDocument/2006/relationships/hyperlink" Target="https://www.dss.gov.au/freedom-of-information-operational-information-disability-employment-and-carers-group/des-eligible-school-leaver-guidelines" TargetMode="External"/><Relationship Id="rId28" Type="http://schemas.openxmlformats.org/officeDocument/2006/relationships/hyperlink" Target="https://files.eric.ed.gov/fulltext/ED565435.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ickettowork.org.au/research/article/transitions-to-employment-of-australian-young-peop/" TargetMode="External"/><Relationship Id="rId31" Type="http://schemas.openxmlformats.org/officeDocument/2006/relationships/hyperlink" Target="https://www.pwc.com.au/industry/government/assets/disability-in-australia.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ckettowork.org.au/research/article/ticket-to-work-pilot-outcome-study/" TargetMode="External"/><Relationship Id="rId22" Type="http://schemas.openxmlformats.org/officeDocument/2006/relationships/hyperlink" Target="https://files.eric.ed.gov/fulltext/ED565436.pdf" TargetMode="External"/><Relationship Id="rId27" Type="http://schemas.openxmlformats.org/officeDocument/2006/relationships/hyperlink" Target="https://digitalcommons.ilr.cornell.edu/cgi/viewcontent.cgi?article=1330&amp;context=gladnetcollect" TargetMode="External"/><Relationship Id="rId30" Type="http://schemas.openxmlformats.org/officeDocument/2006/relationships/hyperlink" Target="https://www.ncver.edu.au/research-and-statistics/publications/all-publications/the-role-of-vocational-education-and-training-in-the-labour-market-outcomes-of-people-with-disabilitie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nds.org.au/" TargetMode="External"/><Relationship Id="rId1" Type="http://schemas.openxmlformats.org/officeDocument/2006/relationships/image" Target="media/image2.jpeg"/><Relationship Id="rId4" Type="http://schemas.openxmlformats.org/officeDocument/2006/relationships/image" Target="cid:image827000.jpg@7D37B521.15AC5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FEF37E8E66974E999093AE839D6FD5" ma:contentTypeVersion="4" ma:contentTypeDescription="Create a new document." ma:contentTypeScope="" ma:versionID="84cb4b82d9560500db36f18973aa4bf7">
  <xsd:schema xmlns:xsd="http://www.w3.org/2001/XMLSchema" xmlns:xs="http://www.w3.org/2001/XMLSchema" xmlns:p="http://schemas.microsoft.com/office/2006/metadata/properties" xmlns:ns3="cfad4e5a-2d8b-4366-a888-f8c6cdf53bfc" targetNamespace="http://schemas.microsoft.com/office/2006/metadata/properties" ma:root="true" ma:fieldsID="05cfa71ace6d7aeb1f377ab8f1653dbf" ns3:_="">
    <xsd:import namespace="cfad4e5a-2d8b-4366-a888-f8c6cdf53b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ad4e5a-2d8b-4366-a888-f8c6cdf53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F5D5B-837F-4CA9-8F82-7317418E0BD7}">
  <ds:schemaRefs>
    <ds:schemaRef ds:uri="http://schemas.microsoft.com/sharepoint/v3/contenttype/forms"/>
  </ds:schemaRefs>
</ds:datastoreItem>
</file>

<file path=customXml/itemProps2.xml><?xml version="1.0" encoding="utf-8"?>
<ds:datastoreItem xmlns:ds="http://schemas.openxmlformats.org/officeDocument/2006/customXml" ds:itemID="{F7BC2EAB-43E4-4928-9476-CB72C2BA8B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856AF5-4342-4402-AB10-BD9115DF3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ad4e5a-2d8b-4366-a888-f8c6cdf53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7C890-30A2-4212-AC8C-1A703A2D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11</Pages>
  <Words>7743</Words>
  <Characters>44137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Crisp</dc:creator>
  <cp:keywords/>
  <dc:description/>
  <cp:lastModifiedBy>Samantha Trent</cp:lastModifiedBy>
  <cp:revision>15</cp:revision>
  <cp:lastPrinted>2020-07-14T04:31:00Z</cp:lastPrinted>
  <dcterms:created xsi:type="dcterms:W3CDTF">2022-11-21T23:57:00Z</dcterms:created>
  <dcterms:modified xsi:type="dcterms:W3CDTF">2022-11-22T03:47:00Z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0x010100FAFEF37E8E66974E999093AE839D6FD5</vt:lpwstr>
  </property>
</Properties>
</file>