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2CBE" w14:textId="77777777" w:rsidR="005240DC" w:rsidRDefault="005240DC" w:rsidP="00EB1FEF">
      <w:pPr>
        <w:spacing w:after="120"/>
        <w:rPr>
          <w:rFonts w:ascii="Arial" w:hAnsi="Arial" w:cs="Arial"/>
          <w:b/>
          <w:sz w:val="32"/>
          <w:szCs w:val="32"/>
        </w:rPr>
      </w:pPr>
      <w:r w:rsidRPr="005240DC">
        <w:rPr>
          <w:rFonts w:ascii="Arial" w:hAnsi="Arial" w:cs="Arial"/>
          <w:b/>
          <w:sz w:val="32"/>
          <w:szCs w:val="32"/>
        </w:rPr>
        <w:t>COVID</w:t>
      </w:r>
      <w:r w:rsidR="0005203B">
        <w:rPr>
          <w:rFonts w:ascii="Arial" w:hAnsi="Arial" w:cs="Arial"/>
          <w:b/>
          <w:sz w:val="32"/>
          <w:szCs w:val="32"/>
        </w:rPr>
        <w:t>-19</w:t>
      </w:r>
      <w:r w:rsidRPr="005240DC">
        <w:rPr>
          <w:rFonts w:ascii="Arial" w:hAnsi="Arial" w:cs="Arial"/>
          <w:b/>
          <w:sz w:val="32"/>
          <w:szCs w:val="32"/>
        </w:rPr>
        <w:t xml:space="preserve"> </w:t>
      </w:r>
      <w:r w:rsidR="001753B5">
        <w:rPr>
          <w:rFonts w:ascii="Arial" w:hAnsi="Arial" w:cs="Arial"/>
          <w:b/>
          <w:sz w:val="32"/>
          <w:szCs w:val="32"/>
        </w:rPr>
        <w:t xml:space="preserve">and </w:t>
      </w:r>
      <w:r w:rsidR="008C41FD">
        <w:rPr>
          <w:rFonts w:ascii="Arial" w:hAnsi="Arial" w:cs="Arial"/>
          <w:b/>
          <w:sz w:val="32"/>
          <w:szCs w:val="32"/>
        </w:rPr>
        <w:t>young people with disability</w:t>
      </w:r>
    </w:p>
    <w:p w14:paraId="2E874F77" w14:textId="77777777" w:rsidR="00767D04" w:rsidRDefault="00767D04" w:rsidP="00EB1FEF">
      <w:pPr>
        <w:spacing w:after="120"/>
        <w:rPr>
          <w:rFonts w:ascii="Arial" w:eastAsia="Times New Roman" w:hAnsi="Arial" w:cs="Arial"/>
          <w:sz w:val="24"/>
          <w:szCs w:val="24"/>
        </w:rPr>
      </w:pPr>
      <w:r w:rsidRPr="004F165A">
        <w:rPr>
          <w:rFonts w:ascii="Arial" w:eastAsia="Times New Roman" w:hAnsi="Arial" w:cs="Arial"/>
          <w:sz w:val="24"/>
          <w:szCs w:val="24"/>
        </w:rPr>
        <w:t>Michelle Wakeford</w:t>
      </w:r>
    </w:p>
    <w:p w14:paraId="180044ED" w14:textId="77777777" w:rsidR="004F165A" w:rsidRPr="004F165A" w:rsidRDefault="004F165A" w:rsidP="00EB1FEF">
      <w:pPr>
        <w:spacing w:after="120"/>
        <w:rPr>
          <w:rFonts w:ascii="Arial" w:eastAsia="Times New Roman" w:hAnsi="Arial" w:cs="Arial"/>
          <w:sz w:val="24"/>
          <w:szCs w:val="24"/>
        </w:rPr>
      </w:pPr>
      <w:r>
        <w:rPr>
          <w:rFonts w:ascii="Arial" w:eastAsia="Times New Roman" w:hAnsi="Arial" w:cs="Arial"/>
          <w:sz w:val="24"/>
          <w:szCs w:val="24"/>
        </w:rPr>
        <w:t>28 July 2020</w:t>
      </w:r>
    </w:p>
    <w:p w14:paraId="5D60F084" w14:textId="77777777" w:rsidR="00767D04" w:rsidRDefault="00767D04" w:rsidP="00EB1FEF">
      <w:pPr>
        <w:spacing w:after="120"/>
        <w:rPr>
          <w:rFonts w:ascii="Arial" w:eastAsia="Times New Roman" w:hAnsi="Arial" w:cs="Arial"/>
          <w:sz w:val="24"/>
          <w:szCs w:val="24"/>
        </w:rPr>
      </w:pPr>
    </w:p>
    <w:p w14:paraId="6AF7EF89" w14:textId="77777777" w:rsidR="004F1158" w:rsidRPr="0019172C" w:rsidRDefault="005240DC" w:rsidP="00EB1FEF">
      <w:pPr>
        <w:spacing w:after="120"/>
        <w:rPr>
          <w:rFonts w:ascii="Arial" w:eastAsia="Times New Roman" w:hAnsi="Arial" w:cs="Arial"/>
          <w:sz w:val="24"/>
          <w:szCs w:val="24"/>
        </w:rPr>
      </w:pPr>
      <w:r w:rsidRPr="0019172C">
        <w:rPr>
          <w:rFonts w:ascii="Arial" w:eastAsia="Times New Roman" w:hAnsi="Arial" w:cs="Arial"/>
          <w:sz w:val="24"/>
          <w:szCs w:val="24"/>
        </w:rPr>
        <w:t xml:space="preserve">COVID-19 will have a significant impact on young people with disability. </w:t>
      </w:r>
      <w:r w:rsidR="004F1158" w:rsidRPr="0019172C">
        <w:rPr>
          <w:rFonts w:ascii="Arial" w:eastAsia="Times New Roman" w:hAnsi="Arial" w:cs="Arial"/>
          <w:sz w:val="24"/>
          <w:szCs w:val="24"/>
        </w:rPr>
        <w:t xml:space="preserve">It will be disproportionate and it will be long-term. </w:t>
      </w:r>
    </w:p>
    <w:p w14:paraId="44AD5713" w14:textId="77777777" w:rsidR="0019172C" w:rsidRPr="0019172C" w:rsidRDefault="004F1158" w:rsidP="00EB1FEF">
      <w:pPr>
        <w:pStyle w:val="1szqc"/>
        <w:spacing w:before="0" w:beforeAutospacing="0" w:after="120" w:afterAutospacing="0" w:line="259" w:lineRule="auto"/>
        <w:rPr>
          <w:rFonts w:ascii="Arial" w:hAnsi="Arial" w:cs="Arial"/>
        </w:rPr>
      </w:pPr>
      <w:r w:rsidRPr="0019172C">
        <w:rPr>
          <w:rFonts w:ascii="Arial" w:hAnsi="Arial" w:cs="Arial"/>
        </w:rPr>
        <w:t>The crumbling labour market has hit y</w:t>
      </w:r>
      <w:r w:rsidR="005240DC" w:rsidRPr="0019172C">
        <w:rPr>
          <w:rFonts w:ascii="Arial" w:hAnsi="Arial" w:cs="Arial"/>
        </w:rPr>
        <w:t>oung people under 20</w:t>
      </w:r>
      <w:r w:rsidRPr="0019172C">
        <w:rPr>
          <w:rFonts w:ascii="Arial" w:hAnsi="Arial" w:cs="Arial"/>
        </w:rPr>
        <w:t xml:space="preserve"> </w:t>
      </w:r>
      <w:r w:rsidR="005240DC" w:rsidRPr="0019172C">
        <w:rPr>
          <w:rFonts w:ascii="Arial" w:hAnsi="Arial" w:cs="Arial"/>
        </w:rPr>
        <w:t xml:space="preserve">the </w:t>
      </w:r>
      <w:r w:rsidR="00A33CDD">
        <w:rPr>
          <w:rFonts w:ascii="Arial" w:hAnsi="Arial" w:cs="Arial"/>
        </w:rPr>
        <w:t xml:space="preserve">hardest </w:t>
      </w:r>
      <w:r w:rsidRPr="0019172C">
        <w:rPr>
          <w:rFonts w:ascii="Arial" w:hAnsi="Arial" w:cs="Arial"/>
        </w:rPr>
        <w:t>whe</w:t>
      </w:r>
      <w:r w:rsidR="00DB2E4C">
        <w:rPr>
          <w:rFonts w:ascii="Arial" w:hAnsi="Arial" w:cs="Arial"/>
        </w:rPr>
        <w:t>n</w:t>
      </w:r>
      <w:r w:rsidRPr="0019172C">
        <w:rPr>
          <w:rFonts w:ascii="Arial" w:hAnsi="Arial" w:cs="Arial"/>
        </w:rPr>
        <w:t xml:space="preserve"> it comes to the loss of jobs, reduction in hours or reduced income. </w:t>
      </w:r>
    </w:p>
    <w:p w14:paraId="48F25AEE" w14:textId="77777777" w:rsidR="005240DC" w:rsidRPr="0019172C" w:rsidRDefault="0019172C" w:rsidP="00EB1FEF">
      <w:pPr>
        <w:pStyle w:val="1szqc"/>
        <w:spacing w:before="0" w:beforeAutospacing="0" w:after="120" w:afterAutospacing="0" w:line="259" w:lineRule="auto"/>
        <w:rPr>
          <w:rFonts w:ascii="Arial" w:hAnsi="Arial" w:cs="Arial"/>
        </w:rPr>
      </w:pPr>
      <w:r w:rsidRPr="0019172C">
        <w:rPr>
          <w:rFonts w:ascii="Arial" w:hAnsi="Arial" w:cs="Arial"/>
          <w:color w:val="000000"/>
        </w:rPr>
        <w:t>During the last recession</w:t>
      </w:r>
      <w:r w:rsidR="00DB2E4C">
        <w:rPr>
          <w:rFonts w:ascii="Arial" w:hAnsi="Arial" w:cs="Arial"/>
          <w:color w:val="000000"/>
        </w:rPr>
        <w:t xml:space="preserve"> in 1992</w:t>
      </w:r>
      <w:r w:rsidRPr="0019172C">
        <w:rPr>
          <w:rFonts w:ascii="Arial" w:hAnsi="Arial" w:cs="Arial"/>
          <w:color w:val="000000"/>
        </w:rPr>
        <w:t>, the youth unemployment rate peaked above 20 per cent</w:t>
      </w:r>
      <w:r w:rsidR="00DB2E4C">
        <w:rPr>
          <w:rFonts w:ascii="Arial" w:hAnsi="Arial" w:cs="Arial"/>
          <w:color w:val="000000"/>
        </w:rPr>
        <w:t xml:space="preserve">, in </w:t>
      </w:r>
      <w:r w:rsidRPr="0019172C">
        <w:rPr>
          <w:rFonts w:ascii="Arial" w:hAnsi="Arial" w:cs="Arial"/>
          <w:color w:val="000000"/>
        </w:rPr>
        <w:t>com</w:t>
      </w:r>
      <w:r w:rsidR="00DB2E4C">
        <w:rPr>
          <w:rFonts w:ascii="Arial" w:hAnsi="Arial" w:cs="Arial"/>
          <w:color w:val="000000"/>
        </w:rPr>
        <w:t>parison</w:t>
      </w:r>
      <w:r w:rsidRPr="0019172C">
        <w:rPr>
          <w:rFonts w:ascii="Arial" w:hAnsi="Arial" w:cs="Arial"/>
          <w:color w:val="000000"/>
        </w:rPr>
        <w:t xml:space="preserve"> the peak </w:t>
      </w:r>
      <w:r w:rsidR="00DB2E4C">
        <w:rPr>
          <w:rFonts w:ascii="Arial" w:hAnsi="Arial" w:cs="Arial"/>
          <w:color w:val="000000"/>
        </w:rPr>
        <w:t xml:space="preserve">was </w:t>
      </w:r>
      <w:r w:rsidRPr="0019172C">
        <w:rPr>
          <w:rFonts w:ascii="Arial" w:hAnsi="Arial" w:cs="Arial"/>
          <w:color w:val="000000"/>
        </w:rPr>
        <w:t>11.2 per cent for the broader unemployment rate. After the G</w:t>
      </w:r>
      <w:r w:rsidR="00A33CDD">
        <w:rPr>
          <w:rFonts w:ascii="Arial" w:hAnsi="Arial" w:cs="Arial"/>
          <w:color w:val="000000"/>
        </w:rPr>
        <w:t xml:space="preserve">lobal </w:t>
      </w:r>
      <w:r w:rsidRPr="0019172C">
        <w:rPr>
          <w:rFonts w:ascii="Arial" w:hAnsi="Arial" w:cs="Arial"/>
          <w:color w:val="000000"/>
        </w:rPr>
        <w:t>F</w:t>
      </w:r>
      <w:r w:rsidR="00A33CDD">
        <w:rPr>
          <w:rFonts w:ascii="Arial" w:hAnsi="Arial" w:cs="Arial"/>
          <w:color w:val="000000"/>
        </w:rPr>
        <w:t xml:space="preserve">inancial </w:t>
      </w:r>
      <w:r w:rsidRPr="0019172C">
        <w:rPr>
          <w:rFonts w:ascii="Arial" w:hAnsi="Arial" w:cs="Arial"/>
          <w:color w:val="000000"/>
        </w:rPr>
        <w:t>C</w:t>
      </w:r>
      <w:r w:rsidR="00A33CDD">
        <w:rPr>
          <w:rFonts w:ascii="Arial" w:hAnsi="Arial" w:cs="Arial"/>
          <w:color w:val="000000"/>
        </w:rPr>
        <w:t>risis</w:t>
      </w:r>
      <w:r w:rsidRPr="0019172C">
        <w:rPr>
          <w:rFonts w:ascii="Arial" w:hAnsi="Arial" w:cs="Arial"/>
          <w:color w:val="000000"/>
        </w:rPr>
        <w:t xml:space="preserve">, </w:t>
      </w:r>
      <w:r w:rsidR="00CA1BDE">
        <w:rPr>
          <w:rFonts w:ascii="Arial" w:hAnsi="Arial" w:cs="Arial"/>
          <w:color w:val="000000"/>
        </w:rPr>
        <w:t xml:space="preserve">youth unemployment </w:t>
      </w:r>
      <w:r w:rsidRPr="0019172C">
        <w:rPr>
          <w:rFonts w:ascii="Arial" w:hAnsi="Arial" w:cs="Arial"/>
          <w:color w:val="000000"/>
        </w:rPr>
        <w:t>climbed again, hitting 14 per cent in 2014 and remaining elevated today.</w:t>
      </w:r>
      <w:r w:rsidRPr="0019172C">
        <w:rPr>
          <w:rStyle w:val="EndnoteReference"/>
          <w:rFonts w:ascii="Arial" w:hAnsi="Arial" w:cs="Arial"/>
          <w:color w:val="000000"/>
        </w:rPr>
        <w:endnoteReference w:id="1"/>
      </w:r>
      <w:r w:rsidRPr="0019172C">
        <w:rPr>
          <w:rFonts w:ascii="Arial" w:hAnsi="Arial" w:cs="Arial"/>
          <w:lang w:eastAsia="en-US"/>
        </w:rPr>
        <w:t xml:space="preserve">  </w:t>
      </w:r>
      <w:r w:rsidR="004F1158" w:rsidRPr="0019172C">
        <w:rPr>
          <w:rFonts w:ascii="Arial" w:hAnsi="Arial" w:cs="Arial"/>
        </w:rPr>
        <w:t xml:space="preserve">The </w:t>
      </w:r>
      <w:r w:rsidR="005240DC" w:rsidRPr="0019172C">
        <w:rPr>
          <w:rFonts w:ascii="Arial" w:hAnsi="Arial" w:cs="Arial"/>
        </w:rPr>
        <w:t>Grattan Institute estimate</w:t>
      </w:r>
      <w:r w:rsidR="004F1158" w:rsidRPr="0019172C">
        <w:rPr>
          <w:rFonts w:ascii="Arial" w:hAnsi="Arial" w:cs="Arial"/>
        </w:rPr>
        <w:t>s</w:t>
      </w:r>
      <w:r w:rsidR="005240DC" w:rsidRPr="0019172C">
        <w:rPr>
          <w:rFonts w:ascii="Arial" w:hAnsi="Arial" w:cs="Arial"/>
        </w:rPr>
        <w:t xml:space="preserve"> that about 40 per cent of employed teenagers will lose work due to the COVID-19 shutdown and </w:t>
      </w:r>
      <w:r w:rsidR="004F1158" w:rsidRPr="0019172C">
        <w:rPr>
          <w:rFonts w:ascii="Arial" w:hAnsi="Arial" w:cs="Arial"/>
        </w:rPr>
        <w:t>the knock-on effect</w:t>
      </w:r>
      <w:r w:rsidR="00E1242A" w:rsidRPr="0019172C">
        <w:rPr>
          <w:rFonts w:ascii="Arial" w:hAnsi="Arial" w:cs="Arial"/>
        </w:rPr>
        <w:t>s</w:t>
      </w:r>
      <w:r w:rsidR="004F1158" w:rsidRPr="0019172C">
        <w:rPr>
          <w:rFonts w:ascii="Arial" w:hAnsi="Arial" w:cs="Arial"/>
        </w:rPr>
        <w:t xml:space="preserve"> of special measures such as </w:t>
      </w:r>
      <w:r w:rsidR="005240DC" w:rsidRPr="0019172C">
        <w:rPr>
          <w:rFonts w:ascii="Arial" w:hAnsi="Arial" w:cs="Arial"/>
        </w:rPr>
        <w:t>spatial distancing.</w:t>
      </w:r>
      <w:r w:rsidR="005240DC" w:rsidRPr="0019172C">
        <w:rPr>
          <w:rFonts w:ascii="Arial" w:hAnsi="Arial" w:cs="Arial"/>
          <w:vertAlign w:val="superscript"/>
        </w:rPr>
        <w:endnoteReference w:id="2"/>
      </w:r>
    </w:p>
    <w:p w14:paraId="14972CF0" w14:textId="77777777" w:rsidR="00E1242A" w:rsidRPr="0019172C" w:rsidRDefault="00E1242A" w:rsidP="00EB1FEF">
      <w:pPr>
        <w:spacing w:after="120"/>
        <w:rPr>
          <w:rFonts w:ascii="Arial" w:eastAsia="Times New Roman" w:hAnsi="Arial" w:cs="Arial"/>
          <w:sz w:val="24"/>
          <w:szCs w:val="24"/>
        </w:rPr>
      </w:pPr>
      <w:r w:rsidRPr="0019172C">
        <w:rPr>
          <w:rFonts w:ascii="Arial" w:hAnsi="Arial" w:cs="Arial"/>
          <w:sz w:val="24"/>
          <w:szCs w:val="24"/>
        </w:rPr>
        <w:t>The longer-term impact can be mitigated with appropriate interventions right now.</w:t>
      </w:r>
      <w:r w:rsidR="005240DC" w:rsidRPr="0019172C">
        <w:rPr>
          <w:rFonts w:ascii="Arial" w:hAnsi="Arial" w:cs="Arial"/>
          <w:sz w:val="24"/>
          <w:szCs w:val="24"/>
        </w:rPr>
        <w:t xml:space="preserve"> </w:t>
      </w:r>
    </w:p>
    <w:p w14:paraId="06A3A9D0" w14:textId="77777777" w:rsidR="00E1242A" w:rsidRPr="0019172C" w:rsidRDefault="005240DC" w:rsidP="00EB1FEF">
      <w:pPr>
        <w:spacing w:after="120"/>
        <w:rPr>
          <w:rFonts w:ascii="Arial" w:eastAsia="Times New Roman" w:hAnsi="Arial" w:cs="Arial"/>
          <w:sz w:val="24"/>
          <w:szCs w:val="24"/>
        </w:rPr>
      </w:pPr>
      <w:r w:rsidRPr="0019172C">
        <w:rPr>
          <w:rFonts w:ascii="Arial" w:eastAsia="Times New Roman" w:hAnsi="Arial" w:cs="Arial"/>
          <w:sz w:val="24"/>
          <w:szCs w:val="24"/>
        </w:rPr>
        <w:t xml:space="preserve">It is crucial that we </w:t>
      </w:r>
      <w:r w:rsidR="00E1242A" w:rsidRPr="0019172C">
        <w:rPr>
          <w:rFonts w:ascii="Arial" w:eastAsia="Times New Roman" w:hAnsi="Arial" w:cs="Arial"/>
          <w:sz w:val="24"/>
          <w:szCs w:val="24"/>
        </w:rPr>
        <w:t>support young people with disability to ensure that they are prepared to access the post COVID-19 labour market, and that they stay connected with the labour market during their transition years. We need mea</w:t>
      </w:r>
      <w:r w:rsidR="00A54B24" w:rsidRPr="0019172C">
        <w:rPr>
          <w:rFonts w:ascii="Arial" w:eastAsia="Times New Roman" w:hAnsi="Arial" w:cs="Arial"/>
          <w:sz w:val="24"/>
          <w:szCs w:val="24"/>
        </w:rPr>
        <w:t>s</w:t>
      </w:r>
      <w:r w:rsidR="00E1242A" w:rsidRPr="0019172C">
        <w:rPr>
          <w:rFonts w:ascii="Arial" w:eastAsia="Times New Roman" w:hAnsi="Arial" w:cs="Arial"/>
          <w:sz w:val="24"/>
          <w:szCs w:val="24"/>
        </w:rPr>
        <w:t xml:space="preserve">ures to create opportunities for employment. </w:t>
      </w:r>
      <w:r w:rsidR="00E1242A" w:rsidRPr="0019172C">
        <w:rPr>
          <w:rFonts w:ascii="Arial" w:eastAsia="Times New Roman" w:hAnsi="Arial" w:cs="Arial"/>
          <w:sz w:val="24"/>
          <w:szCs w:val="24"/>
          <w:vertAlign w:val="superscript"/>
        </w:rPr>
        <w:endnoteReference w:id="3"/>
      </w:r>
    </w:p>
    <w:p w14:paraId="4FB653FF" w14:textId="77777777" w:rsidR="005240DC" w:rsidRPr="0019172C" w:rsidRDefault="00E1242A" w:rsidP="00EB1FEF">
      <w:pPr>
        <w:spacing w:after="120"/>
        <w:rPr>
          <w:rFonts w:ascii="Arial" w:eastAsia="Times New Roman" w:hAnsi="Arial" w:cs="Arial"/>
          <w:bCs/>
          <w:sz w:val="24"/>
          <w:szCs w:val="24"/>
        </w:rPr>
      </w:pPr>
      <w:r w:rsidRPr="0019172C">
        <w:rPr>
          <w:rFonts w:ascii="Arial" w:eastAsia="Times New Roman" w:hAnsi="Arial" w:cs="Arial"/>
          <w:sz w:val="24"/>
          <w:szCs w:val="24"/>
        </w:rPr>
        <w:t>E</w:t>
      </w:r>
      <w:r w:rsidR="005240DC" w:rsidRPr="0019172C">
        <w:rPr>
          <w:rFonts w:ascii="Arial" w:eastAsia="Times New Roman" w:hAnsi="Arial" w:cs="Arial"/>
          <w:sz w:val="24"/>
          <w:szCs w:val="24"/>
        </w:rPr>
        <w:t>nsur</w:t>
      </w:r>
      <w:r w:rsidRPr="0019172C">
        <w:rPr>
          <w:rFonts w:ascii="Arial" w:eastAsia="Times New Roman" w:hAnsi="Arial" w:cs="Arial"/>
          <w:sz w:val="24"/>
          <w:szCs w:val="24"/>
        </w:rPr>
        <w:t>ing</w:t>
      </w:r>
      <w:r w:rsidR="005240DC" w:rsidRPr="0019172C">
        <w:rPr>
          <w:rFonts w:ascii="Arial" w:eastAsia="Times New Roman" w:hAnsi="Arial" w:cs="Arial"/>
          <w:sz w:val="24"/>
          <w:szCs w:val="24"/>
        </w:rPr>
        <w:t xml:space="preserve"> that schools have the knowledge and ability to create ‘positive futures’ for students with disability </w:t>
      </w:r>
      <w:r w:rsidRPr="0019172C">
        <w:rPr>
          <w:rFonts w:ascii="Arial" w:eastAsia="Times New Roman" w:hAnsi="Arial" w:cs="Arial"/>
          <w:sz w:val="24"/>
          <w:szCs w:val="24"/>
        </w:rPr>
        <w:t>is a proven means for circumventing the longer-term risks</w:t>
      </w:r>
      <w:r w:rsidR="005240DC" w:rsidRPr="0019172C">
        <w:rPr>
          <w:rFonts w:ascii="Arial" w:eastAsia="Times New Roman" w:hAnsi="Arial" w:cs="Arial"/>
          <w:sz w:val="24"/>
          <w:szCs w:val="24"/>
        </w:rPr>
        <w:t xml:space="preserve">. </w:t>
      </w:r>
      <w:r w:rsidR="00E36B51">
        <w:rPr>
          <w:rFonts w:ascii="Arial" w:eastAsia="Times New Roman" w:hAnsi="Arial" w:cs="Arial"/>
          <w:sz w:val="24"/>
          <w:szCs w:val="24"/>
        </w:rPr>
        <w:t xml:space="preserve">If these preventative measures are not put in place, we risk creating </w:t>
      </w:r>
      <w:r w:rsidRPr="0019172C">
        <w:rPr>
          <w:rFonts w:ascii="Arial" w:hAnsi="Arial" w:cs="Arial"/>
          <w:sz w:val="24"/>
          <w:szCs w:val="24"/>
        </w:rPr>
        <w:t xml:space="preserve">a </w:t>
      </w:r>
      <w:r w:rsidR="00E36B51">
        <w:rPr>
          <w:rFonts w:ascii="Arial" w:hAnsi="Arial" w:cs="Arial"/>
          <w:sz w:val="24"/>
          <w:szCs w:val="24"/>
        </w:rPr>
        <w:t>‘</w:t>
      </w:r>
      <w:r w:rsidR="005240DC" w:rsidRPr="0019172C">
        <w:rPr>
          <w:rFonts w:ascii="Arial" w:hAnsi="Arial" w:cs="Arial"/>
          <w:sz w:val="24"/>
          <w:szCs w:val="24"/>
        </w:rPr>
        <w:t>lost generation</w:t>
      </w:r>
      <w:r w:rsidR="00E36B51">
        <w:rPr>
          <w:rFonts w:ascii="Arial" w:hAnsi="Arial" w:cs="Arial"/>
          <w:sz w:val="24"/>
          <w:szCs w:val="24"/>
        </w:rPr>
        <w:t>’ where</w:t>
      </w:r>
      <w:r w:rsidR="00AE4CD2">
        <w:rPr>
          <w:rFonts w:ascii="Arial" w:hAnsi="Arial" w:cs="Arial"/>
          <w:sz w:val="24"/>
          <w:szCs w:val="24"/>
        </w:rPr>
        <w:t xml:space="preserve"> </w:t>
      </w:r>
      <w:r w:rsidRPr="0019172C">
        <w:rPr>
          <w:rFonts w:ascii="Arial" w:hAnsi="Arial" w:cs="Arial"/>
          <w:sz w:val="24"/>
          <w:szCs w:val="24"/>
        </w:rPr>
        <w:t>u</w:t>
      </w:r>
      <w:r w:rsidR="005240DC" w:rsidRPr="0019172C">
        <w:rPr>
          <w:rFonts w:ascii="Arial" w:hAnsi="Arial" w:cs="Arial"/>
          <w:sz w:val="24"/>
          <w:szCs w:val="24"/>
        </w:rPr>
        <w:t>nemployment and low quality work</w:t>
      </w:r>
      <w:r w:rsidR="005240DC" w:rsidRPr="0019172C">
        <w:rPr>
          <w:rFonts w:ascii="Arial" w:hAnsi="Arial" w:cs="Arial"/>
          <w:color w:val="000000"/>
          <w:sz w:val="24"/>
          <w:szCs w:val="24"/>
          <w:shd w:val="clear" w:color="auto" w:fill="FFFFFF"/>
        </w:rPr>
        <w:t xml:space="preserve"> contribute to poverty and poor mental health</w:t>
      </w:r>
      <w:r w:rsidRPr="0019172C">
        <w:rPr>
          <w:rFonts w:ascii="Arial" w:hAnsi="Arial" w:cs="Arial"/>
          <w:color w:val="000000"/>
          <w:sz w:val="24"/>
          <w:szCs w:val="24"/>
          <w:shd w:val="clear" w:color="auto" w:fill="FFFFFF"/>
        </w:rPr>
        <w:t xml:space="preserve"> destroying </w:t>
      </w:r>
      <w:r w:rsidR="005240DC" w:rsidRPr="0019172C">
        <w:rPr>
          <w:rFonts w:ascii="Arial" w:hAnsi="Arial" w:cs="Arial"/>
          <w:color w:val="000000"/>
          <w:sz w:val="24"/>
          <w:szCs w:val="24"/>
          <w:shd w:val="clear" w:color="auto" w:fill="FFFFFF"/>
        </w:rPr>
        <w:t xml:space="preserve">access to employment and quality of life </w:t>
      </w:r>
      <w:r w:rsidRPr="0019172C">
        <w:rPr>
          <w:rFonts w:ascii="Arial" w:hAnsi="Arial" w:cs="Arial"/>
          <w:color w:val="000000"/>
          <w:sz w:val="24"/>
          <w:szCs w:val="24"/>
          <w:shd w:val="clear" w:color="auto" w:fill="FFFFFF"/>
        </w:rPr>
        <w:t>over the longer term</w:t>
      </w:r>
      <w:r w:rsidR="005240DC" w:rsidRPr="0019172C">
        <w:rPr>
          <w:rFonts w:ascii="Arial" w:hAnsi="Arial" w:cs="Arial"/>
          <w:color w:val="000000"/>
          <w:sz w:val="24"/>
          <w:szCs w:val="24"/>
          <w:shd w:val="clear" w:color="auto" w:fill="FFFFFF"/>
        </w:rPr>
        <w:t>.</w:t>
      </w:r>
      <w:r w:rsidR="005240DC" w:rsidRPr="0019172C">
        <w:rPr>
          <w:rFonts w:ascii="Arial" w:hAnsi="Arial" w:cs="Arial"/>
          <w:sz w:val="24"/>
          <w:szCs w:val="24"/>
          <w:vertAlign w:val="superscript"/>
        </w:rPr>
        <w:endnoteReference w:id="4"/>
      </w:r>
    </w:p>
    <w:p w14:paraId="20C149C3" w14:textId="77777777" w:rsidR="008C17E8" w:rsidRPr="0019172C" w:rsidRDefault="00030365" w:rsidP="00EB1FEF">
      <w:pPr>
        <w:spacing w:after="120"/>
        <w:rPr>
          <w:rFonts w:ascii="Arial" w:eastAsia="Times New Roman" w:hAnsi="Arial" w:cs="Arial"/>
          <w:bCs/>
          <w:sz w:val="24"/>
          <w:szCs w:val="24"/>
        </w:rPr>
      </w:pPr>
      <w:r w:rsidRPr="0019172C">
        <w:rPr>
          <w:rFonts w:ascii="Arial" w:hAnsi="Arial" w:cs="Arial"/>
          <w:color w:val="000000"/>
          <w:sz w:val="24"/>
          <w:szCs w:val="24"/>
          <w:shd w:val="clear" w:color="auto" w:fill="FFFFFF"/>
        </w:rPr>
        <w:t xml:space="preserve">In Australia </w:t>
      </w:r>
      <w:r w:rsidR="005240DC" w:rsidRPr="0019172C">
        <w:rPr>
          <w:rFonts w:ascii="Arial" w:hAnsi="Arial" w:cs="Arial"/>
          <w:color w:val="000000"/>
          <w:sz w:val="24"/>
          <w:szCs w:val="24"/>
          <w:shd w:val="clear" w:color="auto" w:fill="FFFFFF"/>
        </w:rPr>
        <w:t>53% of young people who experienced instability in employment and education between ages 16 and 25 were unemployed at 25. Young people with disability were more likely than others to be part of this group.</w:t>
      </w:r>
      <w:r w:rsidR="0019172C" w:rsidRPr="0019172C">
        <w:rPr>
          <w:rStyle w:val="EndnoteReference"/>
          <w:rFonts w:ascii="Arial" w:hAnsi="Arial" w:cs="Arial"/>
          <w:color w:val="000000"/>
          <w:sz w:val="24"/>
          <w:szCs w:val="24"/>
          <w:shd w:val="clear" w:color="auto" w:fill="FFFFFF"/>
        </w:rPr>
        <w:t xml:space="preserve"> </w:t>
      </w:r>
      <w:r w:rsidR="0019172C" w:rsidRPr="0019172C">
        <w:rPr>
          <w:rStyle w:val="EndnoteReference"/>
          <w:rFonts w:ascii="Arial" w:hAnsi="Arial" w:cs="Arial"/>
          <w:color w:val="000000"/>
          <w:sz w:val="24"/>
          <w:szCs w:val="24"/>
          <w:shd w:val="clear" w:color="auto" w:fill="FFFFFF"/>
        </w:rPr>
        <w:endnoteReference w:id="5"/>
      </w:r>
      <w:r w:rsidR="0019172C" w:rsidRPr="0019172C">
        <w:rPr>
          <w:rFonts w:ascii="Arial" w:hAnsi="Arial" w:cs="Arial"/>
          <w:color w:val="000000"/>
          <w:sz w:val="24"/>
          <w:szCs w:val="24"/>
          <w:shd w:val="clear" w:color="auto" w:fill="FFFFFF"/>
        </w:rPr>
        <w:t xml:space="preserve"> </w:t>
      </w:r>
      <w:r w:rsidRPr="0019172C">
        <w:rPr>
          <w:rFonts w:ascii="Arial" w:hAnsi="Arial" w:cs="Arial"/>
          <w:color w:val="000000"/>
          <w:sz w:val="24"/>
          <w:szCs w:val="24"/>
          <w:shd w:val="clear" w:color="auto" w:fill="FFFFFF"/>
        </w:rPr>
        <w:t xml:space="preserve">A </w:t>
      </w:r>
      <w:r w:rsidRPr="0019172C">
        <w:rPr>
          <w:rFonts w:ascii="Arial" w:hAnsi="Arial" w:cs="Arial"/>
          <w:sz w:val="24"/>
          <w:szCs w:val="24"/>
        </w:rPr>
        <w:t xml:space="preserve">national snapshot of adults with intellectual disabilities in the labour force in </w:t>
      </w:r>
      <w:r w:rsidRPr="0019172C">
        <w:rPr>
          <w:rFonts w:ascii="Arial" w:hAnsi="Arial" w:cs="Arial"/>
          <w:color w:val="000000"/>
          <w:sz w:val="24"/>
          <w:szCs w:val="24"/>
          <w:shd w:val="clear" w:color="auto" w:fill="FFFFFF"/>
        </w:rPr>
        <w:t xml:space="preserve">2013 found </w:t>
      </w:r>
      <w:r w:rsidR="0083148B">
        <w:rPr>
          <w:rFonts w:ascii="Arial" w:hAnsi="Arial" w:cs="Arial"/>
          <w:color w:val="000000"/>
          <w:sz w:val="24"/>
          <w:szCs w:val="24"/>
          <w:shd w:val="clear" w:color="auto" w:fill="FFFFFF"/>
        </w:rPr>
        <w:t xml:space="preserve">that if </w:t>
      </w:r>
      <w:r w:rsidR="008C17E8" w:rsidRPr="0019172C">
        <w:rPr>
          <w:rFonts w:ascii="Arial" w:eastAsia="Times New Roman" w:hAnsi="Arial" w:cs="Arial"/>
          <w:sz w:val="24"/>
          <w:szCs w:val="24"/>
        </w:rPr>
        <w:t xml:space="preserve">young people with </w:t>
      </w:r>
      <w:r w:rsidR="00CA1BDE">
        <w:rPr>
          <w:rFonts w:ascii="Arial" w:eastAsia="Times New Roman" w:hAnsi="Arial" w:cs="Arial"/>
          <w:sz w:val="24"/>
          <w:szCs w:val="24"/>
        </w:rPr>
        <w:t>intellectual</w:t>
      </w:r>
      <w:r w:rsidR="00CA1BDE" w:rsidRPr="0019172C">
        <w:rPr>
          <w:rFonts w:ascii="Arial" w:eastAsia="Times New Roman" w:hAnsi="Arial" w:cs="Arial"/>
          <w:sz w:val="24"/>
          <w:szCs w:val="24"/>
        </w:rPr>
        <w:t xml:space="preserve"> </w:t>
      </w:r>
      <w:r w:rsidR="008C17E8" w:rsidRPr="0019172C">
        <w:rPr>
          <w:rFonts w:ascii="Arial" w:eastAsia="Times New Roman" w:hAnsi="Arial" w:cs="Arial"/>
          <w:sz w:val="24"/>
          <w:szCs w:val="24"/>
        </w:rPr>
        <w:t xml:space="preserve">disability do not engage in mainstream employment by age 21, it is unlikely that they ever will. </w:t>
      </w:r>
      <w:r w:rsidR="008C17E8" w:rsidRPr="0019172C">
        <w:rPr>
          <w:rFonts w:ascii="Arial" w:eastAsia="Times New Roman" w:hAnsi="Arial" w:cs="Arial"/>
          <w:sz w:val="24"/>
          <w:szCs w:val="24"/>
          <w:vertAlign w:val="superscript"/>
        </w:rPr>
        <w:endnoteReference w:id="6"/>
      </w:r>
    </w:p>
    <w:p w14:paraId="32377570" w14:textId="77777777" w:rsidR="008C17E8" w:rsidRPr="0019172C" w:rsidRDefault="008C17E8" w:rsidP="00EB1FEF">
      <w:pPr>
        <w:spacing w:after="120"/>
        <w:rPr>
          <w:rFonts w:ascii="Arial" w:eastAsia="Times New Roman" w:hAnsi="Arial" w:cs="Arial"/>
          <w:sz w:val="24"/>
          <w:szCs w:val="24"/>
        </w:rPr>
      </w:pPr>
      <w:r w:rsidRPr="0019172C">
        <w:rPr>
          <w:rFonts w:ascii="Arial" w:eastAsia="Times New Roman" w:hAnsi="Arial" w:cs="Arial"/>
          <w:sz w:val="24"/>
          <w:szCs w:val="24"/>
        </w:rPr>
        <w:t>Across the intervening years of economic prosperity, t</w:t>
      </w:r>
      <w:r w:rsidR="00612B73" w:rsidRPr="0019172C">
        <w:rPr>
          <w:rFonts w:ascii="Arial" w:eastAsia="Times New Roman" w:hAnsi="Arial" w:cs="Arial"/>
          <w:sz w:val="24"/>
          <w:szCs w:val="24"/>
        </w:rPr>
        <w:t>he</w:t>
      </w:r>
      <w:r w:rsidR="005240DC" w:rsidRPr="0019172C">
        <w:rPr>
          <w:rFonts w:ascii="Arial" w:eastAsia="Times New Roman" w:hAnsi="Arial" w:cs="Arial"/>
          <w:sz w:val="24"/>
          <w:szCs w:val="24"/>
        </w:rPr>
        <w:t xml:space="preserve"> gap between young people with disability and those without</w:t>
      </w:r>
      <w:r w:rsidRPr="0019172C">
        <w:rPr>
          <w:rFonts w:ascii="Arial" w:eastAsia="Times New Roman" w:hAnsi="Arial" w:cs="Arial"/>
          <w:sz w:val="24"/>
          <w:szCs w:val="24"/>
        </w:rPr>
        <w:t xml:space="preserve"> </w:t>
      </w:r>
      <w:r w:rsidR="005240DC" w:rsidRPr="0019172C">
        <w:rPr>
          <w:rFonts w:ascii="Arial" w:eastAsia="Times New Roman" w:hAnsi="Arial" w:cs="Arial"/>
          <w:sz w:val="24"/>
          <w:szCs w:val="24"/>
        </w:rPr>
        <w:t>widened</w:t>
      </w:r>
      <w:r w:rsidRPr="0019172C">
        <w:rPr>
          <w:rFonts w:ascii="Arial" w:eastAsia="Times New Roman" w:hAnsi="Arial" w:cs="Arial"/>
          <w:sz w:val="24"/>
          <w:szCs w:val="24"/>
        </w:rPr>
        <w:t>.</w:t>
      </w:r>
      <w:r w:rsidR="005240DC" w:rsidRPr="0019172C">
        <w:rPr>
          <w:rFonts w:ascii="Arial" w:eastAsia="Times New Roman" w:hAnsi="Arial" w:cs="Arial"/>
          <w:sz w:val="24"/>
          <w:szCs w:val="24"/>
        </w:rPr>
        <w:t xml:space="preserve"> </w:t>
      </w:r>
      <w:r w:rsidRPr="0019172C">
        <w:rPr>
          <w:rFonts w:ascii="Arial" w:eastAsia="Times New Roman" w:hAnsi="Arial" w:cs="Arial"/>
          <w:sz w:val="24"/>
          <w:szCs w:val="24"/>
        </w:rPr>
        <w:t>T</w:t>
      </w:r>
      <w:r w:rsidR="005240DC" w:rsidRPr="0019172C">
        <w:rPr>
          <w:rFonts w:ascii="Arial" w:eastAsia="Times New Roman" w:hAnsi="Arial" w:cs="Arial"/>
          <w:sz w:val="24"/>
          <w:szCs w:val="24"/>
        </w:rPr>
        <w:t xml:space="preserve">he economic and social participation </w:t>
      </w:r>
      <w:r w:rsidR="0083148B">
        <w:rPr>
          <w:rFonts w:ascii="Arial" w:eastAsia="Times New Roman" w:hAnsi="Arial" w:cs="Arial"/>
          <w:sz w:val="24"/>
          <w:szCs w:val="24"/>
        </w:rPr>
        <w:t xml:space="preserve">of those with disability has </w:t>
      </w:r>
      <w:r w:rsidRPr="0019172C">
        <w:rPr>
          <w:rFonts w:ascii="Arial" w:eastAsia="Times New Roman" w:hAnsi="Arial" w:cs="Arial"/>
          <w:sz w:val="24"/>
          <w:szCs w:val="24"/>
        </w:rPr>
        <w:t>declined even further.</w:t>
      </w:r>
      <w:r w:rsidR="005240DC" w:rsidRPr="0019172C">
        <w:rPr>
          <w:rFonts w:ascii="Arial" w:eastAsia="Times New Roman" w:hAnsi="Arial" w:cs="Arial"/>
          <w:sz w:val="24"/>
          <w:szCs w:val="24"/>
        </w:rPr>
        <w:t xml:space="preserve"> </w:t>
      </w:r>
      <w:r w:rsidRPr="0019172C">
        <w:rPr>
          <w:rFonts w:ascii="Arial" w:eastAsia="Times New Roman" w:hAnsi="Arial" w:cs="Arial"/>
          <w:sz w:val="24"/>
          <w:szCs w:val="24"/>
        </w:rPr>
        <w:t>Indicative of this is</w:t>
      </w:r>
      <w:r w:rsidR="00CA1BDE">
        <w:rPr>
          <w:rFonts w:ascii="Arial" w:eastAsia="Times New Roman" w:hAnsi="Arial" w:cs="Arial"/>
          <w:sz w:val="24"/>
          <w:szCs w:val="24"/>
        </w:rPr>
        <w:t xml:space="preserve"> over 10 years there was</w:t>
      </w:r>
      <w:r w:rsidRPr="0019172C">
        <w:rPr>
          <w:rFonts w:ascii="Arial" w:eastAsia="Times New Roman" w:hAnsi="Arial" w:cs="Arial"/>
          <w:sz w:val="24"/>
          <w:szCs w:val="24"/>
        </w:rPr>
        <w:t xml:space="preserve">: </w:t>
      </w:r>
    </w:p>
    <w:p w14:paraId="14A11AFD" w14:textId="77777777" w:rsidR="005240DC" w:rsidRDefault="00CA1BDE" w:rsidP="00EB1FEF">
      <w:pPr>
        <w:pStyle w:val="ListParagraph"/>
        <w:widowControl w:val="0"/>
        <w:numPr>
          <w:ilvl w:val="0"/>
          <w:numId w:val="9"/>
        </w:numPr>
        <w:suppressAutoHyphens/>
        <w:autoSpaceDN w:val="0"/>
        <w:spacing w:after="120"/>
        <w:textAlignment w:val="baseline"/>
        <w:rPr>
          <w:rFonts w:ascii="Arial" w:eastAsia="Times New Roman" w:hAnsi="Arial" w:cs="Arial"/>
          <w:sz w:val="24"/>
          <w:szCs w:val="24"/>
        </w:rPr>
      </w:pPr>
      <w:r>
        <w:rPr>
          <w:rFonts w:ascii="Arial" w:eastAsia="Times New Roman" w:hAnsi="Arial" w:cs="Arial"/>
          <w:sz w:val="24"/>
          <w:szCs w:val="24"/>
        </w:rPr>
        <w:t>a</w:t>
      </w:r>
      <w:r w:rsidR="005240DC" w:rsidRPr="0019172C">
        <w:rPr>
          <w:rFonts w:ascii="Arial" w:eastAsia="Times New Roman" w:hAnsi="Arial" w:cs="Arial"/>
          <w:sz w:val="24"/>
          <w:szCs w:val="24"/>
        </w:rPr>
        <w:t xml:space="preserve"> 10% decrease in the number of young people with disability in employment.</w:t>
      </w:r>
    </w:p>
    <w:p w14:paraId="03951276" w14:textId="77777777" w:rsidR="008E438B" w:rsidRPr="008A44E2" w:rsidRDefault="00CA1BDE" w:rsidP="008A44E2">
      <w:pPr>
        <w:pStyle w:val="ListParagraph"/>
        <w:widowControl w:val="0"/>
        <w:numPr>
          <w:ilvl w:val="0"/>
          <w:numId w:val="9"/>
        </w:numPr>
        <w:suppressAutoHyphens/>
        <w:autoSpaceDN w:val="0"/>
        <w:spacing w:after="120"/>
        <w:textAlignment w:val="baseline"/>
        <w:rPr>
          <w:rFonts w:ascii="Arial" w:eastAsia="Times New Roman" w:hAnsi="Arial" w:cs="Arial"/>
          <w:sz w:val="24"/>
          <w:szCs w:val="24"/>
        </w:rPr>
      </w:pPr>
      <w:r w:rsidRPr="008A44E2">
        <w:rPr>
          <w:rFonts w:ascii="Arial" w:eastAsia="Times New Roman" w:hAnsi="Arial" w:cs="Arial"/>
          <w:sz w:val="24"/>
          <w:szCs w:val="24"/>
        </w:rPr>
        <w:t>a</w:t>
      </w:r>
      <w:r w:rsidR="005240DC" w:rsidRPr="008A44E2">
        <w:rPr>
          <w:rFonts w:ascii="Arial" w:eastAsia="Times New Roman" w:hAnsi="Arial" w:cs="Arial"/>
          <w:sz w:val="24"/>
          <w:szCs w:val="24"/>
        </w:rPr>
        <w:t>n</w:t>
      </w:r>
      <w:r w:rsidR="005240DC" w:rsidRPr="008A44E2">
        <w:rPr>
          <w:rFonts w:ascii="Arial" w:eastAsiaTheme="minorEastAsia" w:hAnsi="Arial" w:cs="Arial"/>
          <w:sz w:val="24"/>
          <w:szCs w:val="24"/>
          <w:lang w:val="en-GB" w:bidi="en-US"/>
        </w:rPr>
        <w:t xml:space="preserve"> 8% decrease in the number of young people with disability being fully engaged in education or work.</w:t>
      </w:r>
      <w:r w:rsidR="00EB1FEF" w:rsidRPr="008A44E2">
        <w:rPr>
          <w:rFonts w:ascii="Arial" w:eastAsia="Times New Roman" w:hAnsi="Arial" w:cs="Arial"/>
          <w:sz w:val="24"/>
          <w:szCs w:val="24"/>
          <w:vertAlign w:val="superscript"/>
        </w:rPr>
        <w:t xml:space="preserve"> </w:t>
      </w:r>
      <w:r w:rsidR="00EB1FEF" w:rsidRPr="0019172C">
        <w:rPr>
          <w:vertAlign w:val="superscript"/>
        </w:rPr>
        <w:endnoteReference w:id="7"/>
      </w:r>
    </w:p>
    <w:p w14:paraId="08F1F557" w14:textId="77777777" w:rsidR="008C17E8" w:rsidRPr="008E438B" w:rsidRDefault="008E438B" w:rsidP="008E438B">
      <w:pPr>
        <w:rPr>
          <w:rFonts w:ascii="Arial" w:eastAsia="Times New Roman" w:hAnsi="Arial" w:cs="Arial"/>
          <w:sz w:val="24"/>
          <w:szCs w:val="24"/>
          <w:vertAlign w:val="superscript"/>
        </w:rPr>
      </w:pPr>
      <w:r>
        <w:rPr>
          <w:rFonts w:ascii="Arial" w:eastAsia="Times New Roman" w:hAnsi="Arial" w:cs="Arial"/>
          <w:sz w:val="24"/>
          <w:szCs w:val="24"/>
          <w:vertAlign w:val="superscript"/>
        </w:rPr>
        <w:br w:type="page"/>
      </w:r>
    </w:p>
    <w:p w14:paraId="455DAE1F" w14:textId="77777777" w:rsidR="003A02DF" w:rsidRPr="0019172C" w:rsidRDefault="008C17E8" w:rsidP="00EB1FEF">
      <w:pPr>
        <w:widowControl w:val="0"/>
        <w:suppressAutoHyphens/>
        <w:autoSpaceDN w:val="0"/>
        <w:spacing w:after="120"/>
        <w:textAlignment w:val="baseline"/>
        <w:rPr>
          <w:rFonts w:ascii="Arial" w:eastAsia="Times New Roman" w:hAnsi="Arial" w:cs="Arial"/>
          <w:sz w:val="24"/>
          <w:szCs w:val="24"/>
        </w:rPr>
      </w:pPr>
      <w:r w:rsidRPr="0019172C">
        <w:rPr>
          <w:rFonts w:ascii="Arial" w:eastAsia="Times New Roman" w:hAnsi="Arial" w:cs="Arial"/>
          <w:sz w:val="24"/>
          <w:szCs w:val="24"/>
        </w:rPr>
        <w:lastRenderedPageBreak/>
        <w:t>I</w:t>
      </w:r>
      <w:r w:rsidR="005240DC" w:rsidRPr="0019172C">
        <w:rPr>
          <w:rFonts w:ascii="Arial" w:eastAsia="Times New Roman" w:hAnsi="Arial" w:cs="Arial"/>
          <w:sz w:val="24"/>
          <w:szCs w:val="24"/>
        </w:rPr>
        <w:t>t is imperative that these trends are reversed</w:t>
      </w:r>
      <w:r w:rsidR="00CA308D" w:rsidRPr="0019172C">
        <w:rPr>
          <w:rFonts w:ascii="Arial" w:eastAsia="Times New Roman" w:hAnsi="Arial" w:cs="Arial"/>
          <w:sz w:val="24"/>
          <w:szCs w:val="24"/>
        </w:rPr>
        <w:t xml:space="preserve"> </w:t>
      </w:r>
      <w:r w:rsidRPr="0019172C">
        <w:rPr>
          <w:rFonts w:ascii="Arial" w:eastAsia="Times New Roman" w:hAnsi="Arial" w:cs="Arial"/>
          <w:sz w:val="24"/>
          <w:szCs w:val="24"/>
        </w:rPr>
        <w:t>if we are</w:t>
      </w:r>
      <w:r w:rsidR="00CA308D" w:rsidRPr="0019172C">
        <w:rPr>
          <w:rFonts w:ascii="Arial" w:eastAsia="Times New Roman" w:hAnsi="Arial" w:cs="Arial"/>
          <w:sz w:val="24"/>
          <w:szCs w:val="24"/>
        </w:rPr>
        <w:t xml:space="preserve"> to ensure the </w:t>
      </w:r>
      <w:r w:rsidRPr="0019172C">
        <w:rPr>
          <w:rFonts w:ascii="Arial" w:eastAsia="Times New Roman" w:hAnsi="Arial" w:cs="Arial"/>
          <w:sz w:val="24"/>
          <w:szCs w:val="24"/>
        </w:rPr>
        <w:t xml:space="preserve">current </w:t>
      </w:r>
      <w:r w:rsidR="00CA308D" w:rsidRPr="0019172C">
        <w:rPr>
          <w:rFonts w:ascii="Arial" w:eastAsia="Times New Roman" w:hAnsi="Arial" w:cs="Arial"/>
          <w:sz w:val="24"/>
          <w:szCs w:val="24"/>
        </w:rPr>
        <w:t>e</w:t>
      </w:r>
      <w:r w:rsidR="003A02DF" w:rsidRPr="0019172C">
        <w:rPr>
          <w:rFonts w:ascii="Arial" w:eastAsia="Times New Roman" w:hAnsi="Arial" w:cs="Arial"/>
          <w:sz w:val="24"/>
          <w:szCs w:val="24"/>
        </w:rPr>
        <w:t xml:space="preserve">conomic downturn does not embed lifelong </w:t>
      </w:r>
      <w:r w:rsidR="000205C9" w:rsidRPr="0019172C">
        <w:rPr>
          <w:rFonts w:ascii="Arial" w:eastAsia="Times New Roman" w:hAnsi="Arial" w:cs="Arial"/>
          <w:sz w:val="24"/>
          <w:szCs w:val="24"/>
        </w:rPr>
        <w:t xml:space="preserve">disadvantage. </w:t>
      </w:r>
    </w:p>
    <w:p w14:paraId="35EDB8D9" w14:textId="77777777" w:rsidR="005240DC" w:rsidRPr="0019172C" w:rsidRDefault="005240DC" w:rsidP="00EB1FEF">
      <w:pPr>
        <w:spacing w:after="120"/>
        <w:rPr>
          <w:rFonts w:ascii="Arial" w:eastAsia="Times New Roman" w:hAnsi="Arial" w:cs="Arial"/>
          <w:sz w:val="24"/>
          <w:szCs w:val="24"/>
        </w:rPr>
      </w:pPr>
      <w:r w:rsidRPr="0019172C">
        <w:rPr>
          <w:rFonts w:ascii="Arial" w:eastAsia="Times New Roman" w:hAnsi="Arial" w:cs="Arial"/>
          <w:sz w:val="24"/>
          <w:szCs w:val="24"/>
        </w:rPr>
        <w:t>Early intervention is the key as it is “crucial that young people with a disability receive the support required to participate in the workforce as early as possible to drive effective long-term employment outcomes and maximise the benefits of improved standards of living and social inclusion that come with employment”.</w:t>
      </w:r>
      <w:r w:rsidRPr="0019172C">
        <w:rPr>
          <w:rFonts w:ascii="Arial" w:eastAsia="Times New Roman" w:hAnsi="Arial" w:cs="Arial"/>
          <w:sz w:val="24"/>
          <w:szCs w:val="24"/>
          <w:vertAlign w:val="superscript"/>
        </w:rPr>
        <w:endnoteReference w:id="8"/>
      </w:r>
      <w:r w:rsidRPr="0019172C">
        <w:rPr>
          <w:rFonts w:ascii="Arial" w:eastAsia="Times New Roman" w:hAnsi="Arial" w:cs="Arial"/>
          <w:sz w:val="24"/>
          <w:szCs w:val="24"/>
        </w:rPr>
        <w:t xml:space="preserve"> </w:t>
      </w:r>
    </w:p>
    <w:p w14:paraId="7BD931A6" w14:textId="77777777" w:rsidR="00CA308D" w:rsidRPr="0019172C" w:rsidRDefault="00A33CDD" w:rsidP="00EB1FEF">
      <w:pPr>
        <w:spacing w:after="120"/>
        <w:rPr>
          <w:rFonts w:ascii="Arial" w:eastAsia="Times New Roman" w:hAnsi="Arial" w:cs="Arial"/>
          <w:sz w:val="24"/>
          <w:szCs w:val="24"/>
        </w:rPr>
      </w:pPr>
      <w:r>
        <w:rPr>
          <w:rFonts w:ascii="Arial" w:hAnsi="Arial" w:cs="Arial"/>
          <w:sz w:val="24"/>
          <w:szCs w:val="24"/>
        </w:rPr>
        <w:t xml:space="preserve">Interventions to support senior </w:t>
      </w:r>
      <w:r w:rsidR="00030365" w:rsidRPr="0019172C">
        <w:rPr>
          <w:rFonts w:ascii="Arial" w:hAnsi="Arial" w:cs="Arial"/>
          <w:sz w:val="24"/>
          <w:szCs w:val="24"/>
        </w:rPr>
        <w:t>secondary students with disability are essential not only at school, but beyond the classroom. An analysis of longitudinal data collected on 12,000 students with disability found that the most important elements predicting employment outcomes for students with disability were employment experiences in high school, and parental expectations of post–high school employment.</w:t>
      </w:r>
      <w:r w:rsidR="00030365" w:rsidRPr="0019172C">
        <w:rPr>
          <w:rStyle w:val="EndnoteReference"/>
          <w:rFonts w:ascii="Arial" w:hAnsi="Arial" w:cs="Arial"/>
          <w:sz w:val="24"/>
          <w:szCs w:val="24"/>
        </w:rPr>
        <w:endnoteReference w:id="9"/>
      </w:r>
      <w:r w:rsidR="00CA308D" w:rsidRPr="0019172C">
        <w:rPr>
          <w:rFonts w:ascii="Arial" w:eastAsia="Times New Roman" w:hAnsi="Arial" w:cs="Arial"/>
          <w:sz w:val="24"/>
          <w:szCs w:val="24"/>
        </w:rPr>
        <w:t xml:space="preserve"> </w:t>
      </w:r>
    </w:p>
    <w:p w14:paraId="56529ED2" w14:textId="77777777" w:rsidR="005240DC" w:rsidRPr="0019172C" w:rsidRDefault="005240DC" w:rsidP="00EB1FEF">
      <w:pPr>
        <w:spacing w:after="120"/>
        <w:contextualSpacing/>
        <w:jc w:val="both"/>
        <w:rPr>
          <w:rFonts w:ascii="Arial" w:hAnsi="Arial" w:cs="Arial"/>
          <w:sz w:val="24"/>
          <w:szCs w:val="24"/>
        </w:rPr>
      </w:pPr>
      <w:r w:rsidRPr="0019172C">
        <w:rPr>
          <w:rFonts w:ascii="Arial" w:eastAsia="Times New Roman" w:hAnsi="Arial" w:cs="Arial"/>
          <w:sz w:val="24"/>
          <w:szCs w:val="24"/>
        </w:rPr>
        <w:t xml:space="preserve">Yet many </w:t>
      </w:r>
      <w:r w:rsidRPr="0019172C">
        <w:rPr>
          <w:rFonts w:ascii="Arial" w:eastAsia="Times New Roman" w:hAnsi="Arial" w:cs="Arial"/>
          <w:sz w:val="24"/>
          <w:szCs w:val="24"/>
          <w:shd w:val="clear" w:color="auto" w:fill="FFFFFF"/>
        </w:rPr>
        <w:t>students with disability are not afforded the same school to work opportunities as their fellow classmates</w:t>
      </w:r>
      <w:r w:rsidR="0019172C" w:rsidRPr="0019172C">
        <w:rPr>
          <w:rFonts w:ascii="Arial" w:hAnsi="Arial" w:cs="Arial"/>
          <w:sz w:val="24"/>
          <w:szCs w:val="24"/>
        </w:rPr>
        <w:t>; n</w:t>
      </w:r>
      <w:r w:rsidR="004928F9" w:rsidRPr="0019172C">
        <w:rPr>
          <w:rFonts w:ascii="Arial" w:hAnsi="Arial" w:cs="Arial"/>
          <w:sz w:val="24"/>
          <w:szCs w:val="24"/>
        </w:rPr>
        <w:t>ot getting access to work experience, after school work or</w:t>
      </w:r>
      <w:r w:rsidRPr="0019172C">
        <w:rPr>
          <w:rFonts w:ascii="Arial" w:hAnsi="Arial" w:cs="Arial"/>
          <w:sz w:val="24"/>
          <w:szCs w:val="24"/>
        </w:rPr>
        <w:t xml:space="preserve"> </w:t>
      </w:r>
      <w:r w:rsidR="004928F9" w:rsidRPr="0019172C">
        <w:rPr>
          <w:rFonts w:ascii="Arial" w:hAnsi="Arial" w:cs="Arial"/>
          <w:sz w:val="24"/>
          <w:szCs w:val="24"/>
        </w:rPr>
        <w:t>assistance with job-seeking or job-placement</w:t>
      </w:r>
    </w:p>
    <w:p w14:paraId="3AA3BF52" w14:textId="77777777" w:rsidR="008C17E8" w:rsidRPr="0019172C" w:rsidRDefault="008C17E8" w:rsidP="00EB1FEF">
      <w:pPr>
        <w:spacing w:after="120"/>
        <w:contextualSpacing/>
        <w:rPr>
          <w:rFonts w:ascii="Arial" w:hAnsi="Arial" w:cs="Arial"/>
          <w:b/>
          <w:sz w:val="24"/>
          <w:szCs w:val="24"/>
        </w:rPr>
      </w:pPr>
    </w:p>
    <w:p w14:paraId="36EF8F3F" w14:textId="77777777" w:rsidR="00A03660" w:rsidRPr="00767D04" w:rsidRDefault="00153722" w:rsidP="00EB1FEF">
      <w:pPr>
        <w:spacing w:after="120"/>
        <w:contextualSpacing/>
        <w:rPr>
          <w:rFonts w:ascii="Arial" w:hAnsi="Arial" w:cs="Arial"/>
          <w:b/>
          <w:sz w:val="24"/>
          <w:szCs w:val="24"/>
        </w:rPr>
      </w:pPr>
      <w:r w:rsidRPr="0019172C">
        <w:rPr>
          <w:rFonts w:ascii="Arial" w:hAnsi="Arial" w:cs="Arial"/>
          <w:b/>
          <w:sz w:val="24"/>
          <w:szCs w:val="24"/>
        </w:rPr>
        <w:t>Time to do things differently</w:t>
      </w:r>
    </w:p>
    <w:p w14:paraId="1F57314A" w14:textId="77777777" w:rsidR="00767D04" w:rsidRPr="0019172C" w:rsidRDefault="00A03660" w:rsidP="00EB1FEF">
      <w:pPr>
        <w:spacing w:after="120"/>
        <w:rPr>
          <w:rFonts w:ascii="Arial" w:hAnsi="Arial" w:cs="Arial"/>
          <w:sz w:val="24"/>
          <w:szCs w:val="24"/>
        </w:rPr>
      </w:pPr>
      <w:r w:rsidRPr="0019172C">
        <w:rPr>
          <w:rFonts w:ascii="Arial" w:hAnsi="Arial" w:cs="Arial"/>
          <w:sz w:val="24"/>
          <w:szCs w:val="24"/>
        </w:rPr>
        <w:t xml:space="preserve">There is a long history </w:t>
      </w:r>
      <w:r w:rsidR="004203D7" w:rsidRPr="0019172C">
        <w:rPr>
          <w:rFonts w:ascii="Arial" w:hAnsi="Arial" w:cs="Arial"/>
          <w:sz w:val="24"/>
          <w:szCs w:val="24"/>
        </w:rPr>
        <w:t>demonstrat</w:t>
      </w:r>
      <w:r w:rsidR="00842A69" w:rsidRPr="0019172C">
        <w:rPr>
          <w:rFonts w:ascii="Arial" w:hAnsi="Arial" w:cs="Arial"/>
          <w:sz w:val="24"/>
          <w:szCs w:val="24"/>
        </w:rPr>
        <w:t>ing that</w:t>
      </w:r>
      <w:r w:rsidRPr="0019172C">
        <w:rPr>
          <w:rFonts w:ascii="Arial" w:hAnsi="Arial" w:cs="Arial"/>
          <w:sz w:val="24"/>
          <w:szCs w:val="24"/>
        </w:rPr>
        <w:t xml:space="preserve"> when communities are healthy and connected they</w:t>
      </w:r>
      <w:r w:rsidR="00C265FD" w:rsidRPr="0019172C">
        <w:rPr>
          <w:rFonts w:ascii="Arial" w:hAnsi="Arial" w:cs="Arial"/>
          <w:sz w:val="24"/>
          <w:szCs w:val="24"/>
        </w:rPr>
        <w:t xml:space="preserve"> respond</w:t>
      </w:r>
      <w:r w:rsidR="00842A69" w:rsidRPr="0019172C">
        <w:rPr>
          <w:rFonts w:ascii="Arial" w:hAnsi="Arial" w:cs="Arial"/>
          <w:sz w:val="24"/>
          <w:szCs w:val="24"/>
        </w:rPr>
        <w:t xml:space="preserve"> better</w:t>
      </w:r>
      <w:r w:rsidR="00C265FD" w:rsidRPr="0019172C">
        <w:rPr>
          <w:rFonts w:ascii="Arial" w:hAnsi="Arial" w:cs="Arial"/>
          <w:sz w:val="24"/>
          <w:szCs w:val="24"/>
        </w:rPr>
        <w:t xml:space="preserve"> to hardship and </w:t>
      </w:r>
      <w:r w:rsidRPr="0019172C">
        <w:rPr>
          <w:rFonts w:ascii="Arial" w:hAnsi="Arial" w:cs="Arial"/>
          <w:sz w:val="24"/>
          <w:szCs w:val="24"/>
        </w:rPr>
        <w:t xml:space="preserve">they </w:t>
      </w:r>
      <w:r w:rsidR="003A02DF" w:rsidRPr="0019172C">
        <w:rPr>
          <w:rFonts w:ascii="Arial" w:hAnsi="Arial" w:cs="Arial"/>
          <w:sz w:val="24"/>
          <w:szCs w:val="24"/>
        </w:rPr>
        <w:t xml:space="preserve">recover quicker. </w:t>
      </w:r>
      <w:r w:rsidR="00842A69" w:rsidRPr="0019172C">
        <w:rPr>
          <w:rFonts w:ascii="Arial" w:hAnsi="Arial" w:cs="Arial"/>
          <w:sz w:val="24"/>
          <w:szCs w:val="24"/>
        </w:rPr>
        <w:t>This is also emerging in the literature on the bushfire emergency and even in community responses to COVID-19.</w:t>
      </w:r>
    </w:p>
    <w:p w14:paraId="6F0AAFB5" w14:textId="77777777" w:rsidR="004928F9" w:rsidRPr="00767D04" w:rsidRDefault="0019172C" w:rsidP="00EB1FEF">
      <w:pPr>
        <w:shd w:val="clear" w:color="auto" w:fill="FFFFFF"/>
        <w:spacing w:after="120"/>
        <w:textAlignment w:val="top"/>
        <w:rPr>
          <w:rFonts w:ascii="Arial" w:hAnsi="Arial" w:cs="Arial"/>
          <w:sz w:val="24"/>
          <w:szCs w:val="24"/>
        </w:rPr>
      </w:pPr>
      <w:r w:rsidRPr="0019172C">
        <w:rPr>
          <w:rFonts w:ascii="Arial" w:hAnsi="Arial" w:cs="Arial"/>
          <w:sz w:val="24"/>
          <w:szCs w:val="24"/>
        </w:rPr>
        <w:t>The Communities for Economic Development of Australia (CEDA) paper</w:t>
      </w:r>
      <w:r w:rsidRPr="0019172C">
        <w:rPr>
          <w:rFonts w:ascii="Arial" w:hAnsi="Arial" w:cs="Arial"/>
          <w:color w:val="58595B"/>
          <w:sz w:val="24"/>
          <w:szCs w:val="24"/>
          <w:shd w:val="clear" w:color="auto" w:fill="FFFFFF"/>
        </w:rPr>
        <w:t xml:space="preserve"> </w:t>
      </w:r>
      <w:hyperlink r:id="rId8" w:anchor="_edn7" w:history="1">
        <w:r w:rsidRPr="0019172C">
          <w:rPr>
            <w:rStyle w:val="Hyperlink"/>
            <w:rFonts w:ascii="Arial" w:hAnsi="Arial" w:cs="Arial"/>
            <w:sz w:val="24"/>
            <w:szCs w:val="24"/>
            <w:shd w:val="clear" w:color="auto" w:fill="FFFFFF"/>
          </w:rPr>
          <w:t>‘Building a fairer Australia after COVID 19’</w:t>
        </w:r>
      </w:hyperlink>
      <w:r w:rsidRPr="0019172C">
        <w:rPr>
          <w:rFonts w:ascii="Arial" w:hAnsi="Arial" w:cs="Arial"/>
          <w:color w:val="58595B"/>
          <w:sz w:val="24"/>
          <w:szCs w:val="24"/>
          <w:shd w:val="clear" w:color="auto" w:fill="FFFFFF"/>
        </w:rPr>
        <w:t xml:space="preserve"> </w:t>
      </w:r>
      <w:r w:rsidRPr="0019172C">
        <w:rPr>
          <w:rFonts w:ascii="Arial" w:hAnsi="Arial" w:cs="Arial"/>
          <w:sz w:val="24"/>
          <w:szCs w:val="24"/>
        </w:rPr>
        <w:t>points out that while the scale of our current health, economic and social crisis feels unprecedented, place-based approaches have a long legacy of success in Australia’. </w:t>
      </w:r>
      <w:r w:rsidRPr="0019172C">
        <w:rPr>
          <w:rStyle w:val="EndnoteReference"/>
          <w:rFonts w:ascii="Arial" w:hAnsi="Arial" w:cs="Arial"/>
          <w:sz w:val="24"/>
          <w:szCs w:val="24"/>
        </w:rPr>
        <w:endnoteReference w:id="10"/>
      </w:r>
      <w:r w:rsidR="00767D04">
        <w:rPr>
          <w:rFonts w:ascii="Arial" w:hAnsi="Arial" w:cs="Arial"/>
          <w:sz w:val="24"/>
          <w:szCs w:val="24"/>
        </w:rPr>
        <w:t xml:space="preserve"> </w:t>
      </w:r>
      <w:r w:rsidR="00842A69" w:rsidRPr="0019172C">
        <w:rPr>
          <w:rFonts w:ascii="Arial" w:hAnsi="Arial" w:cs="Arial"/>
          <w:sz w:val="24"/>
          <w:szCs w:val="24"/>
        </w:rPr>
        <w:t>C</w:t>
      </w:r>
      <w:r w:rsidR="0080259F" w:rsidRPr="0019172C">
        <w:rPr>
          <w:rFonts w:ascii="Arial" w:hAnsi="Arial" w:cs="Arial"/>
          <w:sz w:val="24"/>
          <w:szCs w:val="24"/>
        </w:rPr>
        <w:t>ollaborative</w:t>
      </w:r>
      <w:r w:rsidR="00842A69" w:rsidRPr="0019172C">
        <w:rPr>
          <w:rFonts w:ascii="Arial" w:hAnsi="Arial" w:cs="Arial"/>
          <w:sz w:val="24"/>
          <w:szCs w:val="24"/>
        </w:rPr>
        <w:t>,</w:t>
      </w:r>
      <w:r w:rsidR="003A02DF" w:rsidRPr="0019172C">
        <w:rPr>
          <w:rFonts w:ascii="Arial" w:hAnsi="Arial" w:cs="Arial"/>
          <w:sz w:val="24"/>
          <w:szCs w:val="24"/>
        </w:rPr>
        <w:t xml:space="preserve"> </w:t>
      </w:r>
      <w:r w:rsidR="0080259F" w:rsidRPr="0019172C">
        <w:rPr>
          <w:rFonts w:ascii="Arial" w:hAnsi="Arial" w:cs="Arial"/>
          <w:sz w:val="24"/>
          <w:szCs w:val="24"/>
        </w:rPr>
        <w:t>community</w:t>
      </w:r>
      <w:r w:rsidR="00842A69" w:rsidRPr="0019172C">
        <w:rPr>
          <w:rFonts w:ascii="Arial" w:hAnsi="Arial" w:cs="Arial"/>
          <w:sz w:val="24"/>
          <w:szCs w:val="24"/>
        </w:rPr>
        <w:t>-based</w:t>
      </w:r>
      <w:r w:rsidR="003A02DF" w:rsidRPr="0019172C">
        <w:rPr>
          <w:rFonts w:ascii="Arial" w:hAnsi="Arial" w:cs="Arial"/>
          <w:sz w:val="24"/>
          <w:szCs w:val="24"/>
        </w:rPr>
        <w:t xml:space="preserve"> </w:t>
      </w:r>
      <w:r w:rsidR="0080259F" w:rsidRPr="0019172C">
        <w:rPr>
          <w:rFonts w:ascii="Arial" w:hAnsi="Arial" w:cs="Arial"/>
          <w:sz w:val="24"/>
          <w:szCs w:val="24"/>
        </w:rPr>
        <w:t>approaches</w:t>
      </w:r>
      <w:r w:rsidR="003A02DF" w:rsidRPr="0019172C">
        <w:rPr>
          <w:rFonts w:ascii="Arial" w:hAnsi="Arial" w:cs="Arial"/>
          <w:sz w:val="24"/>
          <w:szCs w:val="24"/>
        </w:rPr>
        <w:t xml:space="preserve"> </w:t>
      </w:r>
      <w:r w:rsidR="00842A69" w:rsidRPr="0019172C">
        <w:rPr>
          <w:rFonts w:ascii="Arial" w:hAnsi="Arial" w:cs="Arial"/>
          <w:sz w:val="24"/>
          <w:szCs w:val="24"/>
        </w:rPr>
        <w:t xml:space="preserve">will be critical </w:t>
      </w:r>
      <w:r w:rsidR="003A02DF" w:rsidRPr="0019172C">
        <w:rPr>
          <w:rFonts w:ascii="Arial" w:hAnsi="Arial" w:cs="Arial"/>
          <w:sz w:val="24"/>
          <w:szCs w:val="24"/>
        </w:rPr>
        <w:t>to</w:t>
      </w:r>
      <w:r w:rsidR="00C265FD" w:rsidRPr="0019172C">
        <w:rPr>
          <w:rFonts w:ascii="Arial" w:hAnsi="Arial" w:cs="Arial"/>
          <w:sz w:val="24"/>
          <w:szCs w:val="24"/>
        </w:rPr>
        <w:t xml:space="preserve"> </w:t>
      </w:r>
      <w:r w:rsidR="00D0516A">
        <w:rPr>
          <w:rFonts w:ascii="Arial" w:hAnsi="Arial" w:cs="Arial"/>
          <w:sz w:val="24"/>
          <w:szCs w:val="24"/>
        </w:rPr>
        <w:t xml:space="preserve">the </w:t>
      </w:r>
      <w:r w:rsidR="00C265FD" w:rsidRPr="0019172C">
        <w:rPr>
          <w:rFonts w:ascii="Arial" w:hAnsi="Arial" w:cs="Arial"/>
          <w:sz w:val="24"/>
          <w:szCs w:val="24"/>
        </w:rPr>
        <w:t xml:space="preserve">pandemic </w:t>
      </w:r>
      <w:r w:rsidR="003A02DF" w:rsidRPr="0019172C">
        <w:rPr>
          <w:rFonts w:ascii="Arial" w:hAnsi="Arial" w:cs="Arial"/>
          <w:sz w:val="24"/>
          <w:szCs w:val="24"/>
        </w:rPr>
        <w:t>recovery.</w:t>
      </w:r>
      <w:r w:rsidR="00C265FD" w:rsidRPr="0019172C">
        <w:rPr>
          <w:rFonts w:ascii="Arial" w:hAnsi="Arial" w:cs="Arial"/>
          <w:sz w:val="24"/>
          <w:szCs w:val="24"/>
        </w:rPr>
        <w:t xml:space="preserve"> </w:t>
      </w:r>
    </w:p>
    <w:p w14:paraId="0803AC11" w14:textId="77777777" w:rsidR="00A03660" w:rsidRPr="0019172C" w:rsidRDefault="00A37CC0" w:rsidP="00EB1FEF">
      <w:pPr>
        <w:pStyle w:val="NormalWeb"/>
        <w:spacing w:before="0" w:beforeAutospacing="0" w:after="120" w:afterAutospacing="0" w:line="259" w:lineRule="auto"/>
        <w:rPr>
          <w:rFonts w:ascii="Arial" w:hAnsi="Arial" w:cs="Arial"/>
          <w:color w:val="011A3C"/>
        </w:rPr>
      </w:pPr>
      <w:r w:rsidRPr="0019172C">
        <w:rPr>
          <w:rFonts w:ascii="Arial" w:eastAsiaTheme="minorHAnsi" w:hAnsi="Arial" w:cs="Arial"/>
          <w:lang w:eastAsia="en-US"/>
        </w:rPr>
        <w:t>T</w:t>
      </w:r>
      <w:r w:rsidR="00A03660" w:rsidRPr="0019172C">
        <w:rPr>
          <w:rFonts w:ascii="Arial" w:eastAsiaTheme="minorHAnsi" w:hAnsi="Arial" w:cs="Arial"/>
          <w:lang w:eastAsia="en-US"/>
        </w:rPr>
        <w:t>here ha</w:t>
      </w:r>
      <w:r w:rsidRPr="0019172C">
        <w:rPr>
          <w:rFonts w:ascii="Arial" w:eastAsiaTheme="minorHAnsi" w:hAnsi="Arial" w:cs="Arial"/>
          <w:lang w:eastAsia="en-US"/>
        </w:rPr>
        <w:t>d</w:t>
      </w:r>
      <w:r w:rsidR="00A03660" w:rsidRPr="0019172C">
        <w:rPr>
          <w:rFonts w:ascii="Arial" w:eastAsiaTheme="minorHAnsi" w:hAnsi="Arial" w:cs="Arial"/>
          <w:lang w:eastAsia="en-US"/>
        </w:rPr>
        <w:t xml:space="preserve"> been re</w:t>
      </w:r>
      <w:r w:rsidRPr="0019172C">
        <w:rPr>
          <w:rFonts w:ascii="Arial" w:eastAsiaTheme="minorHAnsi" w:hAnsi="Arial" w:cs="Arial"/>
          <w:lang w:eastAsia="en-US"/>
        </w:rPr>
        <w:t xml:space="preserve">newed </w:t>
      </w:r>
      <w:r w:rsidR="00A03660" w:rsidRPr="0019172C">
        <w:rPr>
          <w:rFonts w:ascii="Arial" w:eastAsiaTheme="minorHAnsi" w:hAnsi="Arial" w:cs="Arial"/>
          <w:lang w:eastAsia="en-US"/>
        </w:rPr>
        <w:t>interest in collective approaches to difficult problems</w:t>
      </w:r>
      <w:r w:rsidRPr="0019172C">
        <w:rPr>
          <w:rFonts w:ascii="Arial" w:eastAsiaTheme="minorHAnsi" w:hAnsi="Arial" w:cs="Arial"/>
          <w:lang w:eastAsia="en-US"/>
        </w:rPr>
        <w:t xml:space="preserve"> even prior to COVID</w:t>
      </w:r>
      <w:r w:rsidR="00D0516A">
        <w:rPr>
          <w:rFonts w:ascii="Arial" w:eastAsiaTheme="minorHAnsi" w:hAnsi="Arial" w:cs="Arial"/>
          <w:lang w:eastAsia="en-US"/>
        </w:rPr>
        <w:t>-19</w:t>
      </w:r>
      <w:r w:rsidR="00A03660" w:rsidRPr="0019172C">
        <w:rPr>
          <w:rFonts w:ascii="Arial" w:eastAsiaTheme="minorHAnsi" w:hAnsi="Arial" w:cs="Arial"/>
          <w:lang w:eastAsia="en-US"/>
        </w:rPr>
        <w:t xml:space="preserve">. </w:t>
      </w:r>
      <w:r w:rsidRPr="0019172C">
        <w:rPr>
          <w:rFonts w:ascii="Arial" w:eastAsiaTheme="minorHAnsi" w:hAnsi="Arial" w:cs="Arial"/>
          <w:lang w:eastAsia="en-US"/>
        </w:rPr>
        <w:t>Earlier this year t</w:t>
      </w:r>
      <w:r w:rsidR="00A03660" w:rsidRPr="0019172C">
        <w:rPr>
          <w:rFonts w:ascii="Arial" w:eastAsiaTheme="minorHAnsi" w:hAnsi="Arial" w:cs="Arial"/>
          <w:lang w:eastAsia="en-US"/>
        </w:rPr>
        <w:t>he Victoria</w:t>
      </w:r>
      <w:r w:rsidRPr="0019172C">
        <w:rPr>
          <w:rFonts w:ascii="Arial" w:eastAsiaTheme="minorHAnsi" w:hAnsi="Arial" w:cs="Arial"/>
          <w:lang w:eastAsia="en-US"/>
        </w:rPr>
        <w:t>n</w:t>
      </w:r>
      <w:r w:rsidR="00A03660" w:rsidRPr="0019172C">
        <w:rPr>
          <w:rFonts w:ascii="Arial" w:eastAsiaTheme="minorHAnsi" w:hAnsi="Arial" w:cs="Arial"/>
          <w:lang w:eastAsia="en-US"/>
        </w:rPr>
        <w:t xml:space="preserve"> government</w:t>
      </w:r>
      <w:r w:rsidRPr="0019172C">
        <w:rPr>
          <w:rFonts w:ascii="Arial" w:eastAsiaTheme="minorHAnsi" w:hAnsi="Arial" w:cs="Arial"/>
          <w:lang w:eastAsia="en-US"/>
        </w:rPr>
        <w:t xml:space="preserve"> </w:t>
      </w:r>
      <w:r w:rsidR="00A03660" w:rsidRPr="0019172C">
        <w:rPr>
          <w:rFonts w:ascii="Arial" w:eastAsiaTheme="minorHAnsi" w:hAnsi="Arial" w:cs="Arial"/>
          <w:lang w:eastAsia="en-US"/>
        </w:rPr>
        <w:t>announced a new framework for placed-based approaches,</w:t>
      </w:r>
      <w:r w:rsidR="00A03660" w:rsidRPr="0019172C">
        <w:rPr>
          <w:rFonts w:ascii="Arial" w:hAnsi="Arial" w:cs="Arial"/>
          <w:color w:val="58595B"/>
          <w:shd w:val="clear" w:color="auto" w:fill="FFFFFF"/>
        </w:rPr>
        <w:t> </w:t>
      </w:r>
      <w:hyperlink r:id="rId9" w:history="1">
        <w:r w:rsidR="00A03660" w:rsidRPr="0019172C">
          <w:rPr>
            <w:rStyle w:val="Hyperlink"/>
            <w:rFonts w:ascii="Arial" w:hAnsi="Arial" w:cs="Arial"/>
            <w:shd w:val="clear" w:color="auto" w:fill="FFFFFF"/>
          </w:rPr>
          <w:t>Working Together in Place</w:t>
        </w:r>
      </w:hyperlink>
      <w:r w:rsidR="00A03660" w:rsidRPr="0019172C">
        <w:rPr>
          <w:rStyle w:val="Emphasis"/>
          <w:rFonts w:ascii="Arial" w:hAnsi="Arial" w:cs="Arial"/>
          <w:color w:val="58595B"/>
          <w:shd w:val="clear" w:color="auto" w:fill="FFFFFF"/>
        </w:rPr>
        <w:t>,</w:t>
      </w:r>
      <w:r w:rsidR="00A03660" w:rsidRPr="0019172C">
        <w:rPr>
          <w:rFonts w:ascii="Arial" w:hAnsi="Arial" w:cs="Arial"/>
          <w:shd w:val="clear" w:color="auto" w:fill="FFFFFF"/>
        </w:rPr>
        <w:t xml:space="preserve"> </w:t>
      </w:r>
      <w:r w:rsidR="00A03660" w:rsidRPr="0019172C">
        <w:rPr>
          <w:rFonts w:ascii="Arial" w:eastAsiaTheme="minorHAnsi" w:hAnsi="Arial" w:cs="Arial"/>
          <w:lang w:eastAsia="en-US"/>
        </w:rPr>
        <w:t xml:space="preserve">stating that Programmatic or siloed funding approaches counteract this work. Nationally, Stronger Places Stronger People initiative </w:t>
      </w:r>
      <w:r w:rsidR="003A02DF" w:rsidRPr="0019172C">
        <w:rPr>
          <w:rFonts w:ascii="Arial" w:eastAsiaTheme="minorHAnsi" w:hAnsi="Arial" w:cs="Arial"/>
          <w:lang w:eastAsia="en-US"/>
        </w:rPr>
        <w:t>aims to</w:t>
      </w:r>
      <w:r w:rsidR="00A03660" w:rsidRPr="0019172C">
        <w:rPr>
          <w:rFonts w:ascii="Arial" w:eastAsiaTheme="minorHAnsi" w:hAnsi="Arial" w:cs="Arial"/>
          <w:lang w:eastAsia="en-US"/>
        </w:rPr>
        <w:t xml:space="preserve"> demonstrate</w:t>
      </w:r>
      <w:r w:rsidRPr="0019172C">
        <w:rPr>
          <w:rFonts w:ascii="Arial" w:eastAsiaTheme="minorHAnsi" w:hAnsi="Arial" w:cs="Arial"/>
          <w:lang w:eastAsia="en-US"/>
        </w:rPr>
        <w:t xml:space="preserve"> the potential for ‘c</w:t>
      </w:r>
      <w:r w:rsidR="00A03660" w:rsidRPr="0019172C">
        <w:rPr>
          <w:rFonts w:ascii="Arial" w:eastAsiaTheme="minorHAnsi" w:hAnsi="Arial" w:cs="Arial"/>
          <w:lang w:eastAsia="en-US"/>
        </w:rPr>
        <w:t xml:space="preserve">ollective </w:t>
      </w:r>
      <w:r w:rsidRPr="0019172C">
        <w:rPr>
          <w:rFonts w:ascii="Arial" w:eastAsiaTheme="minorHAnsi" w:hAnsi="Arial" w:cs="Arial"/>
          <w:lang w:eastAsia="en-US"/>
        </w:rPr>
        <w:t>i</w:t>
      </w:r>
      <w:r w:rsidR="00A03660" w:rsidRPr="0019172C">
        <w:rPr>
          <w:rFonts w:ascii="Arial" w:eastAsiaTheme="minorHAnsi" w:hAnsi="Arial" w:cs="Arial"/>
          <w:lang w:eastAsia="en-US"/>
        </w:rPr>
        <w:t>mpact</w:t>
      </w:r>
      <w:r w:rsidRPr="0019172C">
        <w:rPr>
          <w:rFonts w:ascii="Arial" w:eastAsiaTheme="minorHAnsi" w:hAnsi="Arial" w:cs="Arial"/>
          <w:lang w:eastAsia="en-US"/>
        </w:rPr>
        <w:t>’ approaches to</w:t>
      </w:r>
      <w:r w:rsidR="00A03660" w:rsidRPr="0019172C">
        <w:rPr>
          <w:rFonts w:ascii="Arial" w:eastAsiaTheme="minorHAnsi" w:hAnsi="Arial" w:cs="Arial"/>
          <w:lang w:eastAsia="en-US"/>
        </w:rPr>
        <w:t xml:space="preserve"> interrupt disadvantage. </w:t>
      </w:r>
      <w:r w:rsidR="000205C9" w:rsidRPr="0019172C">
        <w:rPr>
          <w:rFonts w:ascii="Arial" w:eastAsiaTheme="minorHAnsi" w:hAnsi="Arial" w:cs="Arial"/>
          <w:lang w:eastAsia="en-US"/>
        </w:rPr>
        <w:t>I</w:t>
      </w:r>
      <w:r w:rsidR="00A03660" w:rsidRPr="0019172C">
        <w:rPr>
          <w:rFonts w:ascii="Arial" w:eastAsiaTheme="minorHAnsi" w:hAnsi="Arial" w:cs="Arial"/>
          <w:lang w:eastAsia="en-US"/>
        </w:rPr>
        <w:t>nternationally, a plethora of organisations, strategies, frameworks, evaluations and networks have been built for impactful and integrated social and economic development at local and regional levels.</w:t>
      </w:r>
      <w:r w:rsidR="00C265FD" w:rsidRPr="0019172C">
        <w:rPr>
          <w:rFonts w:ascii="Arial" w:eastAsiaTheme="minorHAnsi" w:hAnsi="Arial" w:cs="Arial"/>
          <w:lang w:eastAsia="en-US"/>
        </w:rPr>
        <w:endnoteReference w:id="11"/>
      </w:r>
    </w:p>
    <w:p w14:paraId="0FECBEA7" w14:textId="77777777" w:rsidR="004203D7" w:rsidRPr="00767D04" w:rsidRDefault="00EB6AB1" w:rsidP="00EB1FEF">
      <w:pPr>
        <w:pStyle w:val="NormalWeb"/>
        <w:spacing w:before="0" w:beforeAutospacing="0" w:after="120" w:afterAutospacing="0" w:line="259" w:lineRule="auto"/>
        <w:rPr>
          <w:rFonts w:ascii="Arial" w:eastAsiaTheme="minorHAnsi" w:hAnsi="Arial" w:cs="Arial"/>
          <w:lang w:eastAsia="en-US"/>
        </w:rPr>
      </w:pPr>
      <w:r w:rsidRPr="0019172C">
        <w:rPr>
          <w:rFonts w:ascii="Arial" w:eastAsiaTheme="minorHAnsi" w:hAnsi="Arial" w:cs="Arial"/>
          <w:lang w:eastAsia="en-US"/>
        </w:rPr>
        <w:t>In</w:t>
      </w:r>
      <w:r w:rsidR="00A03660" w:rsidRPr="0019172C">
        <w:rPr>
          <w:rFonts w:ascii="Arial" w:eastAsiaTheme="minorHAnsi" w:hAnsi="Arial" w:cs="Arial"/>
          <w:lang w:eastAsia="en-US"/>
        </w:rPr>
        <w:t xml:space="preserve"> COVID</w:t>
      </w:r>
      <w:r w:rsidRPr="0019172C">
        <w:rPr>
          <w:rFonts w:ascii="Arial" w:eastAsiaTheme="minorHAnsi" w:hAnsi="Arial" w:cs="Arial"/>
          <w:lang w:eastAsia="en-US"/>
        </w:rPr>
        <w:t>-19</w:t>
      </w:r>
      <w:r w:rsidR="00A03660" w:rsidRPr="0019172C">
        <w:rPr>
          <w:rFonts w:ascii="Arial" w:eastAsiaTheme="minorHAnsi" w:hAnsi="Arial" w:cs="Arial"/>
          <w:lang w:eastAsia="en-US"/>
        </w:rPr>
        <w:t xml:space="preserve"> recovery it is important that government is flexible and innovative in how it </w:t>
      </w:r>
      <w:r w:rsidR="003A02DF" w:rsidRPr="0019172C">
        <w:rPr>
          <w:rFonts w:ascii="Arial" w:eastAsiaTheme="minorHAnsi" w:hAnsi="Arial" w:cs="Arial"/>
          <w:lang w:eastAsia="en-US"/>
        </w:rPr>
        <w:t xml:space="preserve">allocates </w:t>
      </w:r>
      <w:r w:rsidR="00A03660" w:rsidRPr="0019172C">
        <w:rPr>
          <w:rFonts w:ascii="Arial" w:eastAsiaTheme="minorHAnsi" w:hAnsi="Arial" w:cs="Arial"/>
          <w:lang w:eastAsia="en-US"/>
        </w:rPr>
        <w:t>resources</w:t>
      </w:r>
      <w:r w:rsidR="003A02DF" w:rsidRPr="0019172C">
        <w:rPr>
          <w:rFonts w:ascii="Arial" w:eastAsiaTheme="minorHAnsi" w:hAnsi="Arial" w:cs="Arial"/>
          <w:lang w:eastAsia="en-US"/>
        </w:rPr>
        <w:t xml:space="preserve"> there is a n</w:t>
      </w:r>
      <w:r w:rsidR="00A03660" w:rsidRPr="0019172C">
        <w:rPr>
          <w:rFonts w:ascii="Arial" w:eastAsiaTheme="minorHAnsi" w:hAnsi="Arial" w:cs="Arial"/>
          <w:lang w:eastAsia="en-US"/>
        </w:rPr>
        <w:t xml:space="preserve">eed </w:t>
      </w:r>
      <w:r w:rsidR="003A02DF" w:rsidRPr="0019172C">
        <w:rPr>
          <w:rFonts w:ascii="Arial" w:eastAsiaTheme="minorHAnsi" w:hAnsi="Arial" w:cs="Arial"/>
          <w:lang w:eastAsia="en-US"/>
        </w:rPr>
        <w:t xml:space="preserve">to </w:t>
      </w:r>
      <w:r w:rsidR="00A03660" w:rsidRPr="0019172C">
        <w:rPr>
          <w:rFonts w:ascii="Arial" w:eastAsiaTheme="minorHAnsi" w:hAnsi="Arial" w:cs="Arial"/>
          <w:lang w:eastAsia="en-US"/>
        </w:rPr>
        <w:t xml:space="preserve">embedding models of shared accountability and ensure place-based collective approaches </w:t>
      </w:r>
      <w:r w:rsidR="00A37CC0" w:rsidRPr="0019172C">
        <w:rPr>
          <w:rFonts w:ascii="Arial" w:eastAsiaTheme="minorHAnsi" w:hAnsi="Arial" w:cs="Arial"/>
          <w:lang w:eastAsia="en-US"/>
        </w:rPr>
        <w:t>in navigating</w:t>
      </w:r>
      <w:r w:rsidR="00A03660" w:rsidRPr="0019172C">
        <w:rPr>
          <w:rFonts w:ascii="Arial" w:eastAsiaTheme="minorHAnsi" w:hAnsi="Arial" w:cs="Arial"/>
          <w:lang w:eastAsia="en-US"/>
        </w:rPr>
        <w:t xml:space="preserve"> the difficult road ahead. </w:t>
      </w:r>
    </w:p>
    <w:p w14:paraId="085AC22C" w14:textId="77777777" w:rsidR="008C41FD" w:rsidRPr="00767D04" w:rsidRDefault="005246B0" w:rsidP="00EB1FEF">
      <w:pPr>
        <w:spacing w:after="120"/>
        <w:contextualSpacing/>
        <w:rPr>
          <w:rFonts w:ascii="Arial" w:hAnsi="Arial" w:cs="Arial"/>
          <w:b/>
          <w:sz w:val="24"/>
          <w:szCs w:val="24"/>
        </w:rPr>
      </w:pPr>
      <w:r w:rsidRPr="0019172C">
        <w:rPr>
          <w:rFonts w:ascii="Arial" w:hAnsi="Arial" w:cs="Arial"/>
          <w:b/>
          <w:sz w:val="24"/>
          <w:szCs w:val="24"/>
        </w:rPr>
        <w:t xml:space="preserve">Ticket to Work </w:t>
      </w:r>
    </w:p>
    <w:p w14:paraId="1CD7B9A0" w14:textId="77777777" w:rsidR="008C41FD" w:rsidRPr="0019172C" w:rsidRDefault="003A02DF" w:rsidP="00EB1FEF">
      <w:pPr>
        <w:spacing w:after="120"/>
        <w:contextualSpacing/>
        <w:rPr>
          <w:rFonts w:ascii="Arial" w:hAnsi="Arial" w:cs="Arial"/>
          <w:sz w:val="24"/>
          <w:szCs w:val="24"/>
        </w:rPr>
      </w:pPr>
      <w:r w:rsidRPr="0019172C">
        <w:rPr>
          <w:rFonts w:ascii="Arial" w:hAnsi="Arial" w:cs="Arial"/>
          <w:sz w:val="24"/>
          <w:szCs w:val="24"/>
        </w:rPr>
        <w:t>Ticket to</w:t>
      </w:r>
      <w:r w:rsidR="008C41FD" w:rsidRPr="0019172C">
        <w:rPr>
          <w:rFonts w:ascii="Arial" w:hAnsi="Arial" w:cs="Arial"/>
          <w:sz w:val="24"/>
          <w:szCs w:val="24"/>
        </w:rPr>
        <w:t xml:space="preserve"> W</w:t>
      </w:r>
      <w:r w:rsidRPr="0019172C">
        <w:rPr>
          <w:rFonts w:ascii="Arial" w:hAnsi="Arial" w:cs="Arial"/>
          <w:sz w:val="24"/>
          <w:szCs w:val="24"/>
        </w:rPr>
        <w:t xml:space="preserve">ork is </w:t>
      </w:r>
      <w:r w:rsidR="008C41FD" w:rsidRPr="0019172C">
        <w:rPr>
          <w:rFonts w:ascii="Arial" w:hAnsi="Arial" w:cs="Arial"/>
          <w:sz w:val="24"/>
          <w:szCs w:val="24"/>
        </w:rPr>
        <w:t>a collective impact approach</w:t>
      </w:r>
      <w:r w:rsidR="00851E72" w:rsidRPr="0019172C">
        <w:rPr>
          <w:rFonts w:ascii="Arial" w:hAnsi="Arial" w:cs="Arial"/>
          <w:sz w:val="24"/>
          <w:szCs w:val="24"/>
        </w:rPr>
        <w:t>, established</w:t>
      </w:r>
      <w:r w:rsidR="008C41FD" w:rsidRPr="0019172C">
        <w:rPr>
          <w:rFonts w:ascii="Arial" w:hAnsi="Arial" w:cs="Arial"/>
          <w:sz w:val="24"/>
          <w:szCs w:val="24"/>
        </w:rPr>
        <w:t xml:space="preserve"> in response to poor and falling school to work transition for young Australians with disability, </w:t>
      </w:r>
    </w:p>
    <w:p w14:paraId="1AF8E5FA" w14:textId="77777777" w:rsidR="004928F9" w:rsidRPr="0019172C" w:rsidRDefault="00A65D61" w:rsidP="00EB1FEF">
      <w:pPr>
        <w:pStyle w:val="NormalWeb"/>
        <w:spacing w:before="0" w:beforeAutospacing="0" w:after="120" w:afterAutospacing="0" w:line="259" w:lineRule="auto"/>
        <w:rPr>
          <w:rFonts w:ascii="Arial" w:eastAsiaTheme="minorHAnsi" w:hAnsi="Arial" w:cs="Arial"/>
          <w:lang w:eastAsia="en-US"/>
        </w:rPr>
      </w:pPr>
      <w:r w:rsidRPr="0019172C">
        <w:rPr>
          <w:rFonts w:ascii="Arial" w:eastAsiaTheme="minorHAnsi" w:hAnsi="Arial" w:cs="Arial"/>
          <w:lang w:eastAsia="en-US"/>
        </w:rPr>
        <w:lastRenderedPageBreak/>
        <w:t xml:space="preserve">While not underestimating the challenges, Ticket to Work </w:t>
      </w:r>
      <w:r w:rsidR="00767D04">
        <w:rPr>
          <w:rFonts w:ascii="Arial" w:eastAsiaTheme="minorHAnsi" w:hAnsi="Arial" w:cs="Arial"/>
          <w:lang w:eastAsia="en-US"/>
        </w:rPr>
        <w:t>networks have</w:t>
      </w:r>
      <w:r w:rsidRPr="0019172C">
        <w:rPr>
          <w:rFonts w:ascii="Arial" w:eastAsiaTheme="minorHAnsi" w:hAnsi="Arial" w:cs="Arial"/>
          <w:lang w:eastAsia="en-US"/>
        </w:rPr>
        <w:t xml:space="preserve"> demonstrated in significant numbers that young people can thrive in open employment when prepared and supported whilst at school through a coordinated approach. The Ticket to Work </w:t>
      </w:r>
      <w:r w:rsidR="00D0516A">
        <w:rPr>
          <w:rFonts w:ascii="Arial" w:eastAsiaTheme="minorHAnsi" w:hAnsi="Arial" w:cs="Arial"/>
          <w:lang w:eastAsia="en-US"/>
        </w:rPr>
        <w:t>m</w:t>
      </w:r>
      <w:r w:rsidRPr="0019172C">
        <w:rPr>
          <w:rFonts w:ascii="Arial" w:eastAsiaTheme="minorHAnsi" w:hAnsi="Arial" w:cs="Arial"/>
          <w:lang w:eastAsia="en-US"/>
        </w:rPr>
        <w:t xml:space="preserve">odel was developed from scoping ‘what works’ in other countries. </w:t>
      </w:r>
    </w:p>
    <w:p w14:paraId="599B59CC" w14:textId="77777777" w:rsidR="0080259F" w:rsidRPr="0019172C" w:rsidRDefault="00A65D61" w:rsidP="00EB1FEF">
      <w:pPr>
        <w:pStyle w:val="Bulletlist"/>
        <w:numPr>
          <w:ilvl w:val="0"/>
          <w:numId w:val="0"/>
        </w:numPr>
        <w:spacing w:line="259" w:lineRule="auto"/>
        <w:rPr>
          <w:sz w:val="24"/>
          <w:szCs w:val="24"/>
        </w:rPr>
      </w:pPr>
      <w:r w:rsidRPr="0019172C">
        <w:rPr>
          <w:sz w:val="24"/>
          <w:szCs w:val="24"/>
        </w:rPr>
        <w:t>At its simplest, Ticket to Work’s collective impact approach (34 local networks; 205 schools; 105 local community organisations) has already delivered 1,621 jobs for young people with disability</w:t>
      </w:r>
      <w:r w:rsidR="0080259F" w:rsidRPr="0019172C">
        <w:rPr>
          <w:sz w:val="24"/>
          <w:szCs w:val="24"/>
        </w:rPr>
        <w:t>.</w:t>
      </w:r>
      <w:r w:rsidRPr="0019172C">
        <w:rPr>
          <w:sz w:val="24"/>
          <w:szCs w:val="24"/>
        </w:rPr>
        <w:t xml:space="preserve"> </w:t>
      </w:r>
      <w:r w:rsidR="00A37CC0" w:rsidRPr="0019172C">
        <w:rPr>
          <w:sz w:val="24"/>
          <w:szCs w:val="24"/>
        </w:rPr>
        <w:t xml:space="preserve">Compared to a similar group of young people </w:t>
      </w:r>
      <w:r w:rsidR="0080259F" w:rsidRPr="0019172C">
        <w:rPr>
          <w:sz w:val="24"/>
          <w:szCs w:val="24"/>
        </w:rPr>
        <w:t xml:space="preserve">Ticket to Work participants post school are more likely </w:t>
      </w:r>
      <w:r w:rsidR="00A37CC0" w:rsidRPr="0019172C">
        <w:rPr>
          <w:sz w:val="24"/>
          <w:szCs w:val="24"/>
        </w:rPr>
        <w:t xml:space="preserve">to </w:t>
      </w:r>
      <w:r w:rsidR="0080259F" w:rsidRPr="0019172C">
        <w:rPr>
          <w:sz w:val="24"/>
          <w:szCs w:val="24"/>
        </w:rPr>
        <w:t>complete Year 12 (95% compared to 52%), work in open workplaces (57% compared to 16.5%)</w:t>
      </w:r>
      <w:r w:rsidR="004928F9" w:rsidRPr="0019172C">
        <w:rPr>
          <w:sz w:val="24"/>
          <w:szCs w:val="24"/>
        </w:rPr>
        <w:t xml:space="preserve"> </w:t>
      </w:r>
      <w:r w:rsidR="0080259F" w:rsidRPr="0019172C">
        <w:rPr>
          <w:sz w:val="24"/>
          <w:szCs w:val="24"/>
        </w:rPr>
        <w:t>participate in the labour force (89% compared to 58%), and</w:t>
      </w:r>
      <w:r w:rsidR="004928F9" w:rsidRPr="0019172C">
        <w:rPr>
          <w:sz w:val="24"/>
          <w:szCs w:val="24"/>
        </w:rPr>
        <w:t xml:space="preserve"> be involved in social activity: more socially active (83% compared to 65%); more independent (63% compared to 32%). </w:t>
      </w:r>
    </w:p>
    <w:p w14:paraId="37D0C6DE" w14:textId="77777777" w:rsidR="00AC08E7" w:rsidRPr="0019172C" w:rsidRDefault="0080259F" w:rsidP="00EB1FEF">
      <w:pPr>
        <w:pStyle w:val="ListParagraph"/>
        <w:shd w:val="clear" w:color="auto" w:fill="FFFFFF"/>
        <w:spacing w:after="120"/>
        <w:ind w:left="0"/>
        <w:textAlignment w:val="top"/>
        <w:rPr>
          <w:rFonts w:ascii="Arial" w:hAnsi="Arial" w:cs="Arial"/>
          <w:sz w:val="24"/>
          <w:szCs w:val="24"/>
        </w:rPr>
      </w:pPr>
      <w:r w:rsidRPr="0019172C">
        <w:rPr>
          <w:rFonts w:ascii="Arial" w:hAnsi="Arial" w:cs="Arial"/>
          <w:sz w:val="24"/>
          <w:szCs w:val="24"/>
        </w:rPr>
        <w:t xml:space="preserve">A valuation of Ticket to Work found that the collective approach is </w:t>
      </w:r>
      <w:r w:rsidRPr="0019172C">
        <w:rPr>
          <w:rFonts w:ascii="Arial" w:eastAsia="Times New Roman" w:hAnsi="Arial" w:cs="Arial"/>
          <w:sz w:val="24"/>
          <w:szCs w:val="24"/>
          <w:lang w:eastAsia="en-AU"/>
        </w:rPr>
        <w:t>highly cost-effective, delivering overall savings in government expenditure</w:t>
      </w:r>
      <w:r w:rsidRPr="0019172C">
        <w:rPr>
          <w:rFonts w:ascii="Arial" w:hAnsi="Arial" w:cs="Arial"/>
          <w:sz w:val="24"/>
          <w:szCs w:val="24"/>
        </w:rPr>
        <w:t xml:space="preserve"> (SVA 2020).</w:t>
      </w:r>
      <w:r w:rsidR="00AC08E7" w:rsidRPr="0019172C">
        <w:rPr>
          <w:rFonts w:ascii="Arial" w:hAnsi="Arial" w:cs="Arial"/>
          <w:sz w:val="24"/>
          <w:szCs w:val="24"/>
        </w:rPr>
        <w:t xml:space="preserve"> </w:t>
      </w:r>
      <w:r w:rsidR="00767D04">
        <w:rPr>
          <w:rFonts w:ascii="Arial" w:hAnsi="Arial" w:cs="Arial"/>
          <w:sz w:val="24"/>
          <w:szCs w:val="24"/>
        </w:rPr>
        <w:t>Ticket to W</w:t>
      </w:r>
      <w:r w:rsidR="004928F9" w:rsidRPr="0019172C">
        <w:rPr>
          <w:rFonts w:ascii="Arial" w:hAnsi="Arial" w:cs="Arial"/>
          <w:sz w:val="24"/>
          <w:szCs w:val="24"/>
        </w:rPr>
        <w:t>ork</w:t>
      </w:r>
      <w:r w:rsidR="00A65D61" w:rsidRPr="0019172C">
        <w:rPr>
          <w:rFonts w:ascii="Arial" w:hAnsi="Arial" w:cs="Arial"/>
          <w:sz w:val="24"/>
          <w:szCs w:val="24"/>
        </w:rPr>
        <w:t xml:space="preserve"> networks are proving </w:t>
      </w:r>
      <w:r w:rsidR="00310C4D" w:rsidRPr="0019172C">
        <w:rPr>
          <w:rFonts w:ascii="Arial" w:hAnsi="Arial" w:cs="Arial"/>
          <w:sz w:val="24"/>
          <w:szCs w:val="24"/>
        </w:rPr>
        <w:t xml:space="preserve">to be </w:t>
      </w:r>
      <w:r w:rsidR="00A65D61" w:rsidRPr="0019172C">
        <w:rPr>
          <w:rFonts w:ascii="Arial" w:hAnsi="Arial" w:cs="Arial"/>
          <w:sz w:val="24"/>
          <w:szCs w:val="24"/>
        </w:rPr>
        <w:t xml:space="preserve">durable in the midst of COVID-19. </w:t>
      </w:r>
    </w:p>
    <w:p w14:paraId="5F6A11BB" w14:textId="77777777" w:rsidR="005240DC" w:rsidRPr="0019172C" w:rsidRDefault="005240DC" w:rsidP="00EB1FEF">
      <w:pPr>
        <w:spacing w:after="120"/>
        <w:rPr>
          <w:rFonts w:ascii="Arial" w:hAnsi="Arial" w:cs="Arial"/>
          <w:sz w:val="24"/>
          <w:szCs w:val="24"/>
        </w:rPr>
      </w:pPr>
      <w:r w:rsidRPr="0019172C">
        <w:rPr>
          <w:rFonts w:ascii="Arial" w:hAnsi="Arial" w:cs="Arial"/>
          <w:sz w:val="24"/>
          <w:szCs w:val="24"/>
        </w:rPr>
        <w:t xml:space="preserve">The Grattan report stated that in the interest of investing to catch up on COVID-19, priority should be given to initiatives that: </w:t>
      </w:r>
    </w:p>
    <w:p w14:paraId="03372009" w14:textId="77777777" w:rsidR="005240DC" w:rsidRPr="0019172C" w:rsidRDefault="005240DC" w:rsidP="00EB1FEF">
      <w:pPr>
        <w:numPr>
          <w:ilvl w:val="0"/>
          <w:numId w:val="3"/>
        </w:numPr>
        <w:spacing w:after="120"/>
        <w:contextualSpacing/>
        <w:rPr>
          <w:rFonts w:ascii="Arial" w:hAnsi="Arial" w:cs="Arial"/>
          <w:sz w:val="24"/>
          <w:szCs w:val="24"/>
        </w:rPr>
      </w:pPr>
      <w:r w:rsidRPr="0019172C">
        <w:rPr>
          <w:rFonts w:ascii="Arial" w:hAnsi="Arial" w:cs="Arial"/>
          <w:sz w:val="24"/>
          <w:szCs w:val="24"/>
        </w:rPr>
        <w:t>Have been shown in research studies to significantly improve student learning;</w:t>
      </w:r>
    </w:p>
    <w:p w14:paraId="74D4985D" w14:textId="77777777" w:rsidR="005240DC" w:rsidRPr="0019172C" w:rsidRDefault="005240DC" w:rsidP="00EB1FEF">
      <w:pPr>
        <w:numPr>
          <w:ilvl w:val="0"/>
          <w:numId w:val="3"/>
        </w:numPr>
        <w:spacing w:after="120"/>
        <w:contextualSpacing/>
        <w:rPr>
          <w:rFonts w:ascii="Arial" w:hAnsi="Arial" w:cs="Arial"/>
          <w:sz w:val="24"/>
          <w:szCs w:val="24"/>
        </w:rPr>
      </w:pPr>
      <w:r w:rsidRPr="0019172C">
        <w:rPr>
          <w:rFonts w:ascii="Arial" w:hAnsi="Arial" w:cs="Arial"/>
          <w:sz w:val="24"/>
          <w:szCs w:val="24"/>
        </w:rPr>
        <w:t xml:space="preserve">Have benefits that clearly outweigh the costs; </w:t>
      </w:r>
    </w:p>
    <w:p w14:paraId="1AE6103D" w14:textId="77777777" w:rsidR="00AC08E7" w:rsidRPr="00767D04" w:rsidRDefault="005240DC" w:rsidP="00EB1FEF">
      <w:pPr>
        <w:numPr>
          <w:ilvl w:val="0"/>
          <w:numId w:val="3"/>
        </w:numPr>
        <w:spacing w:after="120"/>
        <w:rPr>
          <w:rFonts w:ascii="Arial" w:hAnsi="Arial" w:cs="Arial"/>
          <w:sz w:val="24"/>
          <w:szCs w:val="24"/>
        </w:rPr>
      </w:pPr>
      <w:r w:rsidRPr="0019172C">
        <w:rPr>
          <w:rFonts w:ascii="Arial" w:hAnsi="Arial" w:cs="Arial"/>
          <w:sz w:val="24"/>
          <w:szCs w:val="24"/>
        </w:rPr>
        <w:t xml:space="preserve">Have a track record of successful implementation across many schools, and can be implemented quickly. </w:t>
      </w:r>
      <w:r w:rsidRPr="0019172C">
        <w:rPr>
          <w:rFonts w:ascii="Arial" w:hAnsi="Arial" w:cs="Arial"/>
          <w:sz w:val="24"/>
          <w:szCs w:val="24"/>
          <w:vertAlign w:val="superscript"/>
        </w:rPr>
        <w:endnoteReference w:id="12"/>
      </w:r>
    </w:p>
    <w:p w14:paraId="0709C6A9" w14:textId="77777777" w:rsidR="00612B73" w:rsidRPr="0019172C" w:rsidRDefault="005240DC" w:rsidP="00EB1FEF">
      <w:pPr>
        <w:spacing w:after="120"/>
        <w:rPr>
          <w:rFonts w:ascii="Arial" w:hAnsi="Arial" w:cs="Arial"/>
          <w:sz w:val="24"/>
          <w:szCs w:val="24"/>
        </w:rPr>
      </w:pPr>
      <w:r w:rsidRPr="0019172C">
        <w:rPr>
          <w:rFonts w:ascii="Arial" w:hAnsi="Arial" w:cs="Arial"/>
          <w:sz w:val="24"/>
          <w:szCs w:val="24"/>
        </w:rPr>
        <w:t xml:space="preserve">Ticket to Work ticks those boxes. The adaptability of the Ticket to Work model is highly advantageous to expanding its reach. </w:t>
      </w:r>
    </w:p>
    <w:p w14:paraId="1D16F459" w14:textId="77777777" w:rsidR="00A65D61" w:rsidRPr="0019172C" w:rsidRDefault="00612B73" w:rsidP="00EB1FEF">
      <w:pPr>
        <w:spacing w:after="120"/>
        <w:rPr>
          <w:rFonts w:ascii="Arial" w:hAnsi="Arial" w:cs="Arial"/>
          <w:sz w:val="24"/>
          <w:szCs w:val="24"/>
        </w:rPr>
      </w:pPr>
      <w:r w:rsidRPr="0019172C">
        <w:rPr>
          <w:rFonts w:ascii="Arial" w:hAnsi="Arial" w:cs="Arial"/>
          <w:sz w:val="24"/>
          <w:szCs w:val="24"/>
        </w:rPr>
        <w:t xml:space="preserve">Connecting </w:t>
      </w:r>
      <w:r w:rsidR="00A65D61" w:rsidRPr="0019172C">
        <w:rPr>
          <w:rFonts w:ascii="Arial" w:hAnsi="Arial" w:cs="Arial"/>
          <w:sz w:val="24"/>
          <w:szCs w:val="24"/>
        </w:rPr>
        <w:t>students</w:t>
      </w:r>
      <w:r w:rsidRPr="0019172C">
        <w:rPr>
          <w:rFonts w:ascii="Arial" w:hAnsi="Arial" w:cs="Arial"/>
          <w:sz w:val="24"/>
          <w:szCs w:val="24"/>
        </w:rPr>
        <w:t xml:space="preserve"> with disability </w:t>
      </w:r>
      <w:r w:rsidR="00C714C2" w:rsidRPr="0019172C">
        <w:rPr>
          <w:rFonts w:ascii="Arial" w:hAnsi="Arial" w:cs="Arial"/>
          <w:sz w:val="24"/>
          <w:szCs w:val="24"/>
        </w:rPr>
        <w:t xml:space="preserve">to employers </w:t>
      </w:r>
      <w:r w:rsidR="00DF5580">
        <w:rPr>
          <w:rFonts w:ascii="Arial" w:hAnsi="Arial" w:cs="Arial"/>
          <w:sz w:val="24"/>
          <w:szCs w:val="24"/>
        </w:rPr>
        <w:t xml:space="preserve">while </w:t>
      </w:r>
      <w:r w:rsidRPr="0019172C">
        <w:rPr>
          <w:rFonts w:ascii="Arial" w:hAnsi="Arial" w:cs="Arial"/>
          <w:sz w:val="24"/>
          <w:szCs w:val="24"/>
        </w:rPr>
        <w:t xml:space="preserve">still at school </w:t>
      </w:r>
      <w:r w:rsidR="00C714C2" w:rsidRPr="0019172C">
        <w:rPr>
          <w:rFonts w:ascii="Arial" w:hAnsi="Arial" w:cs="Arial"/>
          <w:sz w:val="24"/>
          <w:szCs w:val="24"/>
        </w:rPr>
        <w:t>as well as tailoring education and training to ensure young peoples’ skills meet industry demand is critical to the recovery of the youth labour market.</w:t>
      </w:r>
      <w:r w:rsidR="00A65D61" w:rsidRPr="0019172C">
        <w:rPr>
          <w:rFonts w:ascii="Arial" w:hAnsi="Arial" w:cs="Arial"/>
          <w:sz w:val="24"/>
          <w:szCs w:val="24"/>
        </w:rPr>
        <w:t xml:space="preserve">  Doing this in a place-based approach is essential. </w:t>
      </w:r>
    </w:p>
    <w:p w14:paraId="14A8C198" w14:textId="77777777" w:rsidR="00A37CC0" w:rsidRPr="0019172C" w:rsidRDefault="00A37CC0" w:rsidP="00EB1FEF">
      <w:pPr>
        <w:spacing w:after="120"/>
        <w:rPr>
          <w:rFonts w:ascii="Arial" w:hAnsi="Arial" w:cs="Arial"/>
          <w:sz w:val="24"/>
          <w:szCs w:val="24"/>
        </w:rPr>
      </w:pPr>
      <w:r w:rsidRPr="0019172C">
        <w:rPr>
          <w:rFonts w:ascii="Arial" w:hAnsi="Arial" w:cs="Arial"/>
          <w:sz w:val="24"/>
          <w:szCs w:val="24"/>
        </w:rPr>
        <w:t xml:space="preserve">While there are many efforts and initiatives happening to support Australians through the pandemic, there will be more to do in the recovery phase.  Those already disadvantaged in the labour market such as people with disability must not be left out. </w:t>
      </w:r>
    </w:p>
    <w:p w14:paraId="29178DBB" w14:textId="77777777" w:rsidR="00A65D61" w:rsidRPr="0019172C" w:rsidRDefault="00A65D61" w:rsidP="00EB1FEF">
      <w:pPr>
        <w:spacing w:after="120"/>
        <w:rPr>
          <w:rFonts w:ascii="Arial" w:hAnsi="Arial" w:cs="Arial"/>
          <w:sz w:val="24"/>
          <w:szCs w:val="24"/>
        </w:rPr>
      </w:pPr>
      <w:r w:rsidRPr="0019172C">
        <w:rPr>
          <w:rFonts w:ascii="Arial" w:hAnsi="Arial" w:cs="Arial"/>
          <w:sz w:val="24"/>
          <w:szCs w:val="24"/>
        </w:rPr>
        <w:t xml:space="preserve">We need </w:t>
      </w:r>
      <w:r w:rsidR="004928F9" w:rsidRPr="0019172C">
        <w:rPr>
          <w:rFonts w:ascii="Arial" w:hAnsi="Arial" w:cs="Arial"/>
          <w:sz w:val="24"/>
          <w:szCs w:val="24"/>
        </w:rPr>
        <w:t xml:space="preserve">Government </w:t>
      </w:r>
      <w:r w:rsidRPr="0019172C">
        <w:rPr>
          <w:rFonts w:ascii="Arial" w:hAnsi="Arial" w:cs="Arial"/>
          <w:sz w:val="24"/>
          <w:szCs w:val="24"/>
        </w:rPr>
        <w:t xml:space="preserve">to take the opportunity </w:t>
      </w:r>
      <w:r w:rsidR="00691745">
        <w:rPr>
          <w:rFonts w:ascii="Arial" w:hAnsi="Arial" w:cs="Arial"/>
          <w:sz w:val="24"/>
          <w:szCs w:val="24"/>
        </w:rPr>
        <w:t xml:space="preserve">during COVID-19 </w:t>
      </w:r>
      <w:r w:rsidRPr="0019172C">
        <w:rPr>
          <w:rFonts w:ascii="Arial" w:hAnsi="Arial" w:cs="Arial"/>
          <w:sz w:val="24"/>
          <w:szCs w:val="24"/>
        </w:rPr>
        <w:t>recover</w:t>
      </w:r>
      <w:r w:rsidR="00310C4D" w:rsidRPr="0019172C">
        <w:rPr>
          <w:rFonts w:ascii="Arial" w:hAnsi="Arial" w:cs="Arial"/>
          <w:sz w:val="24"/>
          <w:szCs w:val="24"/>
        </w:rPr>
        <w:t>y</w:t>
      </w:r>
      <w:r w:rsidRPr="0019172C">
        <w:rPr>
          <w:rFonts w:ascii="Arial" w:hAnsi="Arial" w:cs="Arial"/>
          <w:sz w:val="24"/>
          <w:szCs w:val="24"/>
        </w:rPr>
        <w:t xml:space="preserve"> to overhaul a system that does not work for young people with disability and reimage the world where</w:t>
      </w:r>
      <w:r w:rsidR="00CB052C" w:rsidRPr="0019172C">
        <w:rPr>
          <w:rFonts w:ascii="Arial" w:hAnsi="Arial" w:cs="Arial"/>
          <w:sz w:val="24"/>
          <w:szCs w:val="24"/>
        </w:rPr>
        <w:t xml:space="preserve"> there is </w:t>
      </w:r>
      <w:r w:rsidR="00310C4D" w:rsidRPr="0019172C">
        <w:rPr>
          <w:rFonts w:ascii="Arial" w:hAnsi="Arial" w:cs="Arial"/>
          <w:sz w:val="24"/>
          <w:szCs w:val="24"/>
        </w:rPr>
        <w:t>inclusive</w:t>
      </w:r>
      <w:r w:rsidR="00767D04">
        <w:rPr>
          <w:rFonts w:ascii="Arial" w:hAnsi="Arial" w:cs="Arial"/>
          <w:sz w:val="24"/>
          <w:szCs w:val="24"/>
        </w:rPr>
        <w:t xml:space="preserve"> access</w:t>
      </w:r>
      <w:r w:rsidR="00CB052C" w:rsidRPr="0019172C">
        <w:rPr>
          <w:rFonts w:ascii="Arial" w:hAnsi="Arial" w:cs="Arial"/>
          <w:sz w:val="24"/>
          <w:szCs w:val="24"/>
        </w:rPr>
        <w:t xml:space="preserve"> to ensure we give</w:t>
      </w:r>
      <w:r w:rsidRPr="0019172C">
        <w:rPr>
          <w:rFonts w:ascii="Arial" w:hAnsi="Arial" w:cs="Arial"/>
          <w:sz w:val="24"/>
          <w:szCs w:val="24"/>
        </w:rPr>
        <w:t xml:space="preserve"> young people </w:t>
      </w:r>
      <w:r w:rsidR="00CB052C" w:rsidRPr="0019172C">
        <w:rPr>
          <w:rFonts w:ascii="Arial" w:hAnsi="Arial" w:cs="Arial"/>
          <w:sz w:val="24"/>
          <w:szCs w:val="24"/>
        </w:rPr>
        <w:t xml:space="preserve">with disability </w:t>
      </w:r>
      <w:r w:rsidRPr="0019172C">
        <w:rPr>
          <w:rFonts w:ascii="Arial" w:hAnsi="Arial" w:cs="Arial"/>
          <w:sz w:val="24"/>
          <w:szCs w:val="24"/>
        </w:rPr>
        <w:t xml:space="preserve">a </w:t>
      </w:r>
      <w:r w:rsidR="00767D04">
        <w:rPr>
          <w:rFonts w:ascii="Arial" w:hAnsi="Arial" w:cs="Arial"/>
          <w:sz w:val="24"/>
          <w:szCs w:val="24"/>
        </w:rPr>
        <w:t xml:space="preserve">fighting </w:t>
      </w:r>
      <w:r w:rsidRPr="0019172C">
        <w:rPr>
          <w:rFonts w:ascii="Arial" w:hAnsi="Arial" w:cs="Arial"/>
          <w:sz w:val="24"/>
          <w:szCs w:val="24"/>
        </w:rPr>
        <w:t>chance.</w:t>
      </w:r>
    </w:p>
    <w:p w14:paraId="07A50A8A" w14:textId="77777777" w:rsidR="00EB1FEF" w:rsidRPr="0019172C" w:rsidRDefault="00EB1FEF" w:rsidP="00EB1FEF">
      <w:pPr>
        <w:spacing w:after="120"/>
        <w:rPr>
          <w:rFonts w:ascii="Arial" w:hAnsi="Arial" w:cs="Arial"/>
          <w:sz w:val="24"/>
          <w:szCs w:val="24"/>
        </w:rPr>
      </w:pPr>
    </w:p>
    <w:sectPr w:rsidR="00EB1FEF" w:rsidRPr="0019172C" w:rsidSect="008E438B">
      <w:headerReference w:type="default" r:id="rId10"/>
      <w:footerReference w:type="default" r:id="rId11"/>
      <w:pgSz w:w="11906" w:h="16838"/>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A417" w14:textId="77777777" w:rsidR="00E96BC7" w:rsidRDefault="00E96BC7" w:rsidP="005240DC">
      <w:pPr>
        <w:spacing w:after="0" w:line="240" w:lineRule="auto"/>
      </w:pPr>
      <w:r>
        <w:separator/>
      </w:r>
    </w:p>
  </w:endnote>
  <w:endnote w:type="continuationSeparator" w:id="0">
    <w:p w14:paraId="507DF842" w14:textId="77777777" w:rsidR="00E96BC7" w:rsidRDefault="00E96BC7" w:rsidP="005240DC">
      <w:pPr>
        <w:spacing w:after="0" w:line="240" w:lineRule="auto"/>
      </w:pPr>
      <w:r>
        <w:continuationSeparator/>
      </w:r>
    </w:p>
  </w:endnote>
  <w:endnote w:id="1">
    <w:p w14:paraId="196F3985" w14:textId="77777777" w:rsidR="00D0516A" w:rsidRPr="00EB1FEF" w:rsidRDefault="00D0516A" w:rsidP="00767D04">
      <w:pPr>
        <w:pStyle w:val="EndnoteText"/>
        <w:spacing w:after="120"/>
        <w:rPr>
          <w:rFonts w:cstheme="minorHAnsi"/>
          <w:lang w:val="en-US"/>
        </w:rPr>
      </w:pPr>
      <w:r w:rsidRPr="00EB1FEF">
        <w:rPr>
          <w:rStyle w:val="EndnoteReference"/>
          <w:rFonts w:cstheme="minorHAnsi"/>
        </w:rPr>
        <w:endnoteRef/>
      </w:r>
      <w:r w:rsidRPr="00EB1FEF">
        <w:rPr>
          <w:rFonts w:cstheme="minorHAnsi"/>
        </w:rPr>
        <w:t xml:space="preserve"> </w:t>
      </w:r>
      <w:hyperlink r:id="rId1" w:history="1">
        <w:r w:rsidRPr="00D677B5">
          <w:rPr>
            <w:rStyle w:val="Hyperlink"/>
            <w:rFonts w:cstheme="minorHAnsi"/>
          </w:rPr>
          <w:t>www.abc.net.au/news/2020-04-16/history-suggests-youth-unemployment-will-surge-coronavirus/12151668</w:t>
        </w:r>
      </w:hyperlink>
    </w:p>
  </w:endnote>
  <w:endnote w:id="2">
    <w:p w14:paraId="5AFE6C12" w14:textId="77777777" w:rsidR="00D0516A" w:rsidRPr="00CA1BDE" w:rsidRDefault="00D0516A" w:rsidP="00767D04">
      <w:pPr>
        <w:pStyle w:val="EndnoteText"/>
        <w:spacing w:after="120"/>
        <w:rPr>
          <w:rFonts w:cstheme="minorHAnsi"/>
          <w:lang w:val="en-US"/>
        </w:rPr>
      </w:pPr>
      <w:r w:rsidRPr="00EB1FEF">
        <w:rPr>
          <w:rStyle w:val="EndnoteReference"/>
          <w:rFonts w:cstheme="minorHAnsi"/>
        </w:rPr>
        <w:endnoteRef/>
      </w:r>
      <w:r w:rsidRPr="00EB1FEF">
        <w:rPr>
          <w:rFonts w:cstheme="minorHAnsi"/>
        </w:rPr>
        <w:t xml:space="preserve"> Coates, B., Cowgill, M., Chen, T., and Mackey, W. (2020). Shutdown: estimating the COVID-19 employment shock</w:t>
      </w:r>
      <w:r w:rsidRPr="00CA1BDE">
        <w:rPr>
          <w:rFonts w:cstheme="minorHAnsi"/>
        </w:rPr>
        <w:t>. Grattan Institute.</w:t>
      </w:r>
    </w:p>
  </w:endnote>
  <w:endnote w:id="3">
    <w:p w14:paraId="6D84D6B0" w14:textId="77777777" w:rsidR="00D0516A" w:rsidRPr="00CA1BDE" w:rsidRDefault="00D0516A" w:rsidP="00767D04">
      <w:pPr>
        <w:pStyle w:val="EndnoteText"/>
        <w:spacing w:after="120"/>
        <w:rPr>
          <w:rFonts w:cstheme="minorHAnsi"/>
          <w:lang w:val="en-US"/>
        </w:rPr>
      </w:pPr>
      <w:r w:rsidRPr="00CA1BDE">
        <w:rPr>
          <w:rStyle w:val="EndnoteReference"/>
          <w:rFonts w:cstheme="minorHAnsi"/>
        </w:rPr>
        <w:endnoteRef/>
      </w:r>
      <w:r w:rsidRPr="00CA1BDE">
        <w:rPr>
          <w:rFonts w:cstheme="minorHAnsi"/>
        </w:rPr>
        <w:t xml:space="preserve"> </w:t>
      </w:r>
      <w:r w:rsidRPr="00CA1BDE">
        <w:rPr>
          <w:rFonts w:cstheme="minorHAnsi"/>
          <w:color w:val="000000"/>
          <w:shd w:val="clear" w:color="auto" w:fill="FFFFFF"/>
        </w:rPr>
        <w:t>Social Ventures Australia, </w:t>
      </w:r>
      <w:hyperlink r:id="rId2" w:history="1">
        <w:r w:rsidRPr="00CA1BDE">
          <w:rPr>
            <w:rStyle w:val="Hyperlink"/>
            <w:rFonts w:cstheme="minorHAnsi"/>
            <w:i/>
            <w:iCs/>
            <w:color w:val="000000"/>
            <w:bdr w:val="none" w:sz="0" w:space="0" w:color="auto" w:frame="1"/>
            <w:shd w:val="clear" w:color="auto" w:fill="FFFFFF"/>
          </w:rPr>
          <w:t>Future Fair? Securing better quality jobs for young people in Australia</w:t>
        </w:r>
      </w:hyperlink>
      <w:r w:rsidRPr="00CA1BDE">
        <w:rPr>
          <w:rFonts w:cstheme="minorHAnsi"/>
          <w:color w:val="000000"/>
          <w:shd w:val="clear" w:color="auto" w:fill="FFFFFF"/>
        </w:rPr>
        <w:t> p.29, 2019</w:t>
      </w:r>
    </w:p>
  </w:endnote>
  <w:endnote w:id="4">
    <w:p w14:paraId="1C2D0A36" w14:textId="77777777" w:rsidR="00D0516A" w:rsidRPr="00CA1BDE" w:rsidRDefault="00D0516A" w:rsidP="00767D04">
      <w:pPr>
        <w:pStyle w:val="EndnoteText"/>
        <w:spacing w:after="120"/>
        <w:rPr>
          <w:rFonts w:cstheme="minorHAnsi"/>
          <w:lang w:val="en-US"/>
        </w:rPr>
      </w:pPr>
      <w:r w:rsidRPr="00CA1BDE">
        <w:rPr>
          <w:rStyle w:val="EndnoteReference"/>
          <w:rFonts w:cstheme="minorHAnsi"/>
        </w:rPr>
        <w:endnoteRef/>
      </w:r>
      <w:r w:rsidRPr="00CA1BDE">
        <w:rPr>
          <w:rFonts w:cstheme="minorHAnsi"/>
        </w:rPr>
        <w:t xml:space="preserve"> </w:t>
      </w:r>
      <w:r w:rsidRPr="00CA1BDE">
        <w:rPr>
          <w:rFonts w:cstheme="minorHAnsi"/>
          <w:color w:val="000000"/>
          <w:shd w:val="clear" w:color="auto" w:fill="FFFFFF"/>
        </w:rPr>
        <w:t>Peter Butterworth, et al., ‘The psychosocial quality of work determines whether employment has benefits for mental health: results from a longitudinal national household panel survey’, </w:t>
      </w:r>
      <w:r w:rsidRPr="00CA1BDE">
        <w:rPr>
          <w:rStyle w:val="Emphasis"/>
          <w:rFonts w:cstheme="minorHAnsi"/>
          <w:color w:val="000000"/>
          <w:shd w:val="clear" w:color="auto" w:fill="FFFFFF"/>
        </w:rPr>
        <w:t>Occupational and Environmental Medicine</w:t>
      </w:r>
      <w:r w:rsidRPr="00CA1BDE">
        <w:rPr>
          <w:rFonts w:cstheme="minorHAnsi"/>
          <w:color w:val="000000"/>
          <w:shd w:val="clear" w:color="auto" w:fill="FFFFFF"/>
        </w:rPr>
        <w:t>, 68 (11), pp.806–812, 2011</w:t>
      </w:r>
    </w:p>
  </w:endnote>
  <w:endnote w:id="5">
    <w:p w14:paraId="06ED7F3B" w14:textId="77777777" w:rsidR="00D0516A" w:rsidRPr="00CA1BDE" w:rsidRDefault="00D0516A" w:rsidP="00767D04">
      <w:pPr>
        <w:pStyle w:val="EndnoteText"/>
        <w:spacing w:after="120"/>
        <w:rPr>
          <w:rFonts w:cstheme="minorHAnsi"/>
          <w:lang w:val="en-US"/>
        </w:rPr>
      </w:pPr>
      <w:r w:rsidRPr="00CA1BDE">
        <w:rPr>
          <w:rStyle w:val="EndnoteReference"/>
          <w:rFonts w:cstheme="minorHAnsi"/>
          <w:color w:val="000000" w:themeColor="text1"/>
        </w:rPr>
        <w:endnoteRef/>
      </w:r>
      <w:r w:rsidRPr="00CA1BDE">
        <w:rPr>
          <w:rFonts w:cstheme="minorHAnsi"/>
          <w:color w:val="000000" w:themeColor="text1"/>
        </w:rPr>
        <w:t xml:space="preserve"> </w:t>
      </w:r>
      <w:r w:rsidR="00CA1BDE" w:rsidRPr="00CA1BDE">
        <w:rPr>
          <w:rFonts w:cstheme="minorHAnsi"/>
          <w:color w:val="000000" w:themeColor="text1"/>
          <w:shd w:val="clear" w:color="auto" w:fill="FFFFFF"/>
        </w:rPr>
        <w:t xml:space="preserve">National Centre for Vocational Education Research, </w:t>
      </w:r>
      <w:r w:rsidR="00CA1BDE" w:rsidRPr="00CA1BDE">
        <w:rPr>
          <w:rFonts w:cstheme="minorHAnsi"/>
          <w:color w:val="000000" w:themeColor="text1"/>
          <w:shd w:val="clear" w:color="auto" w:fill="FFFFFF"/>
        </w:rPr>
        <w:t>Ranasinghe et al, </w:t>
      </w:r>
      <w:hyperlink r:id="rId3" w:tgtFrame="_blank" w:history="1">
        <w:r w:rsidR="00CA1BDE" w:rsidRPr="00CA1BDE">
          <w:rPr>
            <w:rStyle w:val="Hyperlink"/>
            <w:rFonts w:cstheme="minorHAnsi"/>
            <w:color w:val="000000" w:themeColor="text1"/>
            <w:bdr w:val="none" w:sz="0" w:space="0" w:color="auto" w:frame="1"/>
            <w:shd w:val="clear" w:color="auto" w:fill="FFFFFF"/>
          </w:rPr>
          <w:t>School-to-work pathways.</w:t>
        </w:r>
      </w:hyperlink>
      <w:r w:rsidR="00CA1BDE" w:rsidRPr="00CA1BDE">
        <w:rPr>
          <w:rFonts w:cstheme="minorHAnsi"/>
          <w:color w:val="000000" w:themeColor="text1"/>
          <w:shd w:val="clear" w:color="auto" w:fill="FFFFFF"/>
        </w:rPr>
        <w:t xml:space="preserve"> 2019 from </w:t>
      </w:r>
      <w:hyperlink r:id="rId4" w:history="1">
        <w:r w:rsidRPr="00CA1BDE">
          <w:rPr>
            <w:rStyle w:val="Hyperlink"/>
            <w:rFonts w:cstheme="minorHAnsi"/>
          </w:rPr>
          <w:t>www.socialventures.com.au/sva-quarterly/rebuilding-employment-pathways-for-young-australians/</w:t>
        </w:r>
      </w:hyperlink>
    </w:p>
  </w:endnote>
  <w:endnote w:id="6">
    <w:p w14:paraId="6036A418" w14:textId="77777777" w:rsidR="00D0516A" w:rsidRPr="00EB1FEF" w:rsidRDefault="00D0516A" w:rsidP="00767D04">
      <w:pPr>
        <w:pStyle w:val="EndnoteText"/>
        <w:spacing w:after="120"/>
        <w:rPr>
          <w:rFonts w:cstheme="minorHAnsi"/>
        </w:rPr>
      </w:pPr>
      <w:r w:rsidRPr="00CA1BDE">
        <w:rPr>
          <w:rStyle w:val="EndnoteReference"/>
          <w:rFonts w:cstheme="minorHAnsi"/>
        </w:rPr>
        <w:endnoteRef/>
      </w:r>
      <w:r w:rsidRPr="00CA1BDE">
        <w:rPr>
          <w:rFonts w:cstheme="minorHAnsi"/>
        </w:rPr>
        <w:t xml:space="preserve"> </w:t>
      </w:r>
      <w:r w:rsidRPr="00CA1BDE">
        <w:rPr>
          <w:rFonts w:cstheme="minorHAnsi"/>
        </w:rPr>
        <w:t xml:space="preserve">Siperstein, G, Parker, R &amp; Drascher, M (2013), 'National snapshot of adults with intellectual disabilities in the labor force', </w:t>
      </w:r>
      <w:r w:rsidRPr="00CA1BDE">
        <w:rPr>
          <w:rFonts w:cstheme="minorHAnsi"/>
          <w:i/>
          <w:iCs/>
        </w:rPr>
        <w:t>Journal of Vocational Rehabilitation</w:t>
      </w:r>
      <w:r w:rsidRPr="00EB1FEF">
        <w:rPr>
          <w:rFonts w:cstheme="minorHAnsi"/>
        </w:rPr>
        <w:t>, vol.39, no.3, pp.1-27.</w:t>
      </w:r>
    </w:p>
    <w:p w14:paraId="2B420642" w14:textId="77777777" w:rsidR="00D0516A" w:rsidRPr="00EB1FEF" w:rsidRDefault="00D0516A" w:rsidP="00767D04">
      <w:pPr>
        <w:pStyle w:val="EndnoteText"/>
        <w:spacing w:after="120"/>
        <w:rPr>
          <w:rFonts w:cstheme="minorHAnsi"/>
        </w:rPr>
      </w:pPr>
    </w:p>
  </w:endnote>
  <w:endnote w:id="7">
    <w:p w14:paraId="1EF6EE24" w14:textId="77777777" w:rsidR="00D0516A" w:rsidRPr="00EB1FEF" w:rsidRDefault="00D0516A" w:rsidP="00EB1FEF">
      <w:pPr>
        <w:pStyle w:val="EndnoteText"/>
        <w:spacing w:after="120"/>
        <w:rPr>
          <w:rFonts w:cstheme="minorHAnsi"/>
        </w:rPr>
      </w:pPr>
      <w:r w:rsidRPr="00EB1FEF">
        <w:rPr>
          <w:rStyle w:val="EndnoteReference"/>
          <w:rFonts w:cstheme="minorHAnsi"/>
        </w:rPr>
        <w:endnoteRef/>
      </w:r>
      <w:r w:rsidRPr="00EB1FEF">
        <w:rPr>
          <w:rFonts w:cstheme="minorHAnsi"/>
        </w:rPr>
        <w:t xml:space="preserve"> Emerson E. &amp; Llewellyn G. (2014) </w:t>
      </w:r>
      <w:r w:rsidRPr="00EB1FEF">
        <w:rPr>
          <w:rFonts w:cstheme="minorHAnsi"/>
          <w:i/>
          <w:iCs/>
        </w:rPr>
        <w:t>Left Behind: 2014. Monitoring the Social Inclusion of Young Australians with Disabilities</w:t>
      </w:r>
      <w:r w:rsidRPr="00EB1FEF">
        <w:rPr>
          <w:rFonts w:cstheme="minorHAnsi"/>
        </w:rPr>
        <w:t>. Technical Report 1, 2014. Centre for Disability Research and Policy, University of Sydney, Sydney</w:t>
      </w:r>
    </w:p>
  </w:endnote>
  <w:endnote w:id="8">
    <w:p w14:paraId="021A9E98" w14:textId="77777777" w:rsidR="00D0516A" w:rsidRPr="00EB1FEF" w:rsidRDefault="00D0516A" w:rsidP="00EB1FEF">
      <w:pPr>
        <w:pStyle w:val="EndnoteText"/>
        <w:spacing w:after="120"/>
        <w:rPr>
          <w:rFonts w:cstheme="minorHAnsi"/>
        </w:rPr>
      </w:pPr>
      <w:r w:rsidRPr="00EB1FEF">
        <w:rPr>
          <w:rStyle w:val="EndnoteReference"/>
          <w:rFonts w:cstheme="minorHAnsi"/>
        </w:rPr>
        <w:endnoteRef/>
      </w:r>
      <w:r w:rsidRPr="00EB1FEF">
        <w:rPr>
          <w:rFonts w:cstheme="minorHAnsi"/>
        </w:rPr>
        <w:t xml:space="preserve"> Deloitte Access Economics (2011) The economic benefits of increasing employment for people with disability, Australian Network on Disability  </w:t>
      </w:r>
    </w:p>
  </w:endnote>
  <w:endnote w:id="9">
    <w:p w14:paraId="5242D395" w14:textId="77777777" w:rsidR="00D0516A" w:rsidRPr="00EB1FEF" w:rsidRDefault="00D0516A" w:rsidP="00767D04">
      <w:pPr>
        <w:pStyle w:val="EndnoteText"/>
        <w:spacing w:after="120"/>
        <w:rPr>
          <w:rFonts w:cstheme="minorHAnsi"/>
        </w:rPr>
      </w:pPr>
      <w:r w:rsidRPr="00EB1FEF">
        <w:rPr>
          <w:rStyle w:val="EndnoteReference"/>
          <w:rFonts w:cstheme="minorHAnsi"/>
        </w:rPr>
        <w:endnoteRef/>
      </w:r>
      <w:r w:rsidRPr="00EB1FEF">
        <w:rPr>
          <w:rFonts w:cstheme="minorHAnsi"/>
        </w:rPr>
        <w:t xml:space="preserve"> </w:t>
      </w:r>
      <w:r w:rsidRPr="00EB1FEF">
        <w:rPr>
          <w:rFonts w:cstheme="minorHAnsi"/>
        </w:rPr>
        <w:t xml:space="preserve">Wehman, P. et al. (2014), ‘Predictors of successful transition from school to employment for youth with disabilities’, Journal of Occupational Rehabilitation, vol. 25, no. 2, p. 10, </w:t>
      </w:r>
      <w:hyperlink r:id="rId5" w:history="1">
        <w:r w:rsidRPr="00EB1FEF">
          <w:rPr>
            <w:rStyle w:val="Hyperlink"/>
            <w:rFonts w:cstheme="minorHAnsi"/>
          </w:rPr>
          <w:t>link.springer.com/article/10.1007/s10926-014-9541-6</w:t>
        </w:r>
      </w:hyperlink>
    </w:p>
  </w:endnote>
  <w:endnote w:id="10">
    <w:p w14:paraId="68BBD4F8" w14:textId="77777777" w:rsidR="00D0516A" w:rsidRPr="00EB1FEF" w:rsidRDefault="00D0516A" w:rsidP="00767D04">
      <w:pPr>
        <w:pStyle w:val="EndnoteText"/>
        <w:spacing w:after="120"/>
        <w:rPr>
          <w:rFonts w:cstheme="minorHAnsi"/>
          <w:lang w:val="en-US"/>
        </w:rPr>
      </w:pPr>
      <w:r w:rsidRPr="00EB1FEF">
        <w:rPr>
          <w:rStyle w:val="EndnoteReference"/>
          <w:rFonts w:cstheme="minorHAnsi"/>
        </w:rPr>
        <w:endnoteRef/>
      </w:r>
      <w:r w:rsidRPr="00EB1FEF">
        <w:rPr>
          <w:rFonts w:cstheme="minorHAnsi"/>
        </w:rPr>
        <w:t xml:space="preserve"> </w:t>
      </w:r>
      <w:hyperlink r:id="rId6" w:anchor="_edn7" w:history="1">
        <w:r w:rsidRPr="00D677B5">
          <w:rPr>
            <w:rStyle w:val="Hyperlink"/>
            <w:rFonts w:cstheme="minorHAnsi"/>
          </w:rPr>
          <w:t>www.ceda.com.au/Digital-hub/Blogs/CEDA-Blog/April-2020/Building-a-fairer-Australia-after-COVID-19#_edn7</w:t>
        </w:r>
      </w:hyperlink>
    </w:p>
  </w:endnote>
  <w:endnote w:id="11">
    <w:p w14:paraId="08E616C6" w14:textId="77777777" w:rsidR="00D0516A" w:rsidRPr="00EB1FEF" w:rsidRDefault="00D0516A" w:rsidP="00767D04">
      <w:pPr>
        <w:pStyle w:val="EndnoteText"/>
        <w:spacing w:after="120"/>
        <w:rPr>
          <w:rFonts w:cstheme="minorHAnsi"/>
          <w:lang w:val="en-US"/>
        </w:rPr>
      </w:pPr>
      <w:r w:rsidRPr="00EB1FEF">
        <w:rPr>
          <w:rStyle w:val="EndnoteReference"/>
          <w:rFonts w:cstheme="minorHAnsi"/>
        </w:rPr>
        <w:endnoteRef/>
      </w:r>
      <w:r w:rsidRPr="00EB1FEF">
        <w:rPr>
          <w:rFonts w:cstheme="minorHAnsi"/>
        </w:rPr>
        <w:t xml:space="preserve"> </w:t>
      </w:r>
      <w:r w:rsidRPr="00EB1FEF">
        <w:rPr>
          <w:rFonts w:cstheme="minorHAnsi"/>
          <w:color w:val="58595B"/>
          <w:shd w:val="clear" w:color="auto" w:fill="FFFFFF"/>
        </w:rPr>
        <w:t xml:space="preserve">The Committee for Economic Development (CEDA) 2020 </w:t>
      </w:r>
      <w:hyperlink r:id="rId7" w:anchor="_edn7" w:history="1">
        <w:r w:rsidRPr="00EB1FEF">
          <w:rPr>
            <w:rStyle w:val="Hyperlink"/>
            <w:rFonts w:cstheme="minorHAnsi"/>
            <w:shd w:val="clear" w:color="auto" w:fill="FFFFFF"/>
          </w:rPr>
          <w:t>‘Building a fairer Australia after COVID 19’</w:t>
        </w:r>
      </w:hyperlink>
      <w:hyperlink w:history="1">
        <w:r w:rsidRPr="00EB1FEF">
          <w:rPr>
            <w:rStyle w:val="Hyperlink"/>
            <w:rFonts w:cstheme="minorHAnsi"/>
          </w:rPr>
          <w:t xml:space="preserve"> www.ceda.com.au/Digital-hub/Blogs/CEDA-Blog/April-2020/Building-a-fairer-Australia-after-COVID-19#_edn7</w:t>
        </w:r>
      </w:hyperlink>
    </w:p>
  </w:endnote>
  <w:endnote w:id="12">
    <w:p w14:paraId="7E0453E3" w14:textId="77777777" w:rsidR="00D0516A" w:rsidRPr="00347AB9" w:rsidRDefault="00D0516A" w:rsidP="00767D04">
      <w:pPr>
        <w:spacing w:after="120" w:line="240" w:lineRule="auto"/>
        <w:rPr>
          <w:rFonts w:ascii="Arial" w:hAnsi="Arial" w:cs="Arial"/>
          <w:sz w:val="20"/>
          <w:szCs w:val="20"/>
        </w:rPr>
      </w:pPr>
      <w:r w:rsidRPr="00EB1FEF">
        <w:rPr>
          <w:rStyle w:val="EndnoteReference"/>
          <w:rFonts w:cstheme="minorHAnsi"/>
          <w:sz w:val="20"/>
          <w:szCs w:val="20"/>
        </w:rPr>
        <w:endnoteRef/>
      </w:r>
      <w:r w:rsidRPr="00EB1FEF">
        <w:rPr>
          <w:rFonts w:cstheme="minorHAnsi"/>
          <w:sz w:val="20"/>
          <w:szCs w:val="20"/>
        </w:rPr>
        <w:t xml:space="preserve"> </w:t>
      </w:r>
      <w:r w:rsidRPr="00EB1FEF">
        <w:rPr>
          <w:rFonts w:cstheme="minorHAnsi"/>
          <w:sz w:val="20"/>
          <w:szCs w:val="20"/>
        </w:rPr>
        <w:t>Sonnemann, J. and Goss, P. (2020). COVID catch-up: helping disadvantaged students close the equity gap. Grattan Institute.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23933"/>
      <w:docPartObj>
        <w:docPartGallery w:val="Page Numbers (Bottom of Page)"/>
        <w:docPartUnique/>
      </w:docPartObj>
    </w:sdtPr>
    <w:sdtEndPr>
      <w:rPr>
        <w:noProof/>
      </w:rPr>
    </w:sdtEndPr>
    <w:sdtContent>
      <w:p w14:paraId="3FC601E8" w14:textId="77777777" w:rsidR="00D0516A" w:rsidRDefault="00D0516A">
        <w:pPr>
          <w:pStyle w:val="Footer"/>
          <w:jc w:val="center"/>
        </w:pPr>
        <w:r>
          <w:fldChar w:fldCharType="begin"/>
        </w:r>
        <w:r>
          <w:instrText xml:space="preserve"> PAGE   \* MERGEFORMAT </w:instrText>
        </w:r>
        <w:r>
          <w:fldChar w:fldCharType="separate"/>
        </w:r>
        <w:r w:rsidR="008A44E2">
          <w:rPr>
            <w:noProof/>
          </w:rPr>
          <w:t>3</w:t>
        </w:r>
        <w:r>
          <w:rPr>
            <w:noProof/>
          </w:rPr>
          <w:fldChar w:fldCharType="end"/>
        </w:r>
      </w:p>
    </w:sdtContent>
  </w:sdt>
  <w:p w14:paraId="2A4405E9" w14:textId="77777777" w:rsidR="00D0516A" w:rsidRDefault="00D05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0E2C" w14:textId="77777777" w:rsidR="00E96BC7" w:rsidRDefault="00E96BC7" w:rsidP="005240DC">
      <w:pPr>
        <w:spacing w:after="0" w:line="240" w:lineRule="auto"/>
      </w:pPr>
      <w:r>
        <w:separator/>
      </w:r>
    </w:p>
  </w:footnote>
  <w:footnote w:type="continuationSeparator" w:id="0">
    <w:p w14:paraId="384FE0F1" w14:textId="77777777" w:rsidR="00E96BC7" w:rsidRDefault="00E96BC7" w:rsidP="00524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DFB0" w14:textId="64850B06" w:rsidR="008E438B" w:rsidRDefault="008E438B" w:rsidP="008E438B">
    <w:pPr>
      <w:tabs>
        <w:tab w:val="right" w:pos="8931"/>
      </w:tabs>
      <w:spacing w:before="240" w:after="240"/>
      <w:rPr>
        <w:rFonts w:ascii="Arial" w:hAnsi="Arial" w:cs="Arial"/>
        <w:bCs/>
        <w:lang w:val="en-US"/>
      </w:rPr>
    </w:pPr>
    <w:r>
      <w:rPr>
        <w:rFonts w:ascii="Arial" w:hAnsi="Arial" w:cs="Arial"/>
        <w:bCs/>
        <w:lang w:val="en-US"/>
      </w:rPr>
      <w:tab/>
    </w:r>
    <w:r w:rsidRPr="00A72728">
      <w:rPr>
        <w:rFonts w:ascii="Arial" w:hAnsi="Arial" w:cs="Arial"/>
        <w:noProof/>
        <w:lang w:val="en-US"/>
      </w:rPr>
      <w:drawing>
        <wp:inline distT="0" distB="0" distL="0" distR="0" wp14:anchorId="62A25F45" wp14:editId="0A2DC870">
          <wp:extent cx="1400175" cy="890087"/>
          <wp:effectExtent l="0" t="0" r="0" b="5715"/>
          <wp:docPr id="3" name="Picture 3"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ATIONAL COMMS\_Style Guides\Ticket to Work\Logos\Ticket to Work TM logo_RGB_Larg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76" t="17900" r="14007" b="20048"/>
                  <a:stretch/>
                </pic:blipFill>
                <pic:spPr bwMode="auto">
                  <a:xfrm>
                    <a:off x="0" y="0"/>
                    <a:ext cx="1409913" cy="896277"/>
                  </a:xfrm>
                  <a:prstGeom prst="rect">
                    <a:avLst/>
                  </a:prstGeom>
                  <a:noFill/>
                  <a:ln>
                    <a:noFill/>
                  </a:ln>
                  <a:extLst>
                    <a:ext uri="{53640926-AAD7-44D8-BBD7-CCE9431645EC}">
                      <a14:shadowObscured xmlns:a14="http://schemas.microsoft.com/office/drawing/2010/main"/>
                    </a:ext>
                  </a:extLst>
                </pic:spPr>
              </pic:pic>
            </a:graphicData>
          </a:graphic>
        </wp:inline>
      </w:drawing>
    </w:r>
  </w:p>
  <w:p w14:paraId="202136A2" w14:textId="77777777" w:rsidR="004F165A" w:rsidRPr="008E438B" w:rsidRDefault="004F165A" w:rsidP="008E4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cs="Times New Roman"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 w15:restartNumberingAfterBreak="0">
    <w:nsid w:val="1B0B254D"/>
    <w:multiLevelType w:val="hybridMultilevel"/>
    <w:tmpl w:val="7564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3436B"/>
    <w:multiLevelType w:val="hybridMultilevel"/>
    <w:tmpl w:val="94D65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F763CB"/>
    <w:multiLevelType w:val="hybridMultilevel"/>
    <w:tmpl w:val="72909D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A26B34"/>
    <w:multiLevelType w:val="hybridMultilevel"/>
    <w:tmpl w:val="570E4ADA"/>
    <w:lvl w:ilvl="0" w:tplc="198A2D9C">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1C33CC"/>
    <w:multiLevelType w:val="hybridMultilevel"/>
    <w:tmpl w:val="8FF42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363000"/>
    <w:multiLevelType w:val="hybridMultilevel"/>
    <w:tmpl w:val="632644A4"/>
    <w:lvl w:ilvl="0" w:tplc="11008D7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F4C03D0"/>
    <w:multiLevelType w:val="hybridMultilevel"/>
    <w:tmpl w:val="03C6441E"/>
    <w:lvl w:ilvl="0" w:tplc="08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DEB68DD"/>
    <w:multiLevelType w:val="hybridMultilevel"/>
    <w:tmpl w:val="46CC7006"/>
    <w:lvl w:ilvl="0" w:tplc="0C090001">
      <w:start w:val="1"/>
      <w:numFmt w:val="bullet"/>
      <w:lvlText w:val=""/>
      <w:lvlJc w:val="left"/>
      <w:pPr>
        <w:ind w:left="23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6"/>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DC"/>
    <w:rsid w:val="000205C9"/>
    <w:rsid w:val="00030365"/>
    <w:rsid w:val="0005203B"/>
    <w:rsid w:val="00153722"/>
    <w:rsid w:val="001753B5"/>
    <w:rsid w:val="0019172C"/>
    <w:rsid w:val="00310C4D"/>
    <w:rsid w:val="00325EF1"/>
    <w:rsid w:val="003A02DF"/>
    <w:rsid w:val="003A512F"/>
    <w:rsid w:val="003F0BAB"/>
    <w:rsid w:val="004203D7"/>
    <w:rsid w:val="00466FE9"/>
    <w:rsid w:val="00470293"/>
    <w:rsid w:val="004928F9"/>
    <w:rsid w:val="004F1158"/>
    <w:rsid w:val="004F165A"/>
    <w:rsid w:val="005148F6"/>
    <w:rsid w:val="005240DC"/>
    <w:rsid w:val="005246B0"/>
    <w:rsid w:val="00612B73"/>
    <w:rsid w:val="006141BA"/>
    <w:rsid w:val="00691745"/>
    <w:rsid w:val="006A0D08"/>
    <w:rsid w:val="00767D04"/>
    <w:rsid w:val="0080259F"/>
    <w:rsid w:val="0083148B"/>
    <w:rsid w:val="00842A69"/>
    <w:rsid w:val="00851E72"/>
    <w:rsid w:val="008A44E2"/>
    <w:rsid w:val="008C17E8"/>
    <w:rsid w:val="008C41FD"/>
    <w:rsid w:val="008E438B"/>
    <w:rsid w:val="009A7498"/>
    <w:rsid w:val="00A03660"/>
    <w:rsid w:val="00A11A7A"/>
    <w:rsid w:val="00A33CDD"/>
    <w:rsid w:val="00A37CC0"/>
    <w:rsid w:val="00A54B24"/>
    <w:rsid w:val="00A65D61"/>
    <w:rsid w:val="00AC08E7"/>
    <w:rsid w:val="00AE4CD2"/>
    <w:rsid w:val="00B37F61"/>
    <w:rsid w:val="00B415A7"/>
    <w:rsid w:val="00BC79BE"/>
    <w:rsid w:val="00BE2AFB"/>
    <w:rsid w:val="00C265FD"/>
    <w:rsid w:val="00C711B4"/>
    <w:rsid w:val="00C714C2"/>
    <w:rsid w:val="00CA1BDE"/>
    <w:rsid w:val="00CA308D"/>
    <w:rsid w:val="00CB052C"/>
    <w:rsid w:val="00CF03A1"/>
    <w:rsid w:val="00D0516A"/>
    <w:rsid w:val="00D812CF"/>
    <w:rsid w:val="00DB1C11"/>
    <w:rsid w:val="00DB2E4C"/>
    <w:rsid w:val="00DD65CC"/>
    <w:rsid w:val="00DF5580"/>
    <w:rsid w:val="00E1242A"/>
    <w:rsid w:val="00E251AE"/>
    <w:rsid w:val="00E27D18"/>
    <w:rsid w:val="00E36B51"/>
    <w:rsid w:val="00E52DAD"/>
    <w:rsid w:val="00E96BC7"/>
    <w:rsid w:val="00EB1FEF"/>
    <w:rsid w:val="00EB5F64"/>
    <w:rsid w:val="00EB6AB1"/>
    <w:rsid w:val="00F03471"/>
    <w:rsid w:val="00F74D46"/>
    <w:rsid w:val="00FC0EFD"/>
    <w:rsid w:val="00FE2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1B64C0"/>
  <w15:chartTrackingRefBased/>
  <w15:docId w15:val="{FDD4E40D-F8F7-4918-AB62-9557A2DA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36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240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40DC"/>
    <w:rPr>
      <w:sz w:val="20"/>
      <w:szCs w:val="20"/>
    </w:rPr>
  </w:style>
  <w:style w:type="character" w:styleId="Hyperlink">
    <w:name w:val="Hyperlink"/>
    <w:basedOn w:val="DefaultParagraphFont"/>
    <w:uiPriority w:val="99"/>
    <w:unhideWhenUsed/>
    <w:rsid w:val="005240DC"/>
    <w:rPr>
      <w:color w:val="0563C1" w:themeColor="hyperlink"/>
      <w:u w:val="single"/>
    </w:rPr>
  </w:style>
  <w:style w:type="character" w:styleId="Emphasis">
    <w:name w:val="Emphasis"/>
    <w:basedOn w:val="DefaultParagraphFont"/>
    <w:uiPriority w:val="20"/>
    <w:qFormat/>
    <w:rsid w:val="005240DC"/>
    <w:rPr>
      <w:i/>
      <w:iCs/>
    </w:rPr>
  </w:style>
  <w:style w:type="character" w:styleId="EndnoteReference">
    <w:name w:val="endnote reference"/>
    <w:basedOn w:val="DefaultParagraphFont"/>
    <w:uiPriority w:val="99"/>
    <w:semiHidden/>
    <w:unhideWhenUsed/>
    <w:rsid w:val="005240DC"/>
    <w:rPr>
      <w:vertAlign w:val="superscript"/>
    </w:rPr>
  </w:style>
  <w:style w:type="character" w:styleId="CommentReference">
    <w:name w:val="annotation reference"/>
    <w:basedOn w:val="DefaultParagraphFont"/>
    <w:uiPriority w:val="99"/>
    <w:semiHidden/>
    <w:unhideWhenUsed/>
    <w:rsid w:val="00DB1C11"/>
    <w:rPr>
      <w:sz w:val="16"/>
      <w:szCs w:val="16"/>
    </w:rPr>
  </w:style>
  <w:style w:type="paragraph" w:styleId="CommentText">
    <w:name w:val="annotation text"/>
    <w:basedOn w:val="Normal"/>
    <w:link w:val="CommentTextChar"/>
    <w:uiPriority w:val="99"/>
    <w:semiHidden/>
    <w:unhideWhenUsed/>
    <w:rsid w:val="00DB1C11"/>
    <w:pPr>
      <w:spacing w:line="240" w:lineRule="auto"/>
    </w:pPr>
    <w:rPr>
      <w:sz w:val="20"/>
      <w:szCs w:val="20"/>
    </w:rPr>
  </w:style>
  <w:style w:type="character" w:customStyle="1" w:styleId="CommentTextChar">
    <w:name w:val="Comment Text Char"/>
    <w:basedOn w:val="DefaultParagraphFont"/>
    <w:link w:val="CommentText"/>
    <w:uiPriority w:val="99"/>
    <w:semiHidden/>
    <w:rsid w:val="00DB1C11"/>
    <w:rPr>
      <w:sz w:val="20"/>
      <w:szCs w:val="20"/>
    </w:rPr>
  </w:style>
  <w:style w:type="paragraph" w:styleId="CommentSubject">
    <w:name w:val="annotation subject"/>
    <w:basedOn w:val="CommentText"/>
    <w:next w:val="CommentText"/>
    <w:link w:val="CommentSubjectChar"/>
    <w:uiPriority w:val="99"/>
    <w:semiHidden/>
    <w:unhideWhenUsed/>
    <w:rsid w:val="00DB1C11"/>
    <w:rPr>
      <w:b/>
      <w:bCs/>
    </w:rPr>
  </w:style>
  <w:style w:type="character" w:customStyle="1" w:styleId="CommentSubjectChar">
    <w:name w:val="Comment Subject Char"/>
    <w:basedOn w:val="CommentTextChar"/>
    <w:link w:val="CommentSubject"/>
    <w:uiPriority w:val="99"/>
    <w:semiHidden/>
    <w:rsid w:val="00DB1C11"/>
    <w:rPr>
      <w:b/>
      <w:bCs/>
      <w:sz w:val="20"/>
      <w:szCs w:val="20"/>
    </w:rPr>
  </w:style>
  <w:style w:type="paragraph" w:styleId="BalloonText">
    <w:name w:val="Balloon Text"/>
    <w:basedOn w:val="Normal"/>
    <w:link w:val="BalloonTextChar"/>
    <w:uiPriority w:val="99"/>
    <w:semiHidden/>
    <w:unhideWhenUsed/>
    <w:rsid w:val="00DB1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C11"/>
    <w:rPr>
      <w:rFonts w:ascii="Segoe UI" w:hAnsi="Segoe UI" w:cs="Segoe UI"/>
      <w:sz w:val="18"/>
      <w:szCs w:val="18"/>
    </w:rPr>
  </w:style>
  <w:style w:type="paragraph" w:styleId="Revision">
    <w:name w:val="Revision"/>
    <w:hidden/>
    <w:uiPriority w:val="99"/>
    <w:semiHidden/>
    <w:rsid w:val="00F74D46"/>
    <w:pPr>
      <w:spacing w:after="0" w:line="240" w:lineRule="auto"/>
    </w:pPr>
  </w:style>
  <w:style w:type="paragraph" w:styleId="NormalWeb">
    <w:name w:val="Normal (Web)"/>
    <w:basedOn w:val="Normal"/>
    <w:uiPriority w:val="99"/>
    <w:unhideWhenUsed/>
    <w:rsid w:val="00CA30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3660"/>
    <w:rPr>
      <w:rFonts w:ascii="Times New Roman" w:eastAsia="Times New Roman" w:hAnsi="Times New Roman" w:cs="Times New Roman"/>
      <w:b/>
      <w:bCs/>
      <w:kern w:val="36"/>
      <w:sz w:val="48"/>
      <w:szCs w:val="48"/>
      <w:lang w:eastAsia="en-AU"/>
    </w:rPr>
  </w:style>
  <w:style w:type="paragraph" w:styleId="FootnoteText">
    <w:name w:val="footnote text"/>
    <w:basedOn w:val="Normal"/>
    <w:link w:val="FootnoteTextChar"/>
    <w:uiPriority w:val="99"/>
    <w:semiHidden/>
    <w:unhideWhenUsed/>
    <w:rsid w:val="00C265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5FD"/>
    <w:rPr>
      <w:sz w:val="20"/>
      <w:szCs w:val="20"/>
    </w:rPr>
  </w:style>
  <w:style w:type="character" w:styleId="FootnoteReference">
    <w:name w:val="footnote reference"/>
    <w:basedOn w:val="DefaultParagraphFont"/>
    <w:uiPriority w:val="99"/>
    <w:semiHidden/>
    <w:unhideWhenUsed/>
    <w:rsid w:val="00C265FD"/>
    <w:rPr>
      <w:vertAlign w:val="superscript"/>
    </w:rPr>
  </w:style>
  <w:style w:type="paragraph" w:styleId="ListParagraph">
    <w:name w:val="List Paragraph"/>
    <w:basedOn w:val="Normal"/>
    <w:uiPriority w:val="34"/>
    <w:qFormat/>
    <w:rsid w:val="008C41FD"/>
    <w:pPr>
      <w:ind w:left="720"/>
      <w:contextualSpacing/>
    </w:pPr>
  </w:style>
  <w:style w:type="character" w:customStyle="1" w:styleId="BulletlistChar">
    <w:name w:val="Bullet list Char"/>
    <w:basedOn w:val="DefaultParagraphFont"/>
    <w:link w:val="Bulletlist"/>
    <w:locked/>
    <w:rsid w:val="008C41FD"/>
    <w:rPr>
      <w:rFonts w:ascii="Arial" w:hAnsi="Arial" w:cs="Arial"/>
      <w:sz w:val="20"/>
    </w:rPr>
  </w:style>
  <w:style w:type="paragraph" w:customStyle="1" w:styleId="Bulletlist">
    <w:name w:val="Bullet list"/>
    <w:basedOn w:val="NoSpacing"/>
    <w:link w:val="BulletlistChar"/>
    <w:qFormat/>
    <w:rsid w:val="008C41FD"/>
    <w:pPr>
      <w:numPr>
        <w:numId w:val="4"/>
      </w:numPr>
      <w:spacing w:after="120" w:line="268" w:lineRule="auto"/>
    </w:pPr>
    <w:rPr>
      <w:rFonts w:ascii="Arial" w:hAnsi="Arial" w:cs="Arial"/>
      <w:sz w:val="20"/>
    </w:rPr>
  </w:style>
  <w:style w:type="paragraph" w:styleId="NoSpacing">
    <w:name w:val="No Spacing"/>
    <w:uiPriority w:val="1"/>
    <w:qFormat/>
    <w:rsid w:val="008C41FD"/>
    <w:pPr>
      <w:spacing w:after="0" w:line="240" w:lineRule="auto"/>
    </w:pPr>
  </w:style>
  <w:style w:type="paragraph" w:styleId="ListBullet">
    <w:name w:val="List Bullet"/>
    <w:basedOn w:val="Normal"/>
    <w:uiPriority w:val="99"/>
    <w:unhideWhenUsed/>
    <w:qFormat/>
    <w:rsid w:val="00A65D61"/>
    <w:pPr>
      <w:numPr>
        <w:numId w:val="7"/>
      </w:numPr>
      <w:spacing w:after="0" w:line="240" w:lineRule="auto"/>
    </w:pPr>
    <w:rPr>
      <w:rFonts w:ascii="Segoe UI" w:eastAsia="Calibri" w:hAnsi="Segoe UI" w:cs="Times New Roman"/>
    </w:rPr>
  </w:style>
  <w:style w:type="paragraph" w:customStyle="1" w:styleId="Listdashlevel2">
    <w:name w:val="List dash (level 2)"/>
    <w:basedOn w:val="Normal"/>
    <w:uiPriority w:val="99"/>
    <w:qFormat/>
    <w:rsid w:val="00A65D61"/>
    <w:pPr>
      <w:numPr>
        <w:ilvl w:val="1"/>
        <w:numId w:val="7"/>
      </w:numPr>
      <w:spacing w:after="0" w:line="240" w:lineRule="auto"/>
    </w:pPr>
    <w:rPr>
      <w:rFonts w:ascii="Segoe UI" w:eastAsia="Calibri" w:hAnsi="Segoe UI" w:cs="Times New Roman"/>
    </w:rPr>
  </w:style>
  <w:style w:type="numbering" w:customStyle="1" w:styleId="Bullets">
    <w:name w:val="Bullets"/>
    <w:uiPriority w:val="99"/>
    <w:rsid w:val="00A65D61"/>
    <w:pPr>
      <w:numPr>
        <w:numId w:val="7"/>
      </w:numPr>
    </w:pPr>
  </w:style>
  <w:style w:type="paragraph" w:styleId="Header">
    <w:name w:val="header"/>
    <w:basedOn w:val="Normal"/>
    <w:link w:val="HeaderChar"/>
    <w:uiPriority w:val="99"/>
    <w:unhideWhenUsed/>
    <w:rsid w:val="00420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3D7"/>
  </w:style>
  <w:style w:type="paragraph" w:styleId="Footer">
    <w:name w:val="footer"/>
    <w:basedOn w:val="Normal"/>
    <w:link w:val="FooterChar"/>
    <w:uiPriority w:val="99"/>
    <w:unhideWhenUsed/>
    <w:rsid w:val="00420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3D7"/>
  </w:style>
  <w:style w:type="character" w:styleId="FollowedHyperlink">
    <w:name w:val="FollowedHyperlink"/>
    <w:basedOn w:val="DefaultParagraphFont"/>
    <w:uiPriority w:val="99"/>
    <w:semiHidden/>
    <w:unhideWhenUsed/>
    <w:rsid w:val="004F1158"/>
    <w:rPr>
      <w:color w:val="954F72" w:themeColor="followedHyperlink"/>
      <w:u w:val="single"/>
    </w:rPr>
  </w:style>
  <w:style w:type="paragraph" w:customStyle="1" w:styleId="1szqc">
    <w:name w:val="_1szqc"/>
    <w:basedOn w:val="Normal"/>
    <w:rsid w:val="0019172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2490">
      <w:bodyDiv w:val="1"/>
      <w:marLeft w:val="0"/>
      <w:marRight w:val="0"/>
      <w:marTop w:val="0"/>
      <w:marBottom w:val="0"/>
      <w:divBdr>
        <w:top w:val="none" w:sz="0" w:space="0" w:color="auto"/>
        <w:left w:val="none" w:sz="0" w:space="0" w:color="auto"/>
        <w:bottom w:val="none" w:sz="0" w:space="0" w:color="auto"/>
        <w:right w:val="none" w:sz="0" w:space="0" w:color="auto"/>
      </w:divBdr>
    </w:div>
    <w:div w:id="108398990">
      <w:bodyDiv w:val="1"/>
      <w:marLeft w:val="0"/>
      <w:marRight w:val="0"/>
      <w:marTop w:val="0"/>
      <w:marBottom w:val="0"/>
      <w:divBdr>
        <w:top w:val="none" w:sz="0" w:space="0" w:color="auto"/>
        <w:left w:val="none" w:sz="0" w:space="0" w:color="auto"/>
        <w:bottom w:val="none" w:sz="0" w:space="0" w:color="auto"/>
        <w:right w:val="none" w:sz="0" w:space="0" w:color="auto"/>
      </w:divBdr>
    </w:div>
    <w:div w:id="525101871">
      <w:bodyDiv w:val="1"/>
      <w:marLeft w:val="0"/>
      <w:marRight w:val="0"/>
      <w:marTop w:val="0"/>
      <w:marBottom w:val="0"/>
      <w:divBdr>
        <w:top w:val="none" w:sz="0" w:space="0" w:color="auto"/>
        <w:left w:val="none" w:sz="0" w:space="0" w:color="auto"/>
        <w:bottom w:val="none" w:sz="0" w:space="0" w:color="auto"/>
        <w:right w:val="none" w:sz="0" w:space="0" w:color="auto"/>
      </w:divBdr>
    </w:div>
    <w:div w:id="661617634">
      <w:bodyDiv w:val="1"/>
      <w:marLeft w:val="0"/>
      <w:marRight w:val="0"/>
      <w:marTop w:val="0"/>
      <w:marBottom w:val="0"/>
      <w:divBdr>
        <w:top w:val="none" w:sz="0" w:space="0" w:color="auto"/>
        <w:left w:val="none" w:sz="0" w:space="0" w:color="auto"/>
        <w:bottom w:val="none" w:sz="0" w:space="0" w:color="auto"/>
        <w:right w:val="none" w:sz="0" w:space="0" w:color="auto"/>
      </w:divBdr>
    </w:div>
    <w:div w:id="978269399">
      <w:bodyDiv w:val="1"/>
      <w:marLeft w:val="0"/>
      <w:marRight w:val="0"/>
      <w:marTop w:val="0"/>
      <w:marBottom w:val="0"/>
      <w:divBdr>
        <w:top w:val="none" w:sz="0" w:space="0" w:color="auto"/>
        <w:left w:val="none" w:sz="0" w:space="0" w:color="auto"/>
        <w:bottom w:val="none" w:sz="0" w:space="0" w:color="auto"/>
        <w:right w:val="none" w:sz="0" w:space="0" w:color="auto"/>
      </w:divBdr>
    </w:div>
    <w:div w:id="1385791450">
      <w:bodyDiv w:val="1"/>
      <w:marLeft w:val="0"/>
      <w:marRight w:val="0"/>
      <w:marTop w:val="0"/>
      <w:marBottom w:val="0"/>
      <w:divBdr>
        <w:top w:val="none" w:sz="0" w:space="0" w:color="auto"/>
        <w:left w:val="none" w:sz="0" w:space="0" w:color="auto"/>
        <w:bottom w:val="none" w:sz="0" w:space="0" w:color="auto"/>
        <w:right w:val="none" w:sz="0" w:space="0" w:color="auto"/>
      </w:divBdr>
    </w:div>
    <w:div w:id="1677078043">
      <w:bodyDiv w:val="1"/>
      <w:marLeft w:val="0"/>
      <w:marRight w:val="0"/>
      <w:marTop w:val="0"/>
      <w:marBottom w:val="0"/>
      <w:divBdr>
        <w:top w:val="none" w:sz="0" w:space="0" w:color="auto"/>
        <w:left w:val="none" w:sz="0" w:space="0" w:color="auto"/>
        <w:bottom w:val="none" w:sz="0" w:space="0" w:color="auto"/>
        <w:right w:val="none" w:sz="0" w:space="0" w:color="auto"/>
      </w:divBdr>
    </w:div>
    <w:div w:id="2046170106">
      <w:bodyDiv w:val="1"/>
      <w:marLeft w:val="0"/>
      <w:marRight w:val="0"/>
      <w:marTop w:val="0"/>
      <w:marBottom w:val="0"/>
      <w:divBdr>
        <w:top w:val="none" w:sz="0" w:space="0" w:color="auto"/>
        <w:left w:val="none" w:sz="0" w:space="0" w:color="auto"/>
        <w:bottom w:val="none" w:sz="0" w:space="0" w:color="auto"/>
        <w:right w:val="none" w:sz="0" w:space="0" w:color="auto"/>
      </w:divBdr>
    </w:div>
    <w:div w:id="21161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da.com.au/Digital-hub/Blogs/CEDA-Blog/April-2020/Building-a-fairer-Australia-after-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c.gov.au/framework-place-based-approache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ncver.edu.au/research-and-statistics/publications/all-publications/school-to-work-pathways" TargetMode="External"/><Relationship Id="rId7" Type="http://schemas.openxmlformats.org/officeDocument/2006/relationships/hyperlink" Target="https://www.ceda.com.au/Digital-hub/Blogs/CEDA-Blog/April-2020/Building-a-fairer-Australia-after-COVID-19" TargetMode="External"/><Relationship Id="rId2" Type="http://schemas.openxmlformats.org/officeDocument/2006/relationships/hyperlink" Target="https://www.socialventures.com.au/work/future-fair-report/" TargetMode="External"/><Relationship Id="rId1" Type="http://schemas.openxmlformats.org/officeDocument/2006/relationships/hyperlink" Target="http://www.abc.net.au/news/2020-04-16/history-suggests-youth-unemployment-will-surge-coronavirus/12151668" TargetMode="External"/><Relationship Id="rId6" Type="http://schemas.openxmlformats.org/officeDocument/2006/relationships/hyperlink" Target="http://www.ceda.com.au/Digital-hub/Blogs/CEDA-Blog/April-2020/Building-a-fairer-Australia-after-COVID-19" TargetMode="External"/><Relationship Id="rId5" Type="http://schemas.openxmlformats.org/officeDocument/2006/relationships/hyperlink" Target="https://link.springer.com/article/10.1007/s10926-014-9541-6" TargetMode="External"/><Relationship Id="rId4" Type="http://schemas.openxmlformats.org/officeDocument/2006/relationships/hyperlink" Target="http://www.socialventures.com.au/sva-quarterly/rebuilding-employment-pathways-for-young-australi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606D-ABA0-4452-B659-0A195DC5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dc:description/>
  <cp:lastModifiedBy>Samantha Trent</cp:lastModifiedBy>
  <cp:revision>2</cp:revision>
  <dcterms:created xsi:type="dcterms:W3CDTF">2021-12-14T01:45:00Z</dcterms:created>
  <dcterms:modified xsi:type="dcterms:W3CDTF">2021-12-14T01:45:00Z</dcterms:modified>
</cp:coreProperties>
</file>