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C006" w14:textId="77777777" w:rsidR="005240DC" w:rsidRDefault="005240DC" w:rsidP="00EB1FEF">
      <w:pPr>
        <w:spacing w:after="120"/>
        <w:rPr>
          <w:rFonts w:ascii="Arial" w:hAnsi="Arial" w:cs="Arial"/>
          <w:b/>
          <w:sz w:val="32"/>
          <w:szCs w:val="32"/>
        </w:rPr>
      </w:pPr>
      <w:r w:rsidRPr="005240DC">
        <w:rPr>
          <w:rFonts w:ascii="Arial" w:hAnsi="Arial" w:cs="Arial"/>
          <w:b/>
          <w:sz w:val="32"/>
          <w:szCs w:val="32"/>
        </w:rPr>
        <w:t>COVID</w:t>
      </w:r>
      <w:r w:rsidR="0005203B">
        <w:rPr>
          <w:rFonts w:ascii="Arial" w:hAnsi="Arial" w:cs="Arial"/>
          <w:b/>
          <w:sz w:val="32"/>
          <w:szCs w:val="32"/>
        </w:rPr>
        <w:t>-19</w:t>
      </w:r>
      <w:r w:rsidRPr="005240DC">
        <w:rPr>
          <w:rFonts w:ascii="Arial" w:hAnsi="Arial" w:cs="Arial"/>
          <w:b/>
          <w:sz w:val="32"/>
          <w:szCs w:val="32"/>
        </w:rPr>
        <w:t xml:space="preserve"> </w:t>
      </w:r>
      <w:r w:rsidR="001753B5">
        <w:rPr>
          <w:rFonts w:ascii="Arial" w:hAnsi="Arial" w:cs="Arial"/>
          <w:b/>
          <w:sz w:val="32"/>
          <w:szCs w:val="32"/>
        </w:rPr>
        <w:t xml:space="preserve">and </w:t>
      </w:r>
      <w:r w:rsidR="008C41FD">
        <w:rPr>
          <w:rFonts w:ascii="Arial" w:hAnsi="Arial" w:cs="Arial"/>
          <w:b/>
          <w:sz w:val="32"/>
          <w:szCs w:val="32"/>
        </w:rPr>
        <w:t>young people with disability</w:t>
      </w:r>
    </w:p>
    <w:p w14:paraId="7B25723B" w14:textId="77777777" w:rsidR="00767D04" w:rsidRDefault="00767D04" w:rsidP="00EB1FEF">
      <w:pPr>
        <w:spacing w:after="120"/>
        <w:rPr>
          <w:rFonts w:ascii="Arial" w:eastAsia="Times New Roman" w:hAnsi="Arial" w:cs="Arial"/>
          <w:sz w:val="24"/>
          <w:szCs w:val="24"/>
        </w:rPr>
      </w:pPr>
      <w:r w:rsidRPr="004F165A">
        <w:rPr>
          <w:rFonts w:ascii="Arial" w:eastAsia="Times New Roman" w:hAnsi="Arial" w:cs="Arial"/>
          <w:sz w:val="24"/>
          <w:szCs w:val="24"/>
        </w:rPr>
        <w:t>Michelle Wakeford</w:t>
      </w:r>
    </w:p>
    <w:p w14:paraId="669C2948" w14:textId="77777777" w:rsidR="004F165A" w:rsidRPr="004F165A" w:rsidRDefault="004F165A" w:rsidP="00EB1FEF">
      <w:pPr>
        <w:spacing w:after="120"/>
        <w:rPr>
          <w:rFonts w:ascii="Arial" w:eastAsia="Times New Roman" w:hAnsi="Arial" w:cs="Arial"/>
          <w:sz w:val="24"/>
          <w:szCs w:val="24"/>
        </w:rPr>
      </w:pPr>
      <w:r>
        <w:rPr>
          <w:rFonts w:ascii="Arial" w:eastAsia="Times New Roman" w:hAnsi="Arial" w:cs="Arial"/>
          <w:sz w:val="24"/>
          <w:szCs w:val="24"/>
        </w:rPr>
        <w:t>28 July 2020</w:t>
      </w:r>
    </w:p>
    <w:p w14:paraId="0FE8A612" w14:textId="77777777" w:rsidR="00767D04" w:rsidRDefault="00767D04" w:rsidP="00EB1FEF">
      <w:pPr>
        <w:spacing w:after="120"/>
        <w:rPr>
          <w:rFonts w:ascii="Arial" w:eastAsia="Times New Roman" w:hAnsi="Arial" w:cs="Arial"/>
          <w:sz w:val="24"/>
          <w:szCs w:val="24"/>
        </w:rPr>
      </w:pPr>
    </w:p>
    <w:p w14:paraId="6B37BE21" w14:textId="77777777" w:rsidR="004F1158"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 xml:space="preserve">COVID-19 will have a significant impact on young people with disability. </w:t>
      </w:r>
      <w:r w:rsidR="004F1158" w:rsidRPr="0019172C">
        <w:rPr>
          <w:rFonts w:ascii="Arial" w:eastAsia="Times New Roman" w:hAnsi="Arial" w:cs="Arial"/>
          <w:sz w:val="24"/>
          <w:szCs w:val="24"/>
        </w:rPr>
        <w:t xml:space="preserve">It will be </w:t>
      </w:r>
      <w:r w:rsidR="004953E8" w:rsidRPr="0019172C">
        <w:rPr>
          <w:rFonts w:ascii="Arial" w:eastAsia="Times New Roman" w:hAnsi="Arial" w:cs="Arial"/>
          <w:sz w:val="24"/>
          <w:szCs w:val="24"/>
        </w:rPr>
        <w:t>disproportionate,</w:t>
      </w:r>
      <w:r w:rsidR="004F1158" w:rsidRPr="0019172C">
        <w:rPr>
          <w:rFonts w:ascii="Arial" w:eastAsia="Times New Roman" w:hAnsi="Arial" w:cs="Arial"/>
          <w:sz w:val="24"/>
          <w:szCs w:val="24"/>
        </w:rPr>
        <w:t xml:space="preserve"> and it will be long-term. </w:t>
      </w:r>
    </w:p>
    <w:p w14:paraId="5485DDAA" w14:textId="77777777" w:rsidR="0019172C" w:rsidRPr="0019172C" w:rsidRDefault="004F1158" w:rsidP="00EB1FEF">
      <w:pPr>
        <w:pStyle w:val="1szqc"/>
        <w:spacing w:before="0" w:beforeAutospacing="0" w:after="120" w:afterAutospacing="0" w:line="259" w:lineRule="auto"/>
        <w:rPr>
          <w:rFonts w:ascii="Arial" w:hAnsi="Arial" w:cs="Arial"/>
        </w:rPr>
      </w:pPr>
      <w:r w:rsidRPr="0019172C">
        <w:rPr>
          <w:rFonts w:ascii="Arial" w:hAnsi="Arial" w:cs="Arial"/>
        </w:rPr>
        <w:t>The crumbling labour market has hit y</w:t>
      </w:r>
      <w:r w:rsidR="005240DC" w:rsidRPr="0019172C">
        <w:rPr>
          <w:rFonts w:ascii="Arial" w:hAnsi="Arial" w:cs="Arial"/>
        </w:rPr>
        <w:t>oung people under 20</w:t>
      </w:r>
      <w:r w:rsidRPr="0019172C">
        <w:rPr>
          <w:rFonts w:ascii="Arial" w:hAnsi="Arial" w:cs="Arial"/>
        </w:rPr>
        <w:t xml:space="preserve"> </w:t>
      </w:r>
      <w:r w:rsidR="005240DC" w:rsidRPr="0019172C">
        <w:rPr>
          <w:rFonts w:ascii="Arial" w:hAnsi="Arial" w:cs="Arial"/>
        </w:rPr>
        <w:t xml:space="preserve">the </w:t>
      </w:r>
      <w:r w:rsidR="00A33CDD">
        <w:rPr>
          <w:rFonts w:ascii="Arial" w:hAnsi="Arial" w:cs="Arial"/>
        </w:rPr>
        <w:t xml:space="preserve">hardest </w:t>
      </w:r>
      <w:r w:rsidRPr="0019172C">
        <w:rPr>
          <w:rFonts w:ascii="Arial" w:hAnsi="Arial" w:cs="Arial"/>
        </w:rPr>
        <w:t>whe</w:t>
      </w:r>
      <w:r w:rsidR="00DB2E4C">
        <w:rPr>
          <w:rFonts w:ascii="Arial" w:hAnsi="Arial" w:cs="Arial"/>
        </w:rPr>
        <w:t>n</w:t>
      </w:r>
      <w:r w:rsidRPr="0019172C">
        <w:rPr>
          <w:rFonts w:ascii="Arial" w:hAnsi="Arial" w:cs="Arial"/>
        </w:rPr>
        <w:t xml:space="preserve"> it comes to the loss of jobs, reduction in hours or reduced income. </w:t>
      </w:r>
    </w:p>
    <w:p w14:paraId="2E95AF55" w14:textId="5A6B4432" w:rsidR="005240DC" w:rsidRPr="0019172C" w:rsidRDefault="0019172C" w:rsidP="00EB1FEF">
      <w:pPr>
        <w:pStyle w:val="1szqc"/>
        <w:spacing w:before="0" w:beforeAutospacing="0" w:after="120" w:afterAutospacing="0" w:line="259" w:lineRule="auto"/>
        <w:rPr>
          <w:rFonts w:ascii="Arial" w:hAnsi="Arial" w:cs="Arial"/>
        </w:rPr>
      </w:pPr>
      <w:r w:rsidRPr="0019172C">
        <w:rPr>
          <w:rFonts w:ascii="Arial" w:hAnsi="Arial" w:cs="Arial"/>
          <w:color w:val="000000"/>
        </w:rPr>
        <w:t>During the last recession</w:t>
      </w:r>
      <w:r w:rsidR="00DB2E4C">
        <w:rPr>
          <w:rFonts w:ascii="Arial" w:hAnsi="Arial" w:cs="Arial"/>
          <w:color w:val="000000"/>
        </w:rPr>
        <w:t xml:space="preserve"> in 1992</w:t>
      </w:r>
      <w:r w:rsidRPr="0019172C">
        <w:rPr>
          <w:rFonts w:ascii="Arial" w:hAnsi="Arial" w:cs="Arial"/>
          <w:color w:val="000000"/>
        </w:rPr>
        <w:t>, the youth unemployment rate peaked above 20 per cent</w:t>
      </w:r>
      <w:r w:rsidR="00DB2E4C">
        <w:rPr>
          <w:rFonts w:ascii="Arial" w:hAnsi="Arial" w:cs="Arial"/>
          <w:color w:val="000000"/>
        </w:rPr>
        <w:t xml:space="preserve">, in </w:t>
      </w:r>
      <w:r w:rsidRPr="0019172C">
        <w:rPr>
          <w:rFonts w:ascii="Arial" w:hAnsi="Arial" w:cs="Arial"/>
          <w:color w:val="000000"/>
        </w:rPr>
        <w:t>com</w:t>
      </w:r>
      <w:r w:rsidR="00DB2E4C">
        <w:rPr>
          <w:rFonts w:ascii="Arial" w:hAnsi="Arial" w:cs="Arial"/>
          <w:color w:val="000000"/>
        </w:rPr>
        <w:t>parison</w:t>
      </w:r>
      <w:r w:rsidRPr="0019172C">
        <w:rPr>
          <w:rFonts w:ascii="Arial" w:hAnsi="Arial" w:cs="Arial"/>
          <w:color w:val="000000"/>
        </w:rPr>
        <w:t xml:space="preserve"> the peak </w:t>
      </w:r>
      <w:r w:rsidR="00DB2E4C">
        <w:rPr>
          <w:rFonts w:ascii="Arial" w:hAnsi="Arial" w:cs="Arial"/>
          <w:color w:val="000000"/>
        </w:rPr>
        <w:t xml:space="preserve">was </w:t>
      </w:r>
      <w:r w:rsidRPr="0019172C">
        <w:rPr>
          <w:rFonts w:ascii="Arial" w:hAnsi="Arial" w:cs="Arial"/>
          <w:color w:val="000000"/>
        </w:rPr>
        <w:t>11.2 per cent for the broader unemployment rate. After the G</w:t>
      </w:r>
      <w:r w:rsidR="00A33CDD">
        <w:rPr>
          <w:rFonts w:ascii="Arial" w:hAnsi="Arial" w:cs="Arial"/>
          <w:color w:val="000000"/>
        </w:rPr>
        <w:t xml:space="preserve">lobal </w:t>
      </w:r>
      <w:r w:rsidRPr="0019172C">
        <w:rPr>
          <w:rFonts w:ascii="Arial" w:hAnsi="Arial" w:cs="Arial"/>
          <w:color w:val="000000"/>
        </w:rPr>
        <w:t>F</w:t>
      </w:r>
      <w:r w:rsidR="00A33CDD">
        <w:rPr>
          <w:rFonts w:ascii="Arial" w:hAnsi="Arial" w:cs="Arial"/>
          <w:color w:val="000000"/>
        </w:rPr>
        <w:t xml:space="preserve">inancial </w:t>
      </w:r>
      <w:r w:rsidRPr="0019172C">
        <w:rPr>
          <w:rFonts w:ascii="Arial" w:hAnsi="Arial" w:cs="Arial"/>
          <w:color w:val="000000"/>
        </w:rPr>
        <w:t>C</w:t>
      </w:r>
      <w:r w:rsidR="00A33CDD">
        <w:rPr>
          <w:rFonts w:ascii="Arial" w:hAnsi="Arial" w:cs="Arial"/>
          <w:color w:val="000000"/>
        </w:rPr>
        <w:t>risis</w:t>
      </w:r>
      <w:r w:rsidRPr="0019172C">
        <w:rPr>
          <w:rFonts w:ascii="Arial" w:hAnsi="Arial" w:cs="Arial"/>
          <w:color w:val="000000"/>
        </w:rPr>
        <w:t xml:space="preserve">, </w:t>
      </w:r>
      <w:r w:rsidR="00CA1BDE">
        <w:rPr>
          <w:rFonts w:ascii="Arial" w:hAnsi="Arial" w:cs="Arial"/>
          <w:color w:val="000000"/>
        </w:rPr>
        <w:t xml:space="preserve">youth unemployment </w:t>
      </w:r>
      <w:r w:rsidRPr="0019172C">
        <w:rPr>
          <w:rFonts w:ascii="Arial" w:hAnsi="Arial" w:cs="Arial"/>
          <w:color w:val="000000"/>
        </w:rPr>
        <w:t>climbed again, hitting 14 per cent in 2014 and remaining elevated today</w:t>
      </w:r>
      <w:r w:rsidR="00031632">
        <w:rPr>
          <w:rFonts w:ascii="Arial" w:hAnsi="Arial" w:cs="Arial"/>
          <w:color w:val="000000"/>
        </w:rPr>
        <w:t xml:space="preserve"> </w:t>
      </w:r>
      <w:r w:rsidR="00031632">
        <w:rPr>
          <w:rFonts w:ascii="Arial" w:hAnsi="Arial" w:cs="Arial"/>
          <w:color w:val="000000"/>
        </w:rPr>
        <w:fldChar w:fldCharType="begin"/>
      </w:r>
      <w:r w:rsidR="00031632">
        <w:rPr>
          <w:rFonts w:ascii="Arial" w:hAnsi="Arial" w:cs="Arial"/>
          <w:color w:val="000000"/>
        </w:rPr>
        <w:instrText xml:space="preserve"> ADDIN EN.CITE &lt;EndNote&gt;&lt;Cite&gt;&lt;Author&gt;Chalmers&lt;/Author&gt;&lt;Year&gt;16 April 2020&lt;/Year&gt;&lt;RecNum&gt;1842&lt;/RecNum&gt;&lt;DisplayText&gt;(Chalmers, 16 April 2020)&lt;/DisplayText&gt;&lt;record&gt;&lt;rec-number&gt;1842&lt;/rec-number&gt;&lt;foreign-keys&gt;&lt;key app="EN" db-id="afrvxfvzvvpp2tew2sbxfrtxszxsa992r2f0" timestamp="1595915011"&gt;1842&lt;/key&gt;&lt;/foreign-keys&gt;&lt;ref-type name="Web Page"&gt;12&lt;/ref-type&gt;&lt;contributors&gt;&lt;authors&gt;&lt;author&gt;Chalmers, S.&lt;/author&gt;&lt;/authors&gt;&lt;/contributors&gt;&lt;titles&gt;&lt;title&gt;History suggests youth unemployment will surge, pain will last a decade after coronavirus crisis&lt;/title&gt;&lt;/titles&gt;&lt;number&gt;28 July 2020&lt;/number&gt;&lt;dates&gt;&lt;year&gt;16 April 2020&lt;/year&gt;&lt;/dates&gt;&lt;publisher&gt;Australian Broadcasting Commission&lt;/publisher&gt;&lt;urls&gt;&lt;related-urls&gt;&lt;url&gt;https://www.abc.net.au/news/2020-04-16/history-suggests-youth-unemployment-will-surge-coronavirus/12151668&lt;/url&gt;&lt;/related-urls&gt;&lt;/urls&gt;&lt;/record&gt;&lt;/Cite&gt;&lt;/EndNote&gt;</w:instrText>
      </w:r>
      <w:r w:rsidR="00031632">
        <w:rPr>
          <w:rFonts w:ascii="Arial" w:hAnsi="Arial" w:cs="Arial"/>
          <w:color w:val="000000"/>
        </w:rPr>
        <w:fldChar w:fldCharType="separate"/>
      </w:r>
      <w:r w:rsidR="00031632">
        <w:rPr>
          <w:rFonts w:ascii="Arial" w:hAnsi="Arial" w:cs="Arial"/>
          <w:noProof/>
          <w:color w:val="000000"/>
        </w:rPr>
        <w:t>(Chalmers, 16 April 2020)</w:t>
      </w:r>
      <w:r w:rsidR="00031632">
        <w:rPr>
          <w:rFonts w:ascii="Arial" w:hAnsi="Arial" w:cs="Arial"/>
          <w:color w:val="000000"/>
        </w:rPr>
        <w:fldChar w:fldCharType="end"/>
      </w:r>
      <w:r w:rsidRPr="0019172C">
        <w:rPr>
          <w:rFonts w:ascii="Arial" w:hAnsi="Arial" w:cs="Arial"/>
          <w:color w:val="000000"/>
        </w:rPr>
        <w:t>.</w:t>
      </w:r>
      <w:r w:rsidRPr="0019172C">
        <w:rPr>
          <w:rFonts w:ascii="Arial" w:hAnsi="Arial" w:cs="Arial"/>
          <w:lang w:eastAsia="en-US"/>
        </w:rPr>
        <w:t xml:space="preserve">  </w:t>
      </w:r>
      <w:r w:rsidR="004F1158" w:rsidRPr="0019172C">
        <w:rPr>
          <w:rFonts w:ascii="Arial" w:hAnsi="Arial" w:cs="Arial"/>
        </w:rPr>
        <w:t xml:space="preserve">The </w:t>
      </w:r>
      <w:r w:rsidR="005240DC" w:rsidRPr="0019172C">
        <w:rPr>
          <w:rFonts w:ascii="Arial" w:hAnsi="Arial" w:cs="Arial"/>
        </w:rPr>
        <w:t>Grattan Institute estimate</w:t>
      </w:r>
      <w:r w:rsidR="004F1158" w:rsidRPr="0019172C">
        <w:rPr>
          <w:rFonts w:ascii="Arial" w:hAnsi="Arial" w:cs="Arial"/>
        </w:rPr>
        <w:t>s</w:t>
      </w:r>
      <w:r w:rsidR="005240DC" w:rsidRPr="0019172C">
        <w:rPr>
          <w:rFonts w:ascii="Arial" w:hAnsi="Arial" w:cs="Arial"/>
        </w:rPr>
        <w:t xml:space="preserve"> that about 40 per cent of employed teenagers will lose work due to the COVID-19 shutdown and </w:t>
      </w:r>
      <w:r w:rsidR="004F1158" w:rsidRPr="0019172C">
        <w:rPr>
          <w:rFonts w:ascii="Arial" w:hAnsi="Arial" w:cs="Arial"/>
        </w:rPr>
        <w:t>the knock-on effect</w:t>
      </w:r>
      <w:r w:rsidR="00E1242A" w:rsidRPr="0019172C">
        <w:rPr>
          <w:rFonts w:ascii="Arial" w:hAnsi="Arial" w:cs="Arial"/>
        </w:rPr>
        <w:t>s</w:t>
      </w:r>
      <w:r w:rsidR="004F1158" w:rsidRPr="0019172C">
        <w:rPr>
          <w:rFonts w:ascii="Arial" w:hAnsi="Arial" w:cs="Arial"/>
        </w:rPr>
        <w:t xml:space="preserve"> of special measures such as </w:t>
      </w:r>
      <w:r w:rsidR="005240DC" w:rsidRPr="0019172C">
        <w:rPr>
          <w:rFonts w:ascii="Arial" w:hAnsi="Arial" w:cs="Arial"/>
        </w:rPr>
        <w:t>spatial distancing</w:t>
      </w:r>
      <w:r w:rsidR="00DA7671">
        <w:rPr>
          <w:rFonts w:ascii="Arial" w:hAnsi="Arial" w:cs="Arial"/>
        </w:rPr>
        <w:t xml:space="preserve"> </w:t>
      </w:r>
      <w:r w:rsidR="003F0CFC">
        <w:rPr>
          <w:rFonts w:ascii="Arial" w:hAnsi="Arial" w:cs="Arial"/>
        </w:rPr>
        <w:fldChar w:fldCharType="begin"/>
      </w:r>
      <w:r w:rsidR="003F0CFC">
        <w:rPr>
          <w:rFonts w:ascii="Arial" w:hAnsi="Arial" w:cs="Arial"/>
        </w:rPr>
        <w:instrText xml:space="preserve"> ADDIN EN.CITE &lt;EndNote&gt;&lt;Cite&gt;&lt;Author&gt;Coates&lt;/Author&gt;&lt;Year&gt;2020&lt;/Year&gt;&lt;RecNum&gt;1843&lt;/RecNum&gt;&lt;DisplayText&gt;(Coates, Cowgill, Chen, &amp;amp; Mackey, 2020)&lt;/DisplayText&gt;&lt;record&gt;&lt;rec-number&gt;1843&lt;/rec-number&gt;&lt;foreign-keys&gt;&lt;key app="EN" db-id="afrvxfvzvvpp2tew2sbxfrtxszxsa992r2f0" timestamp="1595915339"&gt;1843&lt;/key&gt;&lt;/foreign-keys&gt;&lt;ref-type name="Journal Article"&gt;17&lt;/ref-type&gt;&lt;contributors&gt;&lt;authors&gt;&lt;author&gt;Coates, Brendan&lt;/author&gt;&lt;author&gt;Cowgill, Matt&lt;/author&gt;&lt;author&gt;Chen, Tony&lt;/author&gt;&lt;author&gt;Mackey, Will&lt;/author&gt;&lt;/authors&gt;&lt;/contributors&gt;&lt;titles&gt;&lt;title&gt;Shutdown: estimating the COVID-19 employment shock&lt;/title&gt;&lt;secondary-title&gt;Grattan Institute, Melbourne, Victoria&lt;/secondary-title&gt;&lt;/titles&gt;&lt;periodical&gt;&lt;full-title&gt;Grattan Institute, Melbourne, Victoria&lt;/full-title&gt;&lt;/periodical&gt;&lt;dates&gt;&lt;year&gt;2020&lt;/year&gt;&lt;/dates&gt;&lt;urls&gt;&lt;related-urls&gt;&lt;url&gt;https://apo.org.au/sites/default/files/resource-files/2020-04/apo-nid303322.pdf&lt;/url&gt;&lt;/related-urls&gt;&lt;/urls&gt;&lt;/record&gt;&lt;/Cite&gt;&lt;/EndNote&gt;</w:instrText>
      </w:r>
      <w:r w:rsidR="003F0CFC">
        <w:rPr>
          <w:rFonts w:ascii="Arial" w:hAnsi="Arial" w:cs="Arial"/>
        </w:rPr>
        <w:fldChar w:fldCharType="separate"/>
      </w:r>
      <w:r w:rsidR="003F0CFC">
        <w:rPr>
          <w:rFonts w:ascii="Arial" w:hAnsi="Arial" w:cs="Arial"/>
          <w:noProof/>
        </w:rPr>
        <w:t>(Coates, Cowgill, Chen, &amp; Mackey, 2020)</w:t>
      </w:r>
      <w:r w:rsidR="003F0CFC">
        <w:rPr>
          <w:rFonts w:ascii="Arial" w:hAnsi="Arial" w:cs="Arial"/>
        </w:rPr>
        <w:fldChar w:fldCharType="end"/>
      </w:r>
      <w:r w:rsidR="005240DC" w:rsidRPr="0019172C">
        <w:rPr>
          <w:rFonts w:ascii="Arial" w:hAnsi="Arial" w:cs="Arial"/>
        </w:rPr>
        <w:t>.</w:t>
      </w:r>
    </w:p>
    <w:p w14:paraId="3F740AEC" w14:textId="77777777" w:rsidR="00E1242A" w:rsidRPr="0019172C" w:rsidRDefault="00E1242A" w:rsidP="00EB1FEF">
      <w:pPr>
        <w:spacing w:after="120"/>
        <w:rPr>
          <w:rFonts w:ascii="Arial" w:eastAsia="Times New Roman" w:hAnsi="Arial" w:cs="Arial"/>
          <w:sz w:val="24"/>
          <w:szCs w:val="24"/>
        </w:rPr>
      </w:pPr>
      <w:r w:rsidRPr="0019172C">
        <w:rPr>
          <w:rFonts w:ascii="Arial" w:hAnsi="Arial" w:cs="Arial"/>
          <w:sz w:val="24"/>
          <w:szCs w:val="24"/>
        </w:rPr>
        <w:t>The longer-term impact can be mitigated with appropriate interventions right now.</w:t>
      </w:r>
      <w:r w:rsidR="005240DC" w:rsidRPr="0019172C">
        <w:rPr>
          <w:rFonts w:ascii="Arial" w:hAnsi="Arial" w:cs="Arial"/>
          <w:sz w:val="24"/>
          <w:szCs w:val="24"/>
        </w:rPr>
        <w:t xml:space="preserve"> </w:t>
      </w:r>
    </w:p>
    <w:p w14:paraId="61D3DEAB" w14:textId="670636EB" w:rsidR="00E1242A"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 xml:space="preserve">It is crucial that we </w:t>
      </w:r>
      <w:r w:rsidR="00E1242A" w:rsidRPr="0019172C">
        <w:rPr>
          <w:rFonts w:ascii="Arial" w:eastAsia="Times New Roman" w:hAnsi="Arial" w:cs="Arial"/>
          <w:sz w:val="24"/>
          <w:szCs w:val="24"/>
        </w:rPr>
        <w:t>support young people with disability to ensure that they are prepared to access the post COVID-19 labour market and that they stay connected with the labour market during their transition years. We need mea</w:t>
      </w:r>
      <w:r w:rsidR="00A54B24" w:rsidRPr="0019172C">
        <w:rPr>
          <w:rFonts w:ascii="Arial" w:eastAsia="Times New Roman" w:hAnsi="Arial" w:cs="Arial"/>
          <w:sz w:val="24"/>
          <w:szCs w:val="24"/>
        </w:rPr>
        <w:t>s</w:t>
      </w:r>
      <w:r w:rsidR="00E1242A" w:rsidRPr="0019172C">
        <w:rPr>
          <w:rFonts w:ascii="Arial" w:eastAsia="Times New Roman" w:hAnsi="Arial" w:cs="Arial"/>
          <w:sz w:val="24"/>
          <w:szCs w:val="24"/>
        </w:rPr>
        <w:t xml:space="preserve">ures to create </w:t>
      </w:r>
      <w:r w:rsidR="00A25C5F">
        <w:rPr>
          <w:rFonts w:ascii="Arial" w:eastAsia="Times New Roman" w:hAnsi="Arial" w:cs="Arial"/>
          <w:sz w:val="24"/>
          <w:szCs w:val="24"/>
        </w:rPr>
        <w:t>employment opportunities</w:t>
      </w:r>
      <w:r w:rsidR="00547690">
        <w:rPr>
          <w:rFonts w:ascii="Arial" w:eastAsia="Times New Roman" w:hAnsi="Arial" w:cs="Arial"/>
          <w:sz w:val="24"/>
          <w:szCs w:val="24"/>
        </w:rPr>
        <w:t xml:space="preserve"> </w:t>
      </w:r>
      <w:r w:rsidR="00547690">
        <w:rPr>
          <w:rFonts w:ascii="Arial" w:eastAsia="Times New Roman" w:hAnsi="Arial" w:cs="Arial"/>
          <w:sz w:val="24"/>
          <w:szCs w:val="24"/>
        </w:rPr>
        <w:fldChar w:fldCharType="begin"/>
      </w:r>
      <w:r w:rsidR="00547690">
        <w:rPr>
          <w:rFonts w:ascii="Arial" w:eastAsia="Times New Roman" w:hAnsi="Arial" w:cs="Arial"/>
          <w:sz w:val="24"/>
          <w:szCs w:val="24"/>
        </w:rPr>
        <w:instrText xml:space="preserve"> ADDIN EN.CITE &lt;EndNote&gt;&lt;Cite&gt;&lt;Author&gt;Social Ventures Australia&lt;/Author&gt;&lt;Year&gt;2019&lt;/Year&gt;&lt;RecNum&gt;1844&lt;/RecNum&gt;&lt;DisplayText&gt;(Social Ventures Australia, 2019)&lt;/DisplayText&gt;&lt;record&gt;&lt;rec-number&gt;1844&lt;/rec-number&gt;&lt;foreign-keys&gt;&lt;key app="EN" db-id="afrvxfvzvvpp2tew2sbxfrtxszxsa992r2f0" timestamp="1595915616"&gt;1844&lt;/key&gt;&lt;/foreign-keys&gt;&lt;ref-type name="Journal Article"&gt;17&lt;/ref-type&gt;&lt;contributors&gt;&lt;authors&gt;&lt;author&gt;Social Ventures Australia,&lt;/author&gt;&lt;/authors&gt;&lt;/contributors&gt;&lt;titles&gt;&lt;title&gt;Future fair?: securing better quality jobs for young people in Australia&lt;/title&gt;&lt;/titles&gt;&lt;dates&gt;&lt;year&gt;2019&lt;/year&gt;&lt;/dates&gt;&lt;urls&gt;&lt;related-urls&gt;&lt;url&gt;https://www.socialventures.com.au/work/future-fair-report/&lt;/url&gt;&lt;/related-urls&gt;&lt;/urls&gt;&lt;/record&gt;&lt;/Cite&gt;&lt;/EndNote&gt;</w:instrText>
      </w:r>
      <w:r w:rsidR="00547690">
        <w:rPr>
          <w:rFonts w:ascii="Arial" w:eastAsia="Times New Roman" w:hAnsi="Arial" w:cs="Arial"/>
          <w:sz w:val="24"/>
          <w:szCs w:val="24"/>
        </w:rPr>
        <w:fldChar w:fldCharType="separate"/>
      </w:r>
      <w:r w:rsidR="00547690">
        <w:rPr>
          <w:rFonts w:ascii="Arial" w:eastAsia="Times New Roman" w:hAnsi="Arial" w:cs="Arial"/>
          <w:noProof/>
          <w:sz w:val="24"/>
          <w:szCs w:val="24"/>
        </w:rPr>
        <w:t>(Social Ventures Australia, 2019)</w:t>
      </w:r>
      <w:r w:rsidR="00547690">
        <w:rPr>
          <w:rFonts w:ascii="Arial" w:eastAsia="Times New Roman" w:hAnsi="Arial" w:cs="Arial"/>
          <w:sz w:val="24"/>
          <w:szCs w:val="24"/>
        </w:rPr>
        <w:fldChar w:fldCharType="end"/>
      </w:r>
      <w:r w:rsidR="00E1242A" w:rsidRPr="0019172C">
        <w:rPr>
          <w:rFonts w:ascii="Arial" w:eastAsia="Times New Roman" w:hAnsi="Arial" w:cs="Arial"/>
          <w:sz w:val="24"/>
          <w:szCs w:val="24"/>
        </w:rPr>
        <w:t>.</w:t>
      </w:r>
    </w:p>
    <w:p w14:paraId="18122548" w14:textId="07E4284F" w:rsidR="005240DC" w:rsidRPr="0019172C" w:rsidRDefault="00E1242A" w:rsidP="00EB1FEF">
      <w:pPr>
        <w:spacing w:after="120"/>
        <w:rPr>
          <w:rFonts w:ascii="Arial" w:eastAsia="Times New Roman" w:hAnsi="Arial" w:cs="Arial"/>
          <w:bCs/>
          <w:sz w:val="24"/>
          <w:szCs w:val="24"/>
        </w:rPr>
      </w:pPr>
      <w:r w:rsidRPr="0019172C">
        <w:rPr>
          <w:rFonts w:ascii="Arial" w:eastAsia="Times New Roman" w:hAnsi="Arial" w:cs="Arial"/>
          <w:sz w:val="24"/>
          <w:szCs w:val="24"/>
        </w:rPr>
        <w:t>E</w:t>
      </w:r>
      <w:r w:rsidR="005240DC" w:rsidRPr="0019172C">
        <w:rPr>
          <w:rFonts w:ascii="Arial" w:eastAsia="Times New Roman" w:hAnsi="Arial" w:cs="Arial"/>
          <w:sz w:val="24"/>
          <w:szCs w:val="24"/>
        </w:rPr>
        <w:t>nsur</w:t>
      </w:r>
      <w:r w:rsidRPr="0019172C">
        <w:rPr>
          <w:rFonts w:ascii="Arial" w:eastAsia="Times New Roman" w:hAnsi="Arial" w:cs="Arial"/>
          <w:sz w:val="24"/>
          <w:szCs w:val="24"/>
        </w:rPr>
        <w:t>ing</w:t>
      </w:r>
      <w:r w:rsidR="005240DC" w:rsidRPr="0019172C">
        <w:rPr>
          <w:rFonts w:ascii="Arial" w:eastAsia="Times New Roman" w:hAnsi="Arial" w:cs="Arial"/>
          <w:sz w:val="24"/>
          <w:szCs w:val="24"/>
        </w:rPr>
        <w:t xml:space="preserve"> that schools have the knowledge and ability to create ‘positive futures’ for students with disability </w:t>
      </w:r>
      <w:r w:rsidRPr="0019172C">
        <w:rPr>
          <w:rFonts w:ascii="Arial" w:eastAsia="Times New Roman" w:hAnsi="Arial" w:cs="Arial"/>
          <w:sz w:val="24"/>
          <w:szCs w:val="24"/>
        </w:rPr>
        <w:t>is a proven means for circumventing the longer-term risks</w:t>
      </w:r>
      <w:r w:rsidR="005240DC" w:rsidRPr="0019172C">
        <w:rPr>
          <w:rFonts w:ascii="Arial" w:eastAsia="Times New Roman" w:hAnsi="Arial" w:cs="Arial"/>
          <w:sz w:val="24"/>
          <w:szCs w:val="24"/>
        </w:rPr>
        <w:t xml:space="preserve">. </w:t>
      </w:r>
      <w:r w:rsidR="00E36B51">
        <w:rPr>
          <w:rFonts w:ascii="Arial" w:eastAsia="Times New Roman" w:hAnsi="Arial" w:cs="Arial"/>
          <w:sz w:val="24"/>
          <w:szCs w:val="24"/>
        </w:rPr>
        <w:t xml:space="preserve">If these preventative measures are not put in place, we risk creating </w:t>
      </w:r>
      <w:r w:rsidRPr="0019172C">
        <w:rPr>
          <w:rFonts w:ascii="Arial" w:hAnsi="Arial" w:cs="Arial"/>
          <w:sz w:val="24"/>
          <w:szCs w:val="24"/>
        </w:rPr>
        <w:t xml:space="preserve">a </w:t>
      </w:r>
      <w:r w:rsidR="00E36B51">
        <w:rPr>
          <w:rFonts w:ascii="Arial" w:hAnsi="Arial" w:cs="Arial"/>
          <w:sz w:val="24"/>
          <w:szCs w:val="24"/>
        </w:rPr>
        <w:t>‘</w:t>
      </w:r>
      <w:r w:rsidR="005240DC" w:rsidRPr="0019172C">
        <w:rPr>
          <w:rFonts w:ascii="Arial" w:hAnsi="Arial" w:cs="Arial"/>
          <w:sz w:val="24"/>
          <w:szCs w:val="24"/>
        </w:rPr>
        <w:t>lost generation</w:t>
      </w:r>
      <w:r w:rsidR="00E36B51">
        <w:rPr>
          <w:rFonts w:ascii="Arial" w:hAnsi="Arial" w:cs="Arial"/>
          <w:sz w:val="24"/>
          <w:szCs w:val="24"/>
        </w:rPr>
        <w:t>’ where</w:t>
      </w:r>
      <w:r w:rsidR="00AE4CD2">
        <w:rPr>
          <w:rFonts w:ascii="Arial" w:hAnsi="Arial" w:cs="Arial"/>
          <w:sz w:val="24"/>
          <w:szCs w:val="24"/>
        </w:rPr>
        <w:t xml:space="preserve"> </w:t>
      </w:r>
      <w:r w:rsidRPr="0019172C">
        <w:rPr>
          <w:rFonts w:ascii="Arial" w:hAnsi="Arial" w:cs="Arial"/>
          <w:sz w:val="24"/>
          <w:szCs w:val="24"/>
        </w:rPr>
        <w:t>u</w:t>
      </w:r>
      <w:r w:rsidR="005240DC" w:rsidRPr="0019172C">
        <w:rPr>
          <w:rFonts w:ascii="Arial" w:hAnsi="Arial" w:cs="Arial"/>
          <w:sz w:val="24"/>
          <w:szCs w:val="24"/>
        </w:rPr>
        <w:t>nemployment and low quality work</w:t>
      </w:r>
      <w:r w:rsidR="005240DC" w:rsidRPr="0019172C">
        <w:rPr>
          <w:rFonts w:ascii="Arial" w:hAnsi="Arial" w:cs="Arial"/>
          <w:color w:val="000000"/>
          <w:sz w:val="24"/>
          <w:szCs w:val="24"/>
          <w:shd w:val="clear" w:color="auto" w:fill="FFFFFF"/>
        </w:rPr>
        <w:t xml:space="preserve"> contribute to poverty and poor mental health</w:t>
      </w:r>
      <w:r w:rsidRPr="0019172C">
        <w:rPr>
          <w:rFonts w:ascii="Arial" w:hAnsi="Arial" w:cs="Arial"/>
          <w:color w:val="000000"/>
          <w:sz w:val="24"/>
          <w:szCs w:val="24"/>
          <w:shd w:val="clear" w:color="auto" w:fill="FFFFFF"/>
        </w:rPr>
        <w:t xml:space="preserve"> destroying </w:t>
      </w:r>
      <w:r w:rsidR="005240DC" w:rsidRPr="0019172C">
        <w:rPr>
          <w:rFonts w:ascii="Arial" w:hAnsi="Arial" w:cs="Arial"/>
          <w:color w:val="000000"/>
          <w:sz w:val="24"/>
          <w:szCs w:val="24"/>
          <w:shd w:val="clear" w:color="auto" w:fill="FFFFFF"/>
        </w:rPr>
        <w:t xml:space="preserve">access to employment and quality of life </w:t>
      </w:r>
      <w:r w:rsidRPr="0019172C">
        <w:rPr>
          <w:rFonts w:ascii="Arial" w:hAnsi="Arial" w:cs="Arial"/>
          <w:color w:val="000000"/>
          <w:sz w:val="24"/>
          <w:szCs w:val="24"/>
          <w:shd w:val="clear" w:color="auto" w:fill="FFFFFF"/>
        </w:rPr>
        <w:t>over the longer term</w:t>
      </w:r>
      <w:r w:rsidR="00D67E77">
        <w:rPr>
          <w:rFonts w:ascii="Arial" w:hAnsi="Arial" w:cs="Arial"/>
          <w:color w:val="000000"/>
          <w:sz w:val="24"/>
          <w:szCs w:val="24"/>
          <w:shd w:val="clear" w:color="auto" w:fill="FFFFFF"/>
        </w:rPr>
        <w:t xml:space="preserve"> </w:t>
      </w:r>
      <w:r w:rsidR="00D67E77">
        <w:rPr>
          <w:rFonts w:ascii="Arial" w:hAnsi="Arial" w:cs="Arial"/>
          <w:color w:val="000000"/>
          <w:sz w:val="24"/>
          <w:szCs w:val="24"/>
          <w:shd w:val="clear" w:color="auto" w:fill="FFFFFF"/>
        </w:rPr>
        <w:fldChar w:fldCharType="begin"/>
      </w:r>
      <w:r w:rsidR="00D67E77">
        <w:rPr>
          <w:rFonts w:ascii="Arial" w:hAnsi="Arial" w:cs="Arial"/>
          <w:color w:val="000000"/>
          <w:sz w:val="24"/>
          <w:szCs w:val="24"/>
          <w:shd w:val="clear" w:color="auto" w:fill="FFFFFF"/>
        </w:rPr>
        <w:instrText xml:space="preserve"> ADDIN EN.CITE &lt;EndNote&gt;&lt;Cite&gt;&lt;Author&gt;Butterworth&lt;/Author&gt;&lt;Year&gt;2011&lt;/Year&gt;&lt;RecNum&gt;1845&lt;/RecNum&gt;&lt;DisplayText&gt;(Butterworth et al., 2011)&lt;/DisplayText&gt;&lt;record&gt;&lt;rec-number&gt;1845&lt;/rec-number&gt;&lt;foreign-keys&gt;&lt;key app="EN" db-id="afrvxfvzvvpp2tew2sbxfrtxszxsa992r2f0" timestamp="1595915804"&gt;1845&lt;/key&gt;&lt;/foreign-keys&gt;&lt;ref-type name="Journal Article"&gt;17&lt;/ref-type&gt;&lt;contributors&gt;&lt;authors&gt;&lt;author&gt;Butterworth, Peter&lt;/author&gt;&lt;author&gt;Leach, Liana S&lt;/author&gt;&lt;author&gt;Strazdins, Lyndall&lt;/author&gt;&lt;author&gt;Olesen, Sarah C&lt;/author&gt;&lt;author&gt;Rodgers, Bryan&lt;/author&gt;&lt;author&gt;Broom, DH&lt;/author&gt;&lt;/authors&gt;&lt;/contributors&gt;&lt;titles&gt;&lt;title&gt;The psychosocial quality of work determines whether employment has benefits for mental health: results from a longitudinal national household panel survey&lt;/title&gt;&lt;secondary-title&gt;Occupational and environmental medicine&lt;/secondary-title&gt;&lt;/titles&gt;&lt;periodical&gt;&lt;full-title&gt;Occupational and environmental medicine&lt;/full-title&gt;&lt;/periodical&gt;&lt;pages&gt;806-812&lt;/pages&gt;&lt;volume&gt;68&lt;/volume&gt;&lt;number&gt;11&lt;/number&gt;&lt;dates&gt;&lt;year&gt;2011&lt;/year&gt;&lt;/dates&gt;&lt;isbn&gt;1351-0711&lt;/isbn&gt;&lt;urls&gt;&lt;/urls&gt;&lt;/record&gt;&lt;/Cite&gt;&lt;/EndNote&gt;</w:instrText>
      </w:r>
      <w:r w:rsidR="00D67E77">
        <w:rPr>
          <w:rFonts w:ascii="Arial" w:hAnsi="Arial" w:cs="Arial"/>
          <w:color w:val="000000"/>
          <w:sz w:val="24"/>
          <w:szCs w:val="24"/>
          <w:shd w:val="clear" w:color="auto" w:fill="FFFFFF"/>
        </w:rPr>
        <w:fldChar w:fldCharType="separate"/>
      </w:r>
      <w:r w:rsidR="00D67E77">
        <w:rPr>
          <w:rFonts w:ascii="Arial" w:hAnsi="Arial" w:cs="Arial"/>
          <w:noProof/>
          <w:color w:val="000000"/>
          <w:sz w:val="24"/>
          <w:szCs w:val="24"/>
          <w:shd w:val="clear" w:color="auto" w:fill="FFFFFF"/>
        </w:rPr>
        <w:t>(Butterworth et al., 2011)</w:t>
      </w:r>
      <w:r w:rsidR="00D67E77">
        <w:rPr>
          <w:rFonts w:ascii="Arial" w:hAnsi="Arial" w:cs="Arial"/>
          <w:color w:val="000000"/>
          <w:sz w:val="24"/>
          <w:szCs w:val="24"/>
          <w:shd w:val="clear" w:color="auto" w:fill="FFFFFF"/>
        </w:rPr>
        <w:fldChar w:fldCharType="end"/>
      </w:r>
      <w:r w:rsidR="005240DC" w:rsidRPr="0019172C">
        <w:rPr>
          <w:rFonts w:ascii="Arial" w:hAnsi="Arial" w:cs="Arial"/>
          <w:color w:val="000000"/>
          <w:sz w:val="24"/>
          <w:szCs w:val="24"/>
          <w:shd w:val="clear" w:color="auto" w:fill="FFFFFF"/>
        </w:rPr>
        <w:t>.</w:t>
      </w:r>
    </w:p>
    <w:p w14:paraId="0B2D08DC" w14:textId="618D3FB9" w:rsidR="008C17E8" w:rsidRPr="0019172C" w:rsidRDefault="00030365" w:rsidP="00EB1FEF">
      <w:pPr>
        <w:spacing w:after="120"/>
        <w:rPr>
          <w:rFonts w:ascii="Arial" w:eastAsia="Times New Roman" w:hAnsi="Arial" w:cs="Arial"/>
          <w:bCs/>
          <w:sz w:val="24"/>
          <w:szCs w:val="24"/>
        </w:rPr>
      </w:pPr>
      <w:r w:rsidRPr="0019172C">
        <w:rPr>
          <w:rFonts w:ascii="Arial" w:hAnsi="Arial" w:cs="Arial"/>
          <w:color w:val="000000"/>
          <w:sz w:val="24"/>
          <w:szCs w:val="24"/>
          <w:shd w:val="clear" w:color="auto" w:fill="FFFFFF"/>
        </w:rPr>
        <w:t>In Australia</w:t>
      </w:r>
      <w:r w:rsidR="00A25C5F">
        <w:rPr>
          <w:rFonts w:ascii="Arial" w:hAnsi="Arial" w:cs="Arial"/>
          <w:color w:val="000000"/>
          <w:sz w:val="24"/>
          <w:szCs w:val="24"/>
          <w:shd w:val="clear" w:color="auto" w:fill="FFFFFF"/>
        </w:rPr>
        <w:t>,</w:t>
      </w:r>
      <w:r w:rsidRPr="0019172C">
        <w:rPr>
          <w:rFonts w:ascii="Arial" w:hAnsi="Arial" w:cs="Arial"/>
          <w:color w:val="000000"/>
          <w:sz w:val="24"/>
          <w:szCs w:val="24"/>
          <w:shd w:val="clear" w:color="auto" w:fill="FFFFFF"/>
        </w:rPr>
        <w:t xml:space="preserve"> </w:t>
      </w:r>
      <w:r w:rsidR="005240DC" w:rsidRPr="0019172C">
        <w:rPr>
          <w:rFonts w:ascii="Arial" w:hAnsi="Arial" w:cs="Arial"/>
          <w:color w:val="000000"/>
          <w:sz w:val="24"/>
          <w:szCs w:val="24"/>
          <w:shd w:val="clear" w:color="auto" w:fill="FFFFFF"/>
        </w:rPr>
        <w:t>53% of young people who experienced instability in employment and education between ages 16 and 25 were unemployed at 25. Young people with disability were more likely than others to be part of this group</w:t>
      </w:r>
      <w:r w:rsidR="00D40B47">
        <w:rPr>
          <w:rFonts w:ascii="Arial" w:hAnsi="Arial" w:cs="Arial"/>
          <w:color w:val="000000"/>
          <w:sz w:val="24"/>
          <w:szCs w:val="24"/>
          <w:shd w:val="clear" w:color="auto" w:fill="FFFFFF"/>
        </w:rPr>
        <w:t xml:space="preserve"> </w:t>
      </w:r>
      <w:r w:rsidR="00D40B47">
        <w:rPr>
          <w:rFonts w:ascii="Arial" w:hAnsi="Arial" w:cs="Arial"/>
          <w:color w:val="000000"/>
          <w:sz w:val="24"/>
          <w:szCs w:val="24"/>
          <w:shd w:val="clear" w:color="auto" w:fill="FFFFFF"/>
        </w:rPr>
        <w:fldChar w:fldCharType="begin"/>
      </w:r>
      <w:r w:rsidR="00D40B47">
        <w:rPr>
          <w:rFonts w:ascii="Arial" w:hAnsi="Arial" w:cs="Arial"/>
          <w:color w:val="000000"/>
          <w:sz w:val="24"/>
          <w:szCs w:val="24"/>
          <w:shd w:val="clear" w:color="auto" w:fill="FFFFFF"/>
        </w:rPr>
        <w:instrText xml:space="preserve"> ADDIN EN.CITE &lt;EndNote&gt;&lt;Cite&gt;&lt;Author&gt;Ranasinghe&lt;/Author&gt;&lt;Year&gt;2019&lt;/Year&gt;&lt;RecNum&gt;1847&lt;/RecNum&gt;&lt;DisplayText&gt;(Ranasinghe, Chew, Knight, &amp;amp; Siekmann, 2019)&lt;/DisplayText&gt;&lt;record&gt;&lt;rec-number&gt;1847&lt;/rec-number&gt;&lt;foreign-keys&gt;&lt;key app="EN" db-id="afrvxfvzvvpp2tew2sbxfrtxszxsa992r2f0" timestamp="1595916150"&gt;1847&lt;/key&gt;&lt;/foreign-keys&gt;&lt;ref-type name="Journal Article"&gt;17&lt;/ref-type&gt;&lt;contributors&gt;&lt;authors&gt;&lt;author&gt;Ranasinghe, Rasika&lt;/author&gt;&lt;author&gt;Chew, Emerick&lt;/author&gt;&lt;author&gt;Knight, Genevieve&lt;/author&gt;&lt;author&gt;Siekmann, Gitta&lt;/author&gt;&lt;/authors&gt;&lt;/contributors&gt;&lt;titles&gt;&lt;title&gt;School-to-Work Pathways. Research Report&lt;/title&gt;&lt;secondary-title&gt;National Centre for Vocational Education Research (NCVER)&lt;/secondary-title&gt;&lt;/titles&gt;&lt;periodical&gt;&lt;full-title&gt;National Centre for Vocational Education Research (NCVER)&lt;/full-title&gt;&lt;/periodical&gt;&lt;dates&gt;&lt;year&gt;2019&lt;/year&gt;&lt;/dates&gt;&lt;isbn&gt;1925717356&lt;/isbn&gt;&lt;urls&gt;&lt;related-urls&gt;&lt;url&gt;https://files.eric.ed.gov/fulltext/ED596464.pdf&lt;/url&gt;&lt;/related-urls&gt;&lt;/urls&gt;&lt;/record&gt;&lt;/Cite&gt;&lt;/EndNote&gt;</w:instrText>
      </w:r>
      <w:r w:rsidR="00D40B47">
        <w:rPr>
          <w:rFonts w:ascii="Arial" w:hAnsi="Arial" w:cs="Arial"/>
          <w:color w:val="000000"/>
          <w:sz w:val="24"/>
          <w:szCs w:val="24"/>
          <w:shd w:val="clear" w:color="auto" w:fill="FFFFFF"/>
        </w:rPr>
        <w:fldChar w:fldCharType="separate"/>
      </w:r>
      <w:r w:rsidR="00D40B47">
        <w:rPr>
          <w:rFonts w:ascii="Arial" w:hAnsi="Arial" w:cs="Arial"/>
          <w:noProof/>
          <w:color w:val="000000"/>
          <w:sz w:val="24"/>
          <w:szCs w:val="24"/>
          <w:shd w:val="clear" w:color="auto" w:fill="FFFFFF"/>
        </w:rPr>
        <w:t>(Ranasinghe, Chew, Knight, &amp; Siekmann, 2019)</w:t>
      </w:r>
      <w:r w:rsidR="00D40B47">
        <w:rPr>
          <w:rFonts w:ascii="Arial" w:hAnsi="Arial" w:cs="Arial"/>
          <w:color w:val="000000"/>
          <w:sz w:val="24"/>
          <w:szCs w:val="24"/>
          <w:shd w:val="clear" w:color="auto" w:fill="FFFFFF"/>
        </w:rPr>
        <w:fldChar w:fldCharType="end"/>
      </w:r>
      <w:r w:rsidR="005240DC" w:rsidRPr="0019172C">
        <w:rPr>
          <w:rFonts w:ascii="Arial" w:hAnsi="Arial" w:cs="Arial"/>
          <w:color w:val="000000"/>
          <w:sz w:val="24"/>
          <w:szCs w:val="24"/>
          <w:shd w:val="clear" w:color="auto" w:fill="FFFFFF"/>
        </w:rPr>
        <w:t>.</w:t>
      </w:r>
      <w:r w:rsidR="0019172C" w:rsidRPr="0019172C">
        <w:rPr>
          <w:rFonts w:ascii="Arial" w:hAnsi="Arial" w:cs="Arial"/>
          <w:color w:val="000000"/>
          <w:sz w:val="24"/>
          <w:szCs w:val="24"/>
          <w:shd w:val="clear" w:color="auto" w:fill="FFFFFF"/>
        </w:rPr>
        <w:t xml:space="preserve"> </w:t>
      </w:r>
      <w:r w:rsidRPr="0019172C">
        <w:rPr>
          <w:rFonts w:ascii="Arial" w:hAnsi="Arial" w:cs="Arial"/>
          <w:color w:val="000000"/>
          <w:sz w:val="24"/>
          <w:szCs w:val="24"/>
          <w:shd w:val="clear" w:color="auto" w:fill="FFFFFF"/>
        </w:rPr>
        <w:t xml:space="preserve">A </w:t>
      </w:r>
      <w:r w:rsidRPr="0019172C">
        <w:rPr>
          <w:rFonts w:ascii="Arial" w:hAnsi="Arial" w:cs="Arial"/>
          <w:sz w:val="24"/>
          <w:szCs w:val="24"/>
        </w:rPr>
        <w:t xml:space="preserve">national snapshot of adults with intellectual disabilities in the labour force in </w:t>
      </w:r>
      <w:r w:rsidRPr="0019172C">
        <w:rPr>
          <w:rFonts w:ascii="Arial" w:hAnsi="Arial" w:cs="Arial"/>
          <w:color w:val="000000"/>
          <w:sz w:val="24"/>
          <w:szCs w:val="24"/>
          <w:shd w:val="clear" w:color="auto" w:fill="FFFFFF"/>
        </w:rPr>
        <w:t xml:space="preserve">2013 found </w:t>
      </w:r>
      <w:r w:rsidR="0083148B">
        <w:rPr>
          <w:rFonts w:ascii="Arial" w:hAnsi="Arial" w:cs="Arial"/>
          <w:color w:val="000000"/>
          <w:sz w:val="24"/>
          <w:szCs w:val="24"/>
          <w:shd w:val="clear" w:color="auto" w:fill="FFFFFF"/>
        </w:rPr>
        <w:t xml:space="preserve">that if </w:t>
      </w:r>
      <w:r w:rsidR="008C17E8" w:rsidRPr="0019172C">
        <w:rPr>
          <w:rFonts w:ascii="Arial" w:eastAsia="Times New Roman" w:hAnsi="Arial" w:cs="Arial"/>
          <w:sz w:val="24"/>
          <w:szCs w:val="24"/>
        </w:rPr>
        <w:t xml:space="preserve">young people with </w:t>
      </w:r>
      <w:r w:rsidR="00CA1BDE">
        <w:rPr>
          <w:rFonts w:ascii="Arial" w:eastAsia="Times New Roman" w:hAnsi="Arial" w:cs="Arial"/>
          <w:sz w:val="24"/>
          <w:szCs w:val="24"/>
        </w:rPr>
        <w:t>intellectual</w:t>
      </w:r>
      <w:r w:rsidR="00CA1BDE" w:rsidRPr="0019172C">
        <w:rPr>
          <w:rFonts w:ascii="Arial" w:eastAsia="Times New Roman" w:hAnsi="Arial" w:cs="Arial"/>
          <w:sz w:val="24"/>
          <w:szCs w:val="24"/>
        </w:rPr>
        <w:t xml:space="preserve"> </w:t>
      </w:r>
      <w:r w:rsidR="008C17E8" w:rsidRPr="0019172C">
        <w:rPr>
          <w:rFonts w:ascii="Arial" w:eastAsia="Times New Roman" w:hAnsi="Arial" w:cs="Arial"/>
          <w:sz w:val="24"/>
          <w:szCs w:val="24"/>
        </w:rPr>
        <w:t>disability do not engage in mainstream employment by age 21, it is unlikely that they ever will</w:t>
      </w:r>
      <w:r w:rsidR="0077384B">
        <w:rPr>
          <w:rFonts w:ascii="Arial" w:eastAsia="Times New Roman" w:hAnsi="Arial" w:cs="Arial"/>
          <w:sz w:val="24"/>
          <w:szCs w:val="24"/>
        </w:rPr>
        <w:t xml:space="preserve"> </w:t>
      </w:r>
      <w:r w:rsidR="005F0315">
        <w:rPr>
          <w:rFonts w:ascii="Arial" w:eastAsia="Times New Roman" w:hAnsi="Arial" w:cs="Arial"/>
          <w:sz w:val="24"/>
          <w:szCs w:val="24"/>
        </w:rPr>
        <w:fldChar w:fldCharType="begin"/>
      </w:r>
      <w:r w:rsidR="005F0315">
        <w:rPr>
          <w:rFonts w:ascii="Arial" w:eastAsia="Times New Roman" w:hAnsi="Arial" w:cs="Arial"/>
          <w:sz w:val="24"/>
          <w:szCs w:val="24"/>
        </w:rPr>
        <w:instrText xml:space="preserve"> ADDIN EN.CITE &lt;EndNote&gt;&lt;Cite&gt;&lt;Author&gt;Siperstein&lt;/Author&gt;&lt;Year&gt;2013&lt;/Year&gt;&lt;RecNum&gt;1741&lt;/RecNum&gt;&lt;DisplayText&gt;(Siperstein, Parker, &amp;amp; Drascher, 2013)&lt;/DisplayText&gt;&lt;record&gt;&lt;rec-number&gt;1741&lt;/rec-number&gt;&lt;foreign-keys&gt;&lt;key app="EN" db-id="afrvxfvzvvpp2tew2sbxfrtxszxsa992r2f0" timestamp="1585214236"&gt;1741&lt;/key&gt;&lt;/foreign-keys&gt;&lt;ref-type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005F0315">
        <w:rPr>
          <w:rFonts w:ascii="Arial" w:eastAsia="Times New Roman" w:hAnsi="Arial" w:cs="Arial"/>
          <w:sz w:val="24"/>
          <w:szCs w:val="24"/>
        </w:rPr>
        <w:fldChar w:fldCharType="separate"/>
      </w:r>
      <w:r w:rsidR="005F0315">
        <w:rPr>
          <w:rFonts w:ascii="Arial" w:eastAsia="Times New Roman" w:hAnsi="Arial" w:cs="Arial"/>
          <w:noProof/>
          <w:sz w:val="24"/>
          <w:szCs w:val="24"/>
        </w:rPr>
        <w:t>(Siperstein, Parker, &amp; Drascher, 2013)</w:t>
      </w:r>
      <w:r w:rsidR="005F0315">
        <w:rPr>
          <w:rFonts w:ascii="Arial" w:eastAsia="Times New Roman" w:hAnsi="Arial" w:cs="Arial"/>
          <w:sz w:val="24"/>
          <w:szCs w:val="24"/>
        </w:rPr>
        <w:fldChar w:fldCharType="end"/>
      </w:r>
      <w:r w:rsidR="008C17E8" w:rsidRPr="0019172C">
        <w:rPr>
          <w:rFonts w:ascii="Arial" w:eastAsia="Times New Roman" w:hAnsi="Arial" w:cs="Arial"/>
          <w:sz w:val="24"/>
          <w:szCs w:val="24"/>
        </w:rPr>
        <w:t xml:space="preserve">. </w:t>
      </w:r>
    </w:p>
    <w:p w14:paraId="59B9A142" w14:textId="77777777" w:rsidR="008C17E8" w:rsidRPr="0019172C" w:rsidRDefault="008C17E8" w:rsidP="00EB1FEF">
      <w:pPr>
        <w:spacing w:after="120"/>
        <w:rPr>
          <w:rFonts w:ascii="Arial" w:eastAsia="Times New Roman" w:hAnsi="Arial" w:cs="Arial"/>
          <w:sz w:val="24"/>
          <w:szCs w:val="24"/>
        </w:rPr>
      </w:pPr>
      <w:r w:rsidRPr="0019172C">
        <w:rPr>
          <w:rFonts w:ascii="Arial" w:eastAsia="Times New Roman" w:hAnsi="Arial" w:cs="Arial"/>
          <w:sz w:val="24"/>
          <w:szCs w:val="24"/>
        </w:rPr>
        <w:t>Across the intervening years of economic prosperity, t</w:t>
      </w:r>
      <w:r w:rsidR="00612B73" w:rsidRPr="0019172C">
        <w:rPr>
          <w:rFonts w:ascii="Arial" w:eastAsia="Times New Roman" w:hAnsi="Arial" w:cs="Arial"/>
          <w:sz w:val="24"/>
          <w:szCs w:val="24"/>
        </w:rPr>
        <w:t>he</w:t>
      </w:r>
      <w:r w:rsidR="005240DC" w:rsidRPr="0019172C">
        <w:rPr>
          <w:rFonts w:ascii="Arial" w:eastAsia="Times New Roman" w:hAnsi="Arial" w:cs="Arial"/>
          <w:sz w:val="24"/>
          <w:szCs w:val="24"/>
        </w:rPr>
        <w:t xml:space="preserve"> gap between young people with disability and those without</w:t>
      </w:r>
      <w:r w:rsidRPr="0019172C">
        <w:rPr>
          <w:rFonts w:ascii="Arial" w:eastAsia="Times New Roman" w:hAnsi="Arial" w:cs="Arial"/>
          <w:sz w:val="24"/>
          <w:szCs w:val="24"/>
        </w:rPr>
        <w:t xml:space="preserve"> </w:t>
      </w:r>
      <w:r w:rsidR="005240DC" w:rsidRPr="0019172C">
        <w:rPr>
          <w:rFonts w:ascii="Arial" w:eastAsia="Times New Roman" w:hAnsi="Arial" w:cs="Arial"/>
          <w:sz w:val="24"/>
          <w:szCs w:val="24"/>
        </w:rPr>
        <w:t>widened</w:t>
      </w:r>
      <w:r w:rsidRPr="0019172C">
        <w:rPr>
          <w:rFonts w:ascii="Arial" w:eastAsia="Times New Roman" w:hAnsi="Arial" w:cs="Arial"/>
          <w:sz w:val="24"/>
          <w:szCs w:val="24"/>
        </w:rPr>
        <w:t>.</w:t>
      </w:r>
      <w:r w:rsidR="005240DC" w:rsidRPr="0019172C">
        <w:rPr>
          <w:rFonts w:ascii="Arial" w:eastAsia="Times New Roman" w:hAnsi="Arial" w:cs="Arial"/>
          <w:sz w:val="24"/>
          <w:szCs w:val="24"/>
        </w:rPr>
        <w:t xml:space="preserve"> </w:t>
      </w:r>
      <w:r w:rsidRPr="0019172C">
        <w:rPr>
          <w:rFonts w:ascii="Arial" w:eastAsia="Times New Roman" w:hAnsi="Arial" w:cs="Arial"/>
          <w:sz w:val="24"/>
          <w:szCs w:val="24"/>
        </w:rPr>
        <w:t>T</w:t>
      </w:r>
      <w:r w:rsidR="005240DC" w:rsidRPr="0019172C">
        <w:rPr>
          <w:rFonts w:ascii="Arial" w:eastAsia="Times New Roman" w:hAnsi="Arial" w:cs="Arial"/>
          <w:sz w:val="24"/>
          <w:szCs w:val="24"/>
        </w:rPr>
        <w:t xml:space="preserve">he economic and social participation </w:t>
      </w:r>
      <w:r w:rsidR="0083148B">
        <w:rPr>
          <w:rFonts w:ascii="Arial" w:eastAsia="Times New Roman" w:hAnsi="Arial" w:cs="Arial"/>
          <w:sz w:val="24"/>
          <w:szCs w:val="24"/>
        </w:rPr>
        <w:t xml:space="preserve">of those with disability has </w:t>
      </w:r>
      <w:r w:rsidRPr="0019172C">
        <w:rPr>
          <w:rFonts w:ascii="Arial" w:eastAsia="Times New Roman" w:hAnsi="Arial" w:cs="Arial"/>
          <w:sz w:val="24"/>
          <w:szCs w:val="24"/>
        </w:rPr>
        <w:t>declined even further.</w:t>
      </w:r>
      <w:r w:rsidR="005240DC" w:rsidRPr="0019172C">
        <w:rPr>
          <w:rFonts w:ascii="Arial" w:eastAsia="Times New Roman" w:hAnsi="Arial" w:cs="Arial"/>
          <w:sz w:val="24"/>
          <w:szCs w:val="24"/>
        </w:rPr>
        <w:t xml:space="preserve"> </w:t>
      </w:r>
      <w:r w:rsidRPr="0019172C">
        <w:rPr>
          <w:rFonts w:ascii="Arial" w:eastAsia="Times New Roman" w:hAnsi="Arial" w:cs="Arial"/>
          <w:sz w:val="24"/>
          <w:szCs w:val="24"/>
        </w:rPr>
        <w:t>Indicative of this is</w:t>
      </w:r>
      <w:r w:rsidR="00CA1BDE">
        <w:rPr>
          <w:rFonts w:ascii="Arial" w:eastAsia="Times New Roman" w:hAnsi="Arial" w:cs="Arial"/>
          <w:sz w:val="24"/>
          <w:szCs w:val="24"/>
        </w:rPr>
        <w:t xml:space="preserve"> over 10 years there was</w:t>
      </w:r>
      <w:r w:rsidRPr="0019172C">
        <w:rPr>
          <w:rFonts w:ascii="Arial" w:eastAsia="Times New Roman" w:hAnsi="Arial" w:cs="Arial"/>
          <w:sz w:val="24"/>
          <w:szCs w:val="24"/>
        </w:rPr>
        <w:t xml:space="preserve">: </w:t>
      </w:r>
    </w:p>
    <w:p w14:paraId="416C49CD" w14:textId="28E04B68" w:rsidR="005240DC" w:rsidRDefault="005240DC" w:rsidP="00EB1FEF">
      <w:pPr>
        <w:pStyle w:val="ListParagraph"/>
        <w:widowControl w:val="0"/>
        <w:numPr>
          <w:ilvl w:val="0"/>
          <w:numId w:val="9"/>
        </w:numPr>
        <w:suppressAutoHyphens/>
        <w:autoSpaceDN w:val="0"/>
        <w:spacing w:after="120"/>
        <w:textAlignment w:val="baseline"/>
        <w:rPr>
          <w:rFonts w:ascii="Arial" w:eastAsia="Times New Roman" w:hAnsi="Arial" w:cs="Arial"/>
          <w:sz w:val="24"/>
          <w:szCs w:val="24"/>
        </w:rPr>
      </w:pPr>
      <w:r w:rsidRPr="0019172C">
        <w:rPr>
          <w:rFonts w:ascii="Arial" w:eastAsia="Times New Roman" w:hAnsi="Arial" w:cs="Arial"/>
          <w:sz w:val="24"/>
          <w:szCs w:val="24"/>
        </w:rPr>
        <w:t>10% decrease in the number of young people with disability in employment.</w:t>
      </w:r>
    </w:p>
    <w:p w14:paraId="392CC21B" w14:textId="1E658AF6" w:rsidR="008C17E8" w:rsidRPr="00227B04" w:rsidRDefault="005240DC" w:rsidP="00227B04">
      <w:pPr>
        <w:pStyle w:val="ListParagraph"/>
        <w:widowControl w:val="0"/>
        <w:numPr>
          <w:ilvl w:val="0"/>
          <w:numId w:val="9"/>
        </w:numPr>
        <w:suppressAutoHyphens/>
        <w:autoSpaceDN w:val="0"/>
        <w:spacing w:after="120"/>
        <w:textAlignment w:val="baseline"/>
        <w:rPr>
          <w:rFonts w:ascii="Arial" w:eastAsia="Times New Roman" w:hAnsi="Arial" w:cs="Arial"/>
          <w:sz w:val="24"/>
          <w:szCs w:val="24"/>
        </w:rPr>
      </w:pPr>
      <w:r w:rsidRPr="00227B04">
        <w:rPr>
          <w:rFonts w:ascii="Arial" w:eastAsiaTheme="minorEastAsia" w:hAnsi="Arial" w:cs="Arial"/>
          <w:sz w:val="24"/>
          <w:szCs w:val="24"/>
          <w:lang w:val="en-GB" w:bidi="en-US"/>
        </w:rPr>
        <w:t xml:space="preserve">8% decrease in the number of young people with disability being fully engaged in </w:t>
      </w:r>
      <w:r w:rsidRPr="00227B04">
        <w:rPr>
          <w:rFonts w:ascii="Arial" w:eastAsiaTheme="minorEastAsia" w:hAnsi="Arial" w:cs="Arial"/>
          <w:sz w:val="24"/>
          <w:szCs w:val="24"/>
          <w:lang w:val="en-GB" w:bidi="en-US"/>
        </w:rPr>
        <w:lastRenderedPageBreak/>
        <w:t>education or work</w:t>
      </w:r>
      <w:r w:rsidR="00F64ED2" w:rsidRPr="00227B04">
        <w:rPr>
          <w:rFonts w:ascii="Arial" w:eastAsiaTheme="minorEastAsia" w:hAnsi="Arial" w:cs="Arial"/>
          <w:sz w:val="24"/>
          <w:szCs w:val="24"/>
          <w:lang w:val="en-GB" w:bidi="en-US"/>
        </w:rPr>
        <w:t xml:space="preserve"> </w:t>
      </w:r>
      <w:r w:rsidR="00F64ED2" w:rsidRPr="00227B04">
        <w:rPr>
          <w:rFonts w:ascii="Arial" w:eastAsiaTheme="minorEastAsia" w:hAnsi="Arial" w:cs="Arial"/>
          <w:sz w:val="24"/>
          <w:szCs w:val="24"/>
          <w:lang w:val="en-GB" w:bidi="en-US"/>
        </w:rPr>
        <w:fldChar w:fldCharType="begin"/>
      </w:r>
      <w:r w:rsidR="00F64ED2" w:rsidRPr="00227B04">
        <w:rPr>
          <w:rFonts w:ascii="Arial" w:eastAsiaTheme="minorEastAsia" w:hAnsi="Arial" w:cs="Arial"/>
          <w:sz w:val="24"/>
          <w:szCs w:val="24"/>
          <w:lang w:val="en-GB" w:bidi="en-US"/>
        </w:rPr>
        <w:instrText xml:space="preserve"> ADDIN EN.CITE &lt;EndNote&gt;&lt;Cite&gt;&lt;Author&gt;Emerson&lt;/Author&gt;&lt;Year&gt;2014&lt;/Year&gt;&lt;RecNum&gt;1740&lt;/RecNum&gt;&lt;DisplayText&gt;(Emerson &amp;amp; Llewellyn, 2014)&lt;/DisplayText&gt;&lt;record&gt;&lt;rec-number&gt;1740&lt;/rec-number&gt;&lt;foreign-keys&gt;&lt;key app="EN" db-id="afrvxfvzvvpp2tew2sbxfrtxszxsa992r2f0" timestamp="1585212492"&gt;1740&lt;/key&gt;&lt;/foreign-keys&gt;&lt;ref-type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related-urls&gt;&lt;url&gt;https://ses.library.usyd.edu.au/bitstream/handle/2123/13529/Left_behind_2014%20Technical%20Report_FINAL.pdf?sequence=1&lt;/url&gt;&lt;/related-urls&gt;&lt;/urls&gt;&lt;/record&gt;&lt;/Cite&gt;&lt;/EndNote&gt;</w:instrText>
      </w:r>
      <w:r w:rsidR="00F64ED2" w:rsidRPr="00227B04">
        <w:rPr>
          <w:rFonts w:ascii="Arial" w:eastAsiaTheme="minorEastAsia" w:hAnsi="Arial" w:cs="Arial"/>
          <w:sz w:val="24"/>
          <w:szCs w:val="24"/>
          <w:lang w:val="en-GB" w:bidi="en-US"/>
        </w:rPr>
        <w:fldChar w:fldCharType="separate"/>
      </w:r>
      <w:r w:rsidR="00F64ED2" w:rsidRPr="00227B04">
        <w:rPr>
          <w:rFonts w:ascii="Arial" w:eastAsiaTheme="minorEastAsia" w:hAnsi="Arial" w:cs="Arial"/>
          <w:noProof/>
          <w:sz w:val="24"/>
          <w:szCs w:val="24"/>
          <w:lang w:val="en-GB" w:bidi="en-US"/>
        </w:rPr>
        <w:t>(Emerson &amp; Llewellyn, 2014)</w:t>
      </w:r>
      <w:r w:rsidR="00F64ED2" w:rsidRPr="00227B04">
        <w:rPr>
          <w:rFonts w:ascii="Arial" w:eastAsiaTheme="minorEastAsia" w:hAnsi="Arial" w:cs="Arial"/>
          <w:sz w:val="24"/>
          <w:szCs w:val="24"/>
          <w:lang w:val="en-GB" w:bidi="en-US"/>
        </w:rPr>
        <w:fldChar w:fldCharType="end"/>
      </w:r>
      <w:r w:rsidRPr="00227B04">
        <w:rPr>
          <w:rFonts w:ascii="Arial" w:eastAsiaTheme="minorEastAsia" w:hAnsi="Arial" w:cs="Arial"/>
          <w:sz w:val="24"/>
          <w:szCs w:val="24"/>
          <w:lang w:val="en-GB" w:bidi="en-US"/>
        </w:rPr>
        <w:t>.</w:t>
      </w:r>
      <w:r w:rsidR="00EB1FEF" w:rsidRPr="00227B04">
        <w:rPr>
          <w:rFonts w:ascii="Arial" w:eastAsia="Times New Roman" w:hAnsi="Arial" w:cs="Arial"/>
          <w:sz w:val="24"/>
          <w:szCs w:val="24"/>
          <w:vertAlign w:val="superscript"/>
        </w:rPr>
        <w:t xml:space="preserve"> </w:t>
      </w:r>
    </w:p>
    <w:p w14:paraId="051F5250" w14:textId="77777777" w:rsidR="003A02DF" w:rsidRPr="0019172C" w:rsidRDefault="008C17E8" w:rsidP="00EB1FEF">
      <w:pPr>
        <w:widowControl w:val="0"/>
        <w:suppressAutoHyphens/>
        <w:autoSpaceDN w:val="0"/>
        <w:spacing w:after="120"/>
        <w:textAlignment w:val="baseline"/>
        <w:rPr>
          <w:rFonts w:ascii="Arial" w:eastAsia="Times New Roman" w:hAnsi="Arial" w:cs="Arial"/>
          <w:sz w:val="24"/>
          <w:szCs w:val="24"/>
        </w:rPr>
      </w:pPr>
      <w:r w:rsidRPr="0019172C">
        <w:rPr>
          <w:rFonts w:ascii="Arial" w:eastAsia="Times New Roman" w:hAnsi="Arial" w:cs="Arial"/>
          <w:sz w:val="24"/>
          <w:szCs w:val="24"/>
        </w:rPr>
        <w:t>I</w:t>
      </w:r>
      <w:r w:rsidR="005240DC" w:rsidRPr="0019172C">
        <w:rPr>
          <w:rFonts w:ascii="Arial" w:eastAsia="Times New Roman" w:hAnsi="Arial" w:cs="Arial"/>
          <w:sz w:val="24"/>
          <w:szCs w:val="24"/>
        </w:rPr>
        <w:t>t is imperative that these trends are reversed</w:t>
      </w:r>
      <w:r w:rsidR="00CA308D" w:rsidRPr="0019172C">
        <w:rPr>
          <w:rFonts w:ascii="Arial" w:eastAsia="Times New Roman" w:hAnsi="Arial" w:cs="Arial"/>
          <w:sz w:val="24"/>
          <w:szCs w:val="24"/>
        </w:rPr>
        <w:t xml:space="preserve"> </w:t>
      </w:r>
      <w:r w:rsidRPr="0019172C">
        <w:rPr>
          <w:rFonts w:ascii="Arial" w:eastAsia="Times New Roman" w:hAnsi="Arial" w:cs="Arial"/>
          <w:sz w:val="24"/>
          <w:szCs w:val="24"/>
        </w:rPr>
        <w:t>if we are</w:t>
      </w:r>
      <w:r w:rsidR="00CA308D" w:rsidRPr="0019172C">
        <w:rPr>
          <w:rFonts w:ascii="Arial" w:eastAsia="Times New Roman" w:hAnsi="Arial" w:cs="Arial"/>
          <w:sz w:val="24"/>
          <w:szCs w:val="24"/>
        </w:rPr>
        <w:t xml:space="preserve"> to ensure the </w:t>
      </w:r>
      <w:r w:rsidRPr="0019172C">
        <w:rPr>
          <w:rFonts w:ascii="Arial" w:eastAsia="Times New Roman" w:hAnsi="Arial" w:cs="Arial"/>
          <w:sz w:val="24"/>
          <w:szCs w:val="24"/>
        </w:rPr>
        <w:t xml:space="preserve">current </w:t>
      </w:r>
      <w:r w:rsidR="00CA308D" w:rsidRPr="0019172C">
        <w:rPr>
          <w:rFonts w:ascii="Arial" w:eastAsia="Times New Roman" w:hAnsi="Arial" w:cs="Arial"/>
          <w:sz w:val="24"/>
          <w:szCs w:val="24"/>
        </w:rPr>
        <w:t>e</w:t>
      </w:r>
      <w:r w:rsidR="003A02DF" w:rsidRPr="0019172C">
        <w:rPr>
          <w:rFonts w:ascii="Arial" w:eastAsia="Times New Roman" w:hAnsi="Arial" w:cs="Arial"/>
          <w:sz w:val="24"/>
          <w:szCs w:val="24"/>
        </w:rPr>
        <w:t xml:space="preserve">conomic downturn does not embed lifelong </w:t>
      </w:r>
      <w:r w:rsidR="000205C9" w:rsidRPr="0019172C">
        <w:rPr>
          <w:rFonts w:ascii="Arial" w:eastAsia="Times New Roman" w:hAnsi="Arial" w:cs="Arial"/>
          <w:sz w:val="24"/>
          <w:szCs w:val="24"/>
        </w:rPr>
        <w:t xml:space="preserve">disadvantage. </w:t>
      </w:r>
    </w:p>
    <w:p w14:paraId="1DA58C00" w14:textId="121401A6" w:rsidR="005240DC"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Early intervention is the key as it is “crucial that young people with a disability receive the support required to participate in the workforce as early as possible</w:t>
      </w:r>
      <w:r w:rsidR="00A64F4F">
        <w:rPr>
          <w:rFonts w:ascii="Arial" w:eastAsia="Times New Roman" w:hAnsi="Arial" w:cs="Arial"/>
          <w:sz w:val="24"/>
          <w:szCs w:val="24"/>
        </w:rPr>
        <w:t>. Doing so will</w:t>
      </w:r>
      <w:r w:rsidRPr="0019172C">
        <w:rPr>
          <w:rFonts w:ascii="Arial" w:eastAsia="Times New Roman" w:hAnsi="Arial" w:cs="Arial"/>
          <w:sz w:val="24"/>
          <w:szCs w:val="24"/>
        </w:rPr>
        <w:t xml:space="preserve"> drive effective long-term employment outcomes and maximise the benefits of improved standards of living and social inclusion that come with employment</w:t>
      </w:r>
      <w:r w:rsidR="000266C5">
        <w:rPr>
          <w:rFonts w:ascii="Arial" w:eastAsia="Times New Roman" w:hAnsi="Arial" w:cs="Arial"/>
          <w:sz w:val="24"/>
          <w:szCs w:val="24"/>
        </w:rPr>
        <w:t xml:space="preserve"> </w:t>
      </w:r>
      <w:r w:rsidR="000266C5">
        <w:rPr>
          <w:rFonts w:ascii="Arial" w:eastAsia="Times New Roman" w:hAnsi="Arial" w:cs="Arial"/>
          <w:sz w:val="24"/>
          <w:szCs w:val="24"/>
        </w:rPr>
        <w:fldChar w:fldCharType="begin"/>
      </w:r>
      <w:r w:rsidR="000266C5">
        <w:rPr>
          <w:rFonts w:ascii="Arial" w:eastAsia="Times New Roman" w:hAnsi="Arial" w:cs="Arial"/>
          <w:sz w:val="24"/>
          <w:szCs w:val="24"/>
        </w:rPr>
        <w:instrText xml:space="preserve"> ADDIN EN.CITE &lt;EndNote&gt;&lt;Cite&gt;&lt;Author&gt;Deloitte Access Economics&lt;/Author&gt;&lt;Year&gt;2011&lt;/Year&gt;&lt;RecNum&gt;1747&lt;/RecNum&gt;&lt;DisplayText&gt;(Deloitte Access Economics, 2011)&lt;/DisplayText&gt;&lt;record&gt;&lt;rec-number&gt;1747&lt;/rec-number&gt;&lt;foreign-keys&gt;&lt;key app="EN" db-id="afrvxfvzvvpp2tew2sbxfrtxszxsa992r2f0" timestamp="1585267299"&gt;1747&lt;/key&gt;&lt;/foreign-keys&gt;&lt;ref-type name="Report"&gt;27&lt;/ref-type&gt;&lt;contributors&gt;&lt;authors&gt;&lt;author&gt;Deloitte Access Economics, &lt;/author&gt;&lt;/authors&gt;&lt;/contributors&gt;&lt;titles&gt;&lt;title&gt;The economic benefits of increasing employment for people with disability&lt;/title&gt;&lt;/titles&gt;&lt;dates&gt;&lt;year&gt;2011&lt;/year&gt;&lt;/dates&gt;&lt;publisher&gt;Australian Network on Disability&lt;/publisher&gt;&lt;urls&gt;&lt;related-urls&gt;&lt;url&gt;https://www2.deloitte.com/au/en/pages/economics/articles/economic-benefits-increasing-employment-for-people-with-disability.html&lt;/url&gt;&lt;/related-urls&gt;&lt;/urls&gt;&lt;/record&gt;&lt;/Cite&gt;&lt;/EndNote&gt;</w:instrText>
      </w:r>
      <w:r w:rsidR="000266C5">
        <w:rPr>
          <w:rFonts w:ascii="Arial" w:eastAsia="Times New Roman" w:hAnsi="Arial" w:cs="Arial"/>
          <w:sz w:val="24"/>
          <w:szCs w:val="24"/>
        </w:rPr>
        <w:fldChar w:fldCharType="separate"/>
      </w:r>
      <w:r w:rsidR="000266C5">
        <w:rPr>
          <w:rFonts w:ascii="Arial" w:eastAsia="Times New Roman" w:hAnsi="Arial" w:cs="Arial"/>
          <w:noProof/>
          <w:sz w:val="24"/>
          <w:szCs w:val="24"/>
        </w:rPr>
        <w:t>(Deloitte Access Economics, 2011)</w:t>
      </w:r>
      <w:r w:rsidR="000266C5">
        <w:rPr>
          <w:rFonts w:ascii="Arial" w:eastAsia="Times New Roman" w:hAnsi="Arial" w:cs="Arial"/>
          <w:sz w:val="24"/>
          <w:szCs w:val="24"/>
        </w:rPr>
        <w:fldChar w:fldCharType="end"/>
      </w:r>
      <w:r w:rsidRPr="0019172C">
        <w:rPr>
          <w:rFonts w:ascii="Arial" w:eastAsia="Times New Roman" w:hAnsi="Arial" w:cs="Arial"/>
          <w:sz w:val="24"/>
          <w:szCs w:val="24"/>
        </w:rPr>
        <w:t xml:space="preserve">”. </w:t>
      </w:r>
    </w:p>
    <w:p w14:paraId="72F893AB" w14:textId="413EADAB" w:rsidR="00CA308D" w:rsidRPr="0019172C" w:rsidRDefault="00A33CDD" w:rsidP="00EB1FEF">
      <w:pPr>
        <w:spacing w:after="120"/>
        <w:rPr>
          <w:rFonts w:ascii="Arial" w:eastAsia="Times New Roman" w:hAnsi="Arial" w:cs="Arial"/>
          <w:sz w:val="24"/>
          <w:szCs w:val="24"/>
        </w:rPr>
      </w:pPr>
      <w:r>
        <w:rPr>
          <w:rFonts w:ascii="Arial" w:hAnsi="Arial" w:cs="Arial"/>
          <w:sz w:val="24"/>
          <w:szCs w:val="24"/>
        </w:rPr>
        <w:t xml:space="preserve">Interventions to support senior </w:t>
      </w:r>
      <w:r w:rsidR="00030365" w:rsidRPr="0019172C">
        <w:rPr>
          <w:rFonts w:ascii="Arial" w:hAnsi="Arial" w:cs="Arial"/>
          <w:sz w:val="24"/>
          <w:szCs w:val="24"/>
        </w:rPr>
        <w:t xml:space="preserve">secondary students with disability are essential not only at school but beyond the classroom. An analysis of longitudinal data collected on 12,000 students with disability found that the most </w:t>
      </w:r>
      <w:r w:rsidR="00042DFC">
        <w:rPr>
          <w:rFonts w:ascii="Arial" w:hAnsi="Arial" w:cs="Arial"/>
          <w:sz w:val="24"/>
          <w:szCs w:val="24"/>
        </w:rPr>
        <w:t>critical</w:t>
      </w:r>
      <w:r w:rsidR="00030365" w:rsidRPr="0019172C">
        <w:rPr>
          <w:rFonts w:ascii="Arial" w:hAnsi="Arial" w:cs="Arial"/>
          <w:sz w:val="24"/>
          <w:szCs w:val="24"/>
        </w:rPr>
        <w:t xml:space="preserve"> elements predicting employment outcomes for students with disability were employment experiences in high school and parental expectations of post</w:t>
      </w:r>
      <w:r w:rsidR="004B00AA">
        <w:rPr>
          <w:rFonts w:ascii="Arial" w:hAnsi="Arial" w:cs="Arial"/>
          <w:sz w:val="24"/>
          <w:szCs w:val="24"/>
        </w:rPr>
        <w:t>-</w:t>
      </w:r>
      <w:r w:rsidR="00042DFC">
        <w:rPr>
          <w:rFonts w:ascii="Arial" w:hAnsi="Arial" w:cs="Arial"/>
          <w:sz w:val="24"/>
          <w:szCs w:val="24"/>
        </w:rPr>
        <w:t>secondary</w:t>
      </w:r>
      <w:r w:rsidR="00030365" w:rsidRPr="0019172C">
        <w:rPr>
          <w:rFonts w:ascii="Arial" w:hAnsi="Arial" w:cs="Arial"/>
          <w:sz w:val="24"/>
          <w:szCs w:val="24"/>
        </w:rPr>
        <w:t xml:space="preserve"> school employment</w:t>
      </w:r>
      <w:r w:rsidR="00AE4B35">
        <w:rPr>
          <w:rFonts w:ascii="Arial" w:hAnsi="Arial" w:cs="Arial"/>
          <w:sz w:val="24"/>
          <w:szCs w:val="24"/>
        </w:rPr>
        <w:t xml:space="preserve"> </w:t>
      </w:r>
      <w:r w:rsidR="00AE4B35">
        <w:rPr>
          <w:rFonts w:ascii="Arial" w:hAnsi="Arial" w:cs="Arial"/>
          <w:sz w:val="24"/>
          <w:szCs w:val="24"/>
        </w:rPr>
        <w:fldChar w:fldCharType="begin"/>
      </w:r>
      <w:r w:rsidR="00AE4B35">
        <w:rPr>
          <w:rFonts w:ascii="Arial" w:hAnsi="Arial" w:cs="Arial"/>
          <w:sz w:val="24"/>
          <w:szCs w:val="24"/>
        </w:rPr>
        <w:instrText xml:space="preserve"> ADDIN EN.CITE &lt;EndNote&gt;&lt;Cite&gt;&lt;Author&gt;Wehman&lt;/Author&gt;&lt;Year&gt;2015&lt;/Year&gt;&lt;RecNum&gt;1848&lt;/RecNum&gt;&lt;DisplayText&gt;(Wehman et al., 2015)&lt;/DisplayText&gt;&lt;record&gt;&lt;rec-number&gt;1848&lt;/rec-number&gt;&lt;foreign-keys&gt;&lt;key app="EN" db-id="afrvxfvzvvpp2tew2sbxfrtxszxsa992r2f0" timestamp="1595916658"&gt;1848&lt;/key&gt;&lt;/foreign-keys&gt;&lt;ref-type name="Journal Article"&gt;17&lt;/ref-type&gt;&lt;contributors&gt;&lt;authors&gt;&lt;author&gt;Wehman, Paul&lt;/author&gt;&lt;author&gt;Sima, Adam P&lt;/author&gt;&lt;author&gt;Ketchum, Jessica&lt;/author&gt;&lt;author&gt;West, Michael D&lt;/author&gt;&lt;author&gt;Chan, Fong&lt;/author&gt;&lt;author&gt;Luecking, Richard&lt;/author&gt;&lt;/authors&gt;&lt;/contributors&gt;&lt;titles&gt;&lt;title&gt;Predictors of successful transition from school to employment for youth with disabilities&lt;/title&gt;&lt;secondary-title&gt;Journal of occupational rehabilitation&lt;/secondary-title&gt;&lt;/titles&gt;&lt;periodical&gt;&lt;full-title&gt;Journal of occupational rehabilitation&lt;/full-title&gt;&lt;/periodical&gt;&lt;pages&gt;323-334&lt;/pages&gt;&lt;volume&gt;25&lt;/volume&gt;&lt;number&gt;2&lt;/number&gt;&lt;dates&gt;&lt;year&gt;2015&lt;/year&gt;&lt;/dates&gt;&lt;isbn&gt;1053-0487&lt;/isbn&gt;&lt;urls&gt;&lt;/urls&gt;&lt;/record&gt;&lt;/Cite&gt;&lt;/EndNote&gt;</w:instrText>
      </w:r>
      <w:r w:rsidR="00AE4B35">
        <w:rPr>
          <w:rFonts w:ascii="Arial" w:hAnsi="Arial" w:cs="Arial"/>
          <w:sz w:val="24"/>
          <w:szCs w:val="24"/>
        </w:rPr>
        <w:fldChar w:fldCharType="separate"/>
      </w:r>
      <w:r w:rsidR="00AE4B35">
        <w:rPr>
          <w:rFonts w:ascii="Arial" w:hAnsi="Arial" w:cs="Arial"/>
          <w:noProof/>
          <w:sz w:val="24"/>
          <w:szCs w:val="24"/>
        </w:rPr>
        <w:t>(Wehman et al., 2015)</w:t>
      </w:r>
      <w:r w:rsidR="00AE4B35">
        <w:rPr>
          <w:rFonts w:ascii="Arial" w:hAnsi="Arial" w:cs="Arial"/>
          <w:sz w:val="24"/>
          <w:szCs w:val="24"/>
        </w:rPr>
        <w:fldChar w:fldCharType="end"/>
      </w:r>
      <w:r w:rsidR="00030365" w:rsidRPr="0019172C">
        <w:rPr>
          <w:rFonts w:ascii="Arial" w:hAnsi="Arial" w:cs="Arial"/>
          <w:sz w:val="24"/>
          <w:szCs w:val="24"/>
        </w:rPr>
        <w:t>.</w:t>
      </w:r>
      <w:r w:rsidR="00CA308D" w:rsidRPr="0019172C">
        <w:rPr>
          <w:rFonts w:ascii="Arial" w:eastAsia="Times New Roman" w:hAnsi="Arial" w:cs="Arial"/>
          <w:sz w:val="24"/>
          <w:szCs w:val="24"/>
        </w:rPr>
        <w:t xml:space="preserve"> </w:t>
      </w:r>
    </w:p>
    <w:p w14:paraId="454605C0" w14:textId="591C3EB8" w:rsidR="005240DC" w:rsidRPr="0019172C" w:rsidRDefault="005240DC" w:rsidP="00EB1FEF">
      <w:pPr>
        <w:spacing w:after="120"/>
        <w:contextualSpacing/>
        <w:jc w:val="both"/>
        <w:rPr>
          <w:rFonts w:ascii="Arial" w:hAnsi="Arial" w:cs="Arial"/>
          <w:sz w:val="24"/>
          <w:szCs w:val="24"/>
        </w:rPr>
      </w:pPr>
      <w:r w:rsidRPr="0019172C">
        <w:rPr>
          <w:rFonts w:ascii="Arial" w:eastAsia="Times New Roman" w:hAnsi="Arial" w:cs="Arial"/>
          <w:sz w:val="24"/>
          <w:szCs w:val="24"/>
        </w:rPr>
        <w:t xml:space="preserve">Yet many </w:t>
      </w:r>
      <w:r w:rsidRPr="0019172C">
        <w:rPr>
          <w:rFonts w:ascii="Arial" w:eastAsia="Times New Roman" w:hAnsi="Arial" w:cs="Arial"/>
          <w:sz w:val="24"/>
          <w:szCs w:val="24"/>
          <w:shd w:val="clear" w:color="auto" w:fill="FFFFFF"/>
        </w:rPr>
        <w:t>students with disability are not afforded the same school to work opportunities as their classmates</w:t>
      </w:r>
      <w:r w:rsidR="0019172C" w:rsidRPr="0019172C">
        <w:rPr>
          <w:rFonts w:ascii="Arial" w:hAnsi="Arial" w:cs="Arial"/>
          <w:sz w:val="24"/>
          <w:szCs w:val="24"/>
        </w:rPr>
        <w:t>; n</w:t>
      </w:r>
      <w:r w:rsidR="004928F9" w:rsidRPr="0019172C">
        <w:rPr>
          <w:rFonts w:ascii="Arial" w:hAnsi="Arial" w:cs="Arial"/>
          <w:sz w:val="24"/>
          <w:szCs w:val="24"/>
        </w:rPr>
        <w:t xml:space="preserve">ot </w:t>
      </w:r>
      <w:r w:rsidR="0099133E">
        <w:rPr>
          <w:rFonts w:ascii="Arial" w:hAnsi="Arial" w:cs="Arial"/>
          <w:sz w:val="24"/>
          <w:szCs w:val="24"/>
        </w:rPr>
        <w:t>obtain</w:t>
      </w:r>
      <w:r w:rsidR="0099133E" w:rsidRPr="0019172C">
        <w:rPr>
          <w:rFonts w:ascii="Arial" w:hAnsi="Arial" w:cs="Arial"/>
          <w:sz w:val="24"/>
          <w:szCs w:val="24"/>
        </w:rPr>
        <w:t>ing</w:t>
      </w:r>
      <w:r w:rsidR="004928F9" w:rsidRPr="0019172C">
        <w:rPr>
          <w:rFonts w:ascii="Arial" w:hAnsi="Arial" w:cs="Arial"/>
          <w:sz w:val="24"/>
          <w:szCs w:val="24"/>
        </w:rPr>
        <w:t xml:space="preserve"> access to work experience, after school work or</w:t>
      </w:r>
      <w:r w:rsidRPr="0019172C">
        <w:rPr>
          <w:rFonts w:ascii="Arial" w:hAnsi="Arial" w:cs="Arial"/>
          <w:sz w:val="24"/>
          <w:szCs w:val="24"/>
        </w:rPr>
        <w:t xml:space="preserve"> </w:t>
      </w:r>
      <w:r w:rsidR="004928F9" w:rsidRPr="0019172C">
        <w:rPr>
          <w:rFonts w:ascii="Arial" w:hAnsi="Arial" w:cs="Arial"/>
          <w:sz w:val="24"/>
          <w:szCs w:val="24"/>
        </w:rPr>
        <w:t>assistance with job-seeking or job-placement</w:t>
      </w:r>
    </w:p>
    <w:p w14:paraId="2A576FB1" w14:textId="77777777" w:rsidR="008C17E8" w:rsidRPr="0019172C" w:rsidRDefault="008C17E8" w:rsidP="00EB1FEF">
      <w:pPr>
        <w:spacing w:after="120"/>
        <w:contextualSpacing/>
        <w:rPr>
          <w:rFonts w:ascii="Arial" w:hAnsi="Arial" w:cs="Arial"/>
          <w:b/>
          <w:sz w:val="24"/>
          <w:szCs w:val="24"/>
        </w:rPr>
      </w:pPr>
    </w:p>
    <w:p w14:paraId="7764A413" w14:textId="77777777" w:rsidR="00A03660" w:rsidRPr="006263C3" w:rsidRDefault="00153722" w:rsidP="00EB1FEF">
      <w:pPr>
        <w:spacing w:after="120"/>
        <w:contextualSpacing/>
        <w:rPr>
          <w:rFonts w:ascii="Arial" w:hAnsi="Arial" w:cs="Arial"/>
          <w:b/>
          <w:sz w:val="28"/>
          <w:szCs w:val="24"/>
        </w:rPr>
      </w:pPr>
      <w:r w:rsidRPr="006263C3">
        <w:rPr>
          <w:rFonts w:ascii="Arial" w:hAnsi="Arial" w:cs="Arial"/>
          <w:b/>
          <w:sz w:val="28"/>
          <w:szCs w:val="24"/>
        </w:rPr>
        <w:t>Time to do things differently</w:t>
      </w:r>
    </w:p>
    <w:p w14:paraId="6AF777BE" w14:textId="3EE38D7B" w:rsidR="00767D04" w:rsidRPr="0019172C" w:rsidRDefault="00A03660" w:rsidP="00EB1FEF">
      <w:pPr>
        <w:spacing w:after="120"/>
        <w:rPr>
          <w:rFonts w:ascii="Arial" w:hAnsi="Arial" w:cs="Arial"/>
          <w:sz w:val="24"/>
          <w:szCs w:val="24"/>
        </w:rPr>
      </w:pPr>
      <w:r w:rsidRPr="0019172C">
        <w:rPr>
          <w:rFonts w:ascii="Arial" w:hAnsi="Arial" w:cs="Arial"/>
          <w:sz w:val="24"/>
          <w:szCs w:val="24"/>
        </w:rPr>
        <w:t xml:space="preserve">There is a long history </w:t>
      </w:r>
      <w:r w:rsidR="004203D7" w:rsidRPr="0019172C">
        <w:rPr>
          <w:rFonts w:ascii="Arial" w:hAnsi="Arial" w:cs="Arial"/>
          <w:sz w:val="24"/>
          <w:szCs w:val="24"/>
        </w:rPr>
        <w:t>demonstrat</w:t>
      </w:r>
      <w:r w:rsidR="00842A69" w:rsidRPr="0019172C">
        <w:rPr>
          <w:rFonts w:ascii="Arial" w:hAnsi="Arial" w:cs="Arial"/>
          <w:sz w:val="24"/>
          <w:szCs w:val="24"/>
        </w:rPr>
        <w:t>ing that</w:t>
      </w:r>
      <w:r w:rsidRPr="0019172C">
        <w:rPr>
          <w:rFonts w:ascii="Arial" w:hAnsi="Arial" w:cs="Arial"/>
          <w:sz w:val="24"/>
          <w:szCs w:val="24"/>
        </w:rPr>
        <w:t xml:space="preserve"> when communities are healthy and connected</w:t>
      </w:r>
      <w:r w:rsidR="0099133E">
        <w:rPr>
          <w:rFonts w:ascii="Arial" w:hAnsi="Arial" w:cs="Arial"/>
          <w:sz w:val="24"/>
          <w:szCs w:val="24"/>
        </w:rPr>
        <w:t>,</w:t>
      </w:r>
      <w:r w:rsidRPr="0019172C">
        <w:rPr>
          <w:rFonts w:ascii="Arial" w:hAnsi="Arial" w:cs="Arial"/>
          <w:sz w:val="24"/>
          <w:szCs w:val="24"/>
        </w:rPr>
        <w:t xml:space="preserve"> they</w:t>
      </w:r>
      <w:r w:rsidR="00C265FD" w:rsidRPr="0019172C">
        <w:rPr>
          <w:rFonts w:ascii="Arial" w:hAnsi="Arial" w:cs="Arial"/>
          <w:sz w:val="24"/>
          <w:szCs w:val="24"/>
        </w:rPr>
        <w:t xml:space="preserve"> respond</w:t>
      </w:r>
      <w:r w:rsidR="00842A69" w:rsidRPr="0019172C">
        <w:rPr>
          <w:rFonts w:ascii="Arial" w:hAnsi="Arial" w:cs="Arial"/>
          <w:sz w:val="24"/>
          <w:szCs w:val="24"/>
        </w:rPr>
        <w:t xml:space="preserve"> better</w:t>
      </w:r>
      <w:r w:rsidR="00C265FD" w:rsidRPr="0019172C">
        <w:rPr>
          <w:rFonts w:ascii="Arial" w:hAnsi="Arial" w:cs="Arial"/>
          <w:sz w:val="24"/>
          <w:szCs w:val="24"/>
        </w:rPr>
        <w:t xml:space="preserve"> to hardship</w:t>
      </w:r>
      <w:r w:rsidR="0099133E">
        <w:rPr>
          <w:rFonts w:ascii="Arial" w:hAnsi="Arial" w:cs="Arial"/>
          <w:sz w:val="24"/>
          <w:szCs w:val="24"/>
        </w:rPr>
        <w:t>s,</w:t>
      </w:r>
      <w:r w:rsidR="00C265FD" w:rsidRPr="0019172C">
        <w:rPr>
          <w:rFonts w:ascii="Arial" w:hAnsi="Arial" w:cs="Arial"/>
          <w:sz w:val="24"/>
          <w:szCs w:val="24"/>
        </w:rPr>
        <w:t xml:space="preserve"> and </w:t>
      </w:r>
      <w:r w:rsidRPr="0019172C">
        <w:rPr>
          <w:rFonts w:ascii="Arial" w:hAnsi="Arial" w:cs="Arial"/>
          <w:sz w:val="24"/>
          <w:szCs w:val="24"/>
        </w:rPr>
        <w:t>the</w:t>
      </w:r>
      <w:r w:rsidR="009D747B">
        <w:rPr>
          <w:rFonts w:ascii="Arial" w:hAnsi="Arial" w:cs="Arial"/>
          <w:sz w:val="24"/>
          <w:szCs w:val="24"/>
        </w:rPr>
        <w:t>y</w:t>
      </w:r>
      <w:r w:rsidRPr="0019172C">
        <w:rPr>
          <w:rFonts w:ascii="Arial" w:hAnsi="Arial" w:cs="Arial"/>
          <w:sz w:val="24"/>
          <w:szCs w:val="24"/>
        </w:rPr>
        <w:t xml:space="preserve"> </w:t>
      </w:r>
      <w:r w:rsidR="003A02DF" w:rsidRPr="0019172C">
        <w:rPr>
          <w:rFonts w:ascii="Arial" w:hAnsi="Arial" w:cs="Arial"/>
          <w:sz w:val="24"/>
          <w:szCs w:val="24"/>
        </w:rPr>
        <w:t>recover quicker</w:t>
      </w:r>
      <w:r w:rsidR="00C758A3">
        <w:rPr>
          <w:rFonts w:ascii="Arial" w:hAnsi="Arial" w:cs="Arial"/>
          <w:sz w:val="24"/>
          <w:szCs w:val="24"/>
        </w:rPr>
        <w:t xml:space="preserve"> to stressors</w:t>
      </w:r>
      <w:r w:rsidR="003A02DF" w:rsidRPr="0019172C">
        <w:rPr>
          <w:rFonts w:ascii="Arial" w:hAnsi="Arial" w:cs="Arial"/>
          <w:sz w:val="24"/>
          <w:szCs w:val="24"/>
        </w:rPr>
        <w:t xml:space="preserve">. </w:t>
      </w:r>
      <w:r w:rsidR="00623F20">
        <w:rPr>
          <w:rFonts w:ascii="Arial" w:hAnsi="Arial" w:cs="Arial"/>
          <w:sz w:val="24"/>
          <w:szCs w:val="24"/>
        </w:rPr>
        <w:t>These findings are</w:t>
      </w:r>
      <w:r w:rsidR="00842A69" w:rsidRPr="0019172C">
        <w:rPr>
          <w:rFonts w:ascii="Arial" w:hAnsi="Arial" w:cs="Arial"/>
          <w:sz w:val="24"/>
          <w:szCs w:val="24"/>
        </w:rPr>
        <w:t xml:space="preserve"> also emerging in the literature on the bushfire emergency and even in community responses to COVID-19.</w:t>
      </w:r>
    </w:p>
    <w:p w14:paraId="32B9A431" w14:textId="45A2F740" w:rsidR="004928F9" w:rsidRPr="00767D04" w:rsidRDefault="00CB3EAF" w:rsidP="00EB1FEF">
      <w:pPr>
        <w:shd w:val="clear" w:color="auto" w:fill="FFFFFF"/>
        <w:spacing w:after="120"/>
        <w:textAlignment w:val="top"/>
        <w:rPr>
          <w:rFonts w:ascii="Arial" w:hAnsi="Arial" w:cs="Arial"/>
          <w:sz w:val="24"/>
          <w:szCs w:val="24"/>
        </w:rPr>
      </w:pPr>
      <w:r>
        <w:rPr>
          <w:rFonts w:ascii="Arial" w:hAnsi="Arial" w:cs="Arial"/>
          <w:sz w:val="24"/>
          <w:szCs w:val="24"/>
        </w:rPr>
        <w:t>In commentary on the</w:t>
      </w:r>
      <w:r w:rsidR="0019172C" w:rsidRPr="0019172C">
        <w:rPr>
          <w:rFonts w:ascii="Arial" w:hAnsi="Arial" w:cs="Arial"/>
          <w:sz w:val="24"/>
          <w:szCs w:val="24"/>
        </w:rPr>
        <w:t xml:space="preserve"> Comm</w:t>
      </w:r>
      <w:r w:rsidR="006C533B">
        <w:rPr>
          <w:rFonts w:ascii="Arial" w:hAnsi="Arial" w:cs="Arial"/>
          <w:sz w:val="24"/>
          <w:szCs w:val="24"/>
        </w:rPr>
        <w:t xml:space="preserve">ittee </w:t>
      </w:r>
      <w:r w:rsidR="006E28E3">
        <w:rPr>
          <w:rFonts w:ascii="Arial" w:hAnsi="Arial" w:cs="Arial"/>
          <w:sz w:val="24"/>
          <w:szCs w:val="24"/>
        </w:rPr>
        <w:t>for</w:t>
      </w:r>
      <w:r w:rsidR="0019172C" w:rsidRPr="0019172C">
        <w:rPr>
          <w:rFonts w:ascii="Arial" w:hAnsi="Arial" w:cs="Arial"/>
          <w:sz w:val="24"/>
          <w:szCs w:val="24"/>
        </w:rPr>
        <w:t xml:space="preserve"> Economic Development of Australia (CEDA) </w:t>
      </w:r>
      <w:r w:rsidR="006E28E3">
        <w:rPr>
          <w:rFonts w:ascii="Arial" w:hAnsi="Arial" w:cs="Arial"/>
          <w:sz w:val="24"/>
          <w:szCs w:val="24"/>
        </w:rPr>
        <w:t xml:space="preserve">website </w:t>
      </w:r>
      <w:r w:rsidR="004E3A93" w:rsidRPr="004E3A93">
        <w:rPr>
          <w:rFonts w:ascii="Arial" w:hAnsi="Arial" w:cs="Arial"/>
          <w:sz w:val="24"/>
          <w:szCs w:val="24"/>
        </w:rPr>
        <w:fldChar w:fldCharType="begin"/>
      </w:r>
      <w:r w:rsidR="004E3A93" w:rsidRPr="004E3A93">
        <w:rPr>
          <w:rFonts w:ascii="Arial" w:hAnsi="Arial" w:cs="Arial"/>
          <w:sz w:val="24"/>
          <w:szCs w:val="24"/>
        </w:rPr>
        <w:instrText xml:space="preserve"> ADDIN EN.CITE &lt;EndNote&gt;&lt;Cite AuthorYear="1"&gt;&lt;Author&gt;Cox&lt;/Author&gt;&lt;Year&gt;2020&lt;/Year&gt;&lt;RecNum&gt;1849&lt;/RecNum&gt;&lt;DisplayText&gt;&lt;style size="10"&gt;Cox&lt;/style&gt;, &lt;style size="10"&gt;Reddel&lt;/style&gt;, and &lt;style size="10"&gt;Hogan&lt;/style&gt; (2020)&lt;/DisplayText&gt;&lt;record&gt;&lt;rec-number&gt;1849&lt;/rec-number&gt;&lt;foreign-keys&gt;&lt;key app="EN" db-id="afrvxfvzvvpp2tew2sbxfrtxszxsa992r2f0" timestamp="1595916988"&gt;1849&lt;/key&gt;&lt;/foreign-keys&gt;&lt;ref-type name="Blog"&gt;56&lt;/ref-type&gt;&lt;contributors&gt;&lt;authors&gt;&lt;author&gt;&lt;style face="normal" font="default" size="10"&gt;Cox, M.&lt;/style&gt;&lt;/author&gt;&lt;author&gt;&lt;style face="normal" font="default" size="10"&gt;Reddel, T&lt;/style&gt;&lt;/author&gt;&lt;author&gt;&lt;style face="normal" font="default" size="10"&gt;Hogan, M&lt;/style&gt;&lt;/author&gt;&lt;/authors&gt;&lt;/contributors&gt;&lt;titles&gt;&lt;title&gt;Building a fairer Australia after COVID-19&lt;/title&gt;&lt;/titles&gt;&lt;dates&gt;&lt;year&gt;2020&lt;/year&gt;&lt;/dates&gt;&lt;publisher&gt;Committee for Economic Development of Australia (CEDA),&lt;/publisher&gt;&lt;urls&gt;&lt;related-urls&gt;&lt;url&gt;https://www.ceda.com.au/Digital-hub/Blogs/CEDA-Blog/April-2020/Building-a-fairer-Australia-after-COVID-19#_edn7&lt;/url&gt;&lt;/related-urls&gt;&lt;/urls&gt;&lt;/record&gt;&lt;/Cite&gt;&lt;/EndNote&gt;</w:instrText>
      </w:r>
      <w:r w:rsidR="004E3A93" w:rsidRPr="004E3A93">
        <w:rPr>
          <w:rFonts w:ascii="Arial" w:hAnsi="Arial" w:cs="Arial"/>
          <w:sz w:val="24"/>
          <w:szCs w:val="24"/>
        </w:rPr>
        <w:fldChar w:fldCharType="separate"/>
      </w:r>
      <w:r w:rsidR="004E3A93" w:rsidRPr="004E3A93">
        <w:rPr>
          <w:rFonts w:ascii="Arial" w:hAnsi="Arial" w:cs="Arial"/>
          <w:noProof/>
          <w:sz w:val="24"/>
          <w:szCs w:val="24"/>
        </w:rPr>
        <w:t>Cox, Reddel, and Hogan (2020)</w:t>
      </w:r>
      <w:r w:rsidR="004E3A93" w:rsidRPr="004E3A93">
        <w:rPr>
          <w:rFonts w:ascii="Arial" w:hAnsi="Arial" w:cs="Arial"/>
          <w:sz w:val="24"/>
          <w:szCs w:val="24"/>
        </w:rPr>
        <w:fldChar w:fldCharType="end"/>
      </w:r>
      <w:r w:rsidR="004E7E39">
        <w:rPr>
          <w:rFonts w:ascii="Arial" w:hAnsi="Arial" w:cs="Arial"/>
          <w:sz w:val="24"/>
          <w:szCs w:val="24"/>
        </w:rPr>
        <w:t xml:space="preserve"> write about</w:t>
      </w:r>
      <w:r w:rsidR="00197C84">
        <w:rPr>
          <w:rFonts w:ascii="Arial" w:hAnsi="Arial" w:cs="Arial"/>
          <w:sz w:val="24"/>
          <w:szCs w:val="24"/>
        </w:rPr>
        <w:t xml:space="preserve"> </w:t>
      </w:r>
      <w:hyperlink r:id="rId11" w:anchor="_edn7" w:history="1">
        <w:r w:rsidR="0019172C" w:rsidRPr="0019172C">
          <w:rPr>
            <w:rStyle w:val="Hyperlink"/>
            <w:rFonts w:ascii="Arial" w:hAnsi="Arial" w:cs="Arial"/>
            <w:sz w:val="24"/>
            <w:szCs w:val="24"/>
            <w:shd w:val="clear" w:color="auto" w:fill="FFFFFF"/>
          </w:rPr>
          <w:t>‘Building a fairer Australia after COVID 19’</w:t>
        </w:r>
      </w:hyperlink>
      <w:r w:rsidR="004E7E39">
        <w:rPr>
          <w:rStyle w:val="Hyperlink"/>
          <w:rFonts w:ascii="Arial" w:hAnsi="Arial" w:cs="Arial"/>
          <w:sz w:val="24"/>
          <w:szCs w:val="24"/>
          <w:shd w:val="clear" w:color="auto" w:fill="FFFFFF"/>
        </w:rPr>
        <w:t>.</w:t>
      </w:r>
      <w:r w:rsidR="003106AF">
        <w:rPr>
          <w:rStyle w:val="Hyperlink"/>
          <w:rFonts w:ascii="Arial" w:hAnsi="Arial" w:cs="Arial"/>
          <w:sz w:val="24"/>
          <w:szCs w:val="24"/>
          <w:shd w:val="clear" w:color="auto" w:fill="FFFFFF"/>
        </w:rPr>
        <w:t xml:space="preserve"> </w:t>
      </w:r>
      <w:r w:rsidR="0053014E">
        <w:rPr>
          <w:rFonts w:ascii="Arial" w:hAnsi="Arial" w:cs="Arial"/>
          <w:sz w:val="24"/>
          <w:szCs w:val="24"/>
        </w:rPr>
        <w:t>They p</w:t>
      </w:r>
      <w:r w:rsidR="0019172C" w:rsidRPr="0019172C">
        <w:rPr>
          <w:rFonts w:ascii="Arial" w:hAnsi="Arial" w:cs="Arial"/>
          <w:sz w:val="24"/>
          <w:szCs w:val="24"/>
        </w:rPr>
        <w:t>oint out that while the scale of our current health, economic and social crisis feels unprecedented, place-based approaches have a long legacy of success in Australia’.</w:t>
      </w:r>
      <w:r w:rsidR="00F34F1A">
        <w:rPr>
          <w:rFonts w:ascii="Arial" w:hAnsi="Arial" w:cs="Arial"/>
          <w:sz w:val="24"/>
          <w:szCs w:val="24"/>
        </w:rPr>
        <w:t xml:space="preserve"> In their opinion c</w:t>
      </w:r>
      <w:r w:rsidR="0080259F" w:rsidRPr="0019172C">
        <w:rPr>
          <w:rFonts w:ascii="Arial" w:hAnsi="Arial" w:cs="Arial"/>
          <w:sz w:val="24"/>
          <w:szCs w:val="24"/>
        </w:rPr>
        <w:t>ollaborative</w:t>
      </w:r>
      <w:r w:rsidR="00842A69" w:rsidRPr="0019172C">
        <w:rPr>
          <w:rFonts w:ascii="Arial" w:hAnsi="Arial" w:cs="Arial"/>
          <w:sz w:val="24"/>
          <w:szCs w:val="24"/>
        </w:rPr>
        <w:t>,</w:t>
      </w:r>
      <w:r w:rsidR="003A02DF" w:rsidRPr="0019172C">
        <w:rPr>
          <w:rFonts w:ascii="Arial" w:hAnsi="Arial" w:cs="Arial"/>
          <w:sz w:val="24"/>
          <w:szCs w:val="24"/>
        </w:rPr>
        <w:t xml:space="preserve"> </w:t>
      </w:r>
      <w:r w:rsidR="0080259F" w:rsidRPr="0019172C">
        <w:rPr>
          <w:rFonts w:ascii="Arial" w:hAnsi="Arial" w:cs="Arial"/>
          <w:sz w:val="24"/>
          <w:szCs w:val="24"/>
        </w:rPr>
        <w:t>community</w:t>
      </w:r>
      <w:r w:rsidR="00842A69" w:rsidRPr="0019172C">
        <w:rPr>
          <w:rFonts w:ascii="Arial" w:hAnsi="Arial" w:cs="Arial"/>
          <w:sz w:val="24"/>
          <w:szCs w:val="24"/>
        </w:rPr>
        <w:t>-based</w:t>
      </w:r>
      <w:r w:rsidR="003A02DF" w:rsidRPr="0019172C">
        <w:rPr>
          <w:rFonts w:ascii="Arial" w:hAnsi="Arial" w:cs="Arial"/>
          <w:sz w:val="24"/>
          <w:szCs w:val="24"/>
        </w:rPr>
        <w:t xml:space="preserve"> </w:t>
      </w:r>
      <w:r w:rsidR="0080259F" w:rsidRPr="0019172C">
        <w:rPr>
          <w:rFonts w:ascii="Arial" w:hAnsi="Arial" w:cs="Arial"/>
          <w:sz w:val="24"/>
          <w:szCs w:val="24"/>
        </w:rPr>
        <w:t>approaches</w:t>
      </w:r>
      <w:r w:rsidR="003A02DF" w:rsidRPr="0019172C">
        <w:rPr>
          <w:rFonts w:ascii="Arial" w:hAnsi="Arial" w:cs="Arial"/>
          <w:sz w:val="24"/>
          <w:szCs w:val="24"/>
        </w:rPr>
        <w:t xml:space="preserve"> </w:t>
      </w:r>
      <w:r w:rsidR="00842A69" w:rsidRPr="0019172C">
        <w:rPr>
          <w:rFonts w:ascii="Arial" w:hAnsi="Arial" w:cs="Arial"/>
          <w:sz w:val="24"/>
          <w:szCs w:val="24"/>
        </w:rPr>
        <w:t xml:space="preserve">will be critical </w:t>
      </w:r>
      <w:r w:rsidR="003A02DF" w:rsidRPr="0019172C">
        <w:rPr>
          <w:rFonts w:ascii="Arial" w:hAnsi="Arial" w:cs="Arial"/>
          <w:sz w:val="24"/>
          <w:szCs w:val="24"/>
        </w:rPr>
        <w:t>to</w:t>
      </w:r>
      <w:r w:rsidR="00C265FD" w:rsidRPr="0019172C">
        <w:rPr>
          <w:rFonts w:ascii="Arial" w:hAnsi="Arial" w:cs="Arial"/>
          <w:sz w:val="24"/>
          <w:szCs w:val="24"/>
        </w:rPr>
        <w:t xml:space="preserve"> </w:t>
      </w:r>
      <w:r w:rsidR="00D0516A">
        <w:rPr>
          <w:rFonts w:ascii="Arial" w:hAnsi="Arial" w:cs="Arial"/>
          <w:sz w:val="24"/>
          <w:szCs w:val="24"/>
        </w:rPr>
        <w:t xml:space="preserve">the </w:t>
      </w:r>
      <w:r w:rsidR="00C265FD" w:rsidRPr="0019172C">
        <w:rPr>
          <w:rFonts w:ascii="Arial" w:hAnsi="Arial" w:cs="Arial"/>
          <w:sz w:val="24"/>
          <w:szCs w:val="24"/>
        </w:rPr>
        <w:t xml:space="preserve">pandemic </w:t>
      </w:r>
      <w:r w:rsidR="003A02DF" w:rsidRPr="0019172C">
        <w:rPr>
          <w:rFonts w:ascii="Arial" w:hAnsi="Arial" w:cs="Arial"/>
          <w:sz w:val="24"/>
          <w:szCs w:val="24"/>
        </w:rPr>
        <w:t>recovery.</w:t>
      </w:r>
      <w:r w:rsidR="00C265FD" w:rsidRPr="0019172C">
        <w:rPr>
          <w:rFonts w:ascii="Arial" w:hAnsi="Arial" w:cs="Arial"/>
          <w:sz w:val="24"/>
          <w:szCs w:val="24"/>
        </w:rPr>
        <w:t xml:space="preserve"> </w:t>
      </w:r>
    </w:p>
    <w:p w14:paraId="16DCC27F" w14:textId="0F1C7011" w:rsidR="00A03660" w:rsidRPr="0019172C" w:rsidRDefault="00A37CC0" w:rsidP="00EB1FEF">
      <w:pPr>
        <w:pStyle w:val="NormalWeb"/>
        <w:spacing w:before="0" w:beforeAutospacing="0" w:after="120" w:afterAutospacing="0" w:line="259" w:lineRule="auto"/>
        <w:rPr>
          <w:rFonts w:ascii="Arial" w:hAnsi="Arial" w:cs="Arial"/>
          <w:color w:val="011A3C"/>
        </w:rPr>
      </w:pPr>
      <w:r w:rsidRPr="0019172C">
        <w:rPr>
          <w:rFonts w:ascii="Arial" w:eastAsiaTheme="minorHAnsi" w:hAnsi="Arial" w:cs="Arial"/>
          <w:lang w:eastAsia="en-US"/>
        </w:rPr>
        <w:t>T</w:t>
      </w:r>
      <w:r w:rsidR="00A03660" w:rsidRPr="0019172C">
        <w:rPr>
          <w:rFonts w:ascii="Arial" w:eastAsiaTheme="minorHAnsi" w:hAnsi="Arial" w:cs="Arial"/>
          <w:lang w:eastAsia="en-US"/>
        </w:rPr>
        <w:t>here ha</w:t>
      </w:r>
      <w:r w:rsidR="00F34F1A">
        <w:rPr>
          <w:rFonts w:ascii="Arial" w:eastAsiaTheme="minorHAnsi" w:hAnsi="Arial" w:cs="Arial"/>
          <w:lang w:eastAsia="en-US"/>
        </w:rPr>
        <w:t>s</w:t>
      </w:r>
      <w:r w:rsidR="00A03660" w:rsidRPr="0019172C">
        <w:rPr>
          <w:rFonts w:ascii="Arial" w:eastAsiaTheme="minorHAnsi" w:hAnsi="Arial" w:cs="Arial"/>
          <w:lang w:eastAsia="en-US"/>
        </w:rPr>
        <w:t xml:space="preserve"> been re</w:t>
      </w:r>
      <w:r w:rsidRPr="0019172C">
        <w:rPr>
          <w:rFonts w:ascii="Arial" w:eastAsiaTheme="minorHAnsi" w:hAnsi="Arial" w:cs="Arial"/>
          <w:lang w:eastAsia="en-US"/>
        </w:rPr>
        <w:t xml:space="preserve">newed </w:t>
      </w:r>
      <w:r w:rsidR="00A03660" w:rsidRPr="0019172C">
        <w:rPr>
          <w:rFonts w:ascii="Arial" w:eastAsiaTheme="minorHAnsi" w:hAnsi="Arial" w:cs="Arial"/>
          <w:lang w:eastAsia="en-US"/>
        </w:rPr>
        <w:t xml:space="preserve">interest in collective approaches to </w:t>
      </w:r>
      <w:r w:rsidR="00623F20">
        <w:rPr>
          <w:rFonts w:ascii="Arial" w:eastAsiaTheme="minorHAnsi" w:hAnsi="Arial" w:cs="Arial"/>
          <w:lang w:eastAsia="en-US"/>
        </w:rPr>
        <w:t>challenging</w:t>
      </w:r>
      <w:r w:rsidR="00A03660" w:rsidRPr="0019172C">
        <w:rPr>
          <w:rFonts w:ascii="Arial" w:eastAsiaTheme="minorHAnsi" w:hAnsi="Arial" w:cs="Arial"/>
          <w:lang w:eastAsia="en-US"/>
        </w:rPr>
        <w:t xml:space="preserve"> problems</w:t>
      </w:r>
      <w:r w:rsidRPr="0019172C">
        <w:rPr>
          <w:rFonts w:ascii="Arial" w:eastAsiaTheme="minorHAnsi" w:hAnsi="Arial" w:cs="Arial"/>
          <w:lang w:eastAsia="en-US"/>
        </w:rPr>
        <w:t xml:space="preserve"> </w:t>
      </w:r>
      <w:r w:rsidR="00623F20">
        <w:rPr>
          <w:rFonts w:ascii="Arial" w:eastAsiaTheme="minorHAnsi" w:hAnsi="Arial" w:cs="Arial"/>
          <w:lang w:eastAsia="en-US"/>
        </w:rPr>
        <w:t>before</w:t>
      </w:r>
      <w:r w:rsidRPr="0019172C">
        <w:rPr>
          <w:rFonts w:ascii="Arial" w:eastAsiaTheme="minorHAnsi" w:hAnsi="Arial" w:cs="Arial"/>
          <w:lang w:eastAsia="en-US"/>
        </w:rPr>
        <w:t xml:space="preserve"> COVID</w:t>
      </w:r>
      <w:r w:rsidR="00D0516A">
        <w:rPr>
          <w:rFonts w:ascii="Arial" w:eastAsiaTheme="minorHAnsi" w:hAnsi="Arial" w:cs="Arial"/>
          <w:lang w:eastAsia="en-US"/>
        </w:rPr>
        <w:t>-19</w:t>
      </w:r>
      <w:r w:rsidR="00A03660" w:rsidRPr="0019172C">
        <w:rPr>
          <w:rFonts w:ascii="Arial" w:eastAsiaTheme="minorHAnsi" w:hAnsi="Arial" w:cs="Arial"/>
          <w:lang w:eastAsia="en-US"/>
        </w:rPr>
        <w:t xml:space="preserve">. </w:t>
      </w:r>
      <w:r w:rsidR="00594396">
        <w:rPr>
          <w:rFonts w:ascii="Arial" w:eastAsiaTheme="minorHAnsi" w:hAnsi="Arial" w:cs="Arial"/>
          <w:lang w:eastAsia="en-US"/>
        </w:rPr>
        <w:t xml:space="preserve">In February </w:t>
      </w:r>
      <w:r w:rsidR="003C345A">
        <w:rPr>
          <w:rFonts w:ascii="Arial" w:eastAsiaTheme="minorHAnsi" w:hAnsi="Arial" w:cs="Arial"/>
          <w:lang w:eastAsia="en-US"/>
        </w:rPr>
        <w:t>2020,</w:t>
      </w:r>
      <w:r w:rsidRPr="0019172C">
        <w:rPr>
          <w:rFonts w:ascii="Arial" w:eastAsiaTheme="minorHAnsi" w:hAnsi="Arial" w:cs="Arial"/>
          <w:lang w:eastAsia="en-US"/>
        </w:rPr>
        <w:t xml:space="preserve"> t</w:t>
      </w:r>
      <w:r w:rsidR="00A03660" w:rsidRPr="0019172C">
        <w:rPr>
          <w:rFonts w:ascii="Arial" w:eastAsiaTheme="minorHAnsi" w:hAnsi="Arial" w:cs="Arial"/>
          <w:lang w:eastAsia="en-US"/>
        </w:rPr>
        <w:t>he Victoria</w:t>
      </w:r>
      <w:r w:rsidRPr="0019172C">
        <w:rPr>
          <w:rFonts w:ascii="Arial" w:eastAsiaTheme="minorHAnsi" w:hAnsi="Arial" w:cs="Arial"/>
          <w:lang w:eastAsia="en-US"/>
        </w:rPr>
        <w:t>n</w:t>
      </w:r>
      <w:r w:rsidR="00A03660" w:rsidRPr="0019172C">
        <w:rPr>
          <w:rFonts w:ascii="Arial" w:eastAsiaTheme="minorHAnsi" w:hAnsi="Arial" w:cs="Arial"/>
          <w:lang w:eastAsia="en-US"/>
        </w:rPr>
        <w:t xml:space="preserve"> </w:t>
      </w:r>
      <w:r w:rsidR="0020248C">
        <w:rPr>
          <w:rFonts w:ascii="Arial" w:eastAsiaTheme="minorHAnsi" w:hAnsi="Arial" w:cs="Arial"/>
          <w:lang w:eastAsia="en-US"/>
        </w:rPr>
        <w:t>G</w:t>
      </w:r>
      <w:r w:rsidR="00A03660" w:rsidRPr="0019172C">
        <w:rPr>
          <w:rFonts w:ascii="Arial" w:eastAsiaTheme="minorHAnsi" w:hAnsi="Arial" w:cs="Arial"/>
          <w:lang w:eastAsia="en-US"/>
        </w:rPr>
        <w:t>overnment</w:t>
      </w:r>
      <w:r w:rsidRPr="0019172C">
        <w:rPr>
          <w:rFonts w:ascii="Arial" w:eastAsiaTheme="minorHAnsi" w:hAnsi="Arial" w:cs="Arial"/>
          <w:lang w:eastAsia="en-US"/>
        </w:rPr>
        <w:t xml:space="preserve"> </w:t>
      </w:r>
      <w:r w:rsidR="003854EE">
        <w:rPr>
          <w:rFonts w:ascii="Arial" w:eastAsiaTheme="minorHAnsi" w:hAnsi="Arial" w:cs="Arial"/>
          <w:lang w:eastAsia="en-US"/>
        </w:rPr>
        <w:t>released a</w:t>
      </w:r>
      <w:r w:rsidR="00A03660" w:rsidRPr="0019172C">
        <w:rPr>
          <w:rFonts w:ascii="Arial" w:eastAsiaTheme="minorHAnsi" w:hAnsi="Arial" w:cs="Arial"/>
          <w:lang w:eastAsia="en-US"/>
        </w:rPr>
        <w:t xml:space="preserve"> new framework for place-based approaches,</w:t>
      </w:r>
      <w:r w:rsidR="00A03660" w:rsidRPr="0019172C">
        <w:rPr>
          <w:rFonts w:ascii="Arial" w:hAnsi="Arial" w:cs="Arial"/>
          <w:color w:val="58595B"/>
          <w:shd w:val="clear" w:color="auto" w:fill="FFFFFF"/>
        </w:rPr>
        <w:t> </w:t>
      </w:r>
      <w:hyperlink r:id="rId12" w:history="1">
        <w:r w:rsidR="00A03660" w:rsidRPr="0019172C">
          <w:rPr>
            <w:rStyle w:val="Hyperlink"/>
            <w:rFonts w:ascii="Arial" w:hAnsi="Arial" w:cs="Arial"/>
            <w:shd w:val="clear" w:color="auto" w:fill="FFFFFF"/>
          </w:rPr>
          <w:t>Working Together in Place</w:t>
        </w:r>
      </w:hyperlink>
      <w:r w:rsidR="00A03660" w:rsidRPr="0019172C">
        <w:rPr>
          <w:rStyle w:val="Emphasis"/>
          <w:rFonts w:ascii="Arial" w:hAnsi="Arial" w:cs="Arial"/>
          <w:color w:val="58595B"/>
          <w:shd w:val="clear" w:color="auto" w:fill="FFFFFF"/>
        </w:rPr>
        <w:t>,</w:t>
      </w:r>
      <w:r w:rsidR="00A03660" w:rsidRPr="0019172C">
        <w:rPr>
          <w:rFonts w:ascii="Arial" w:hAnsi="Arial" w:cs="Arial"/>
          <w:shd w:val="clear" w:color="auto" w:fill="FFFFFF"/>
        </w:rPr>
        <w:t xml:space="preserve"> </w:t>
      </w:r>
      <w:r w:rsidR="00504276">
        <w:rPr>
          <w:rFonts w:ascii="Arial" w:hAnsi="Arial" w:cs="Arial"/>
          <w:shd w:val="clear" w:color="auto" w:fill="FFFFFF"/>
        </w:rPr>
        <w:t xml:space="preserve">It </w:t>
      </w:r>
      <w:r w:rsidR="00A03660" w:rsidRPr="0019172C">
        <w:rPr>
          <w:rFonts w:ascii="Arial" w:eastAsiaTheme="minorHAnsi" w:hAnsi="Arial" w:cs="Arial"/>
          <w:lang w:eastAsia="en-US"/>
        </w:rPr>
        <w:t>stat</w:t>
      </w:r>
      <w:r w:rsidR="00504276">
        <w:rPr>
          <w:rFonts w:ascii="Arial" w:eastAsiaTheme="minorHAnsi" w:hAnsi="Arial" w:cs="Arial"/>
          <w:lang w:eastAsia="en-US"/>
        </w:rPr>
        <w:t>es</w:t>
      </w:r>
      <w:r w:rsidR="00A03660" w:rsidRPr="0019172C">
        <w:rPr>
          <w:rFonts w:ascii="Arial" w:eastAsiaTheme="minorHAnsi" w:hAnsi="Arial" w:cs="Arial"/>
          <w:lang w:eastAsia="en-US"/>
        </w:rPr>
        <w:t xml:space="preserve"> </w:t>
      </w:r>
      <w:r w:rsidR="00504276">
        <w:rPr>
          <w:rFonts w:ascii="Arial" w:eastAsiaTheme="minorHAnsi" w:hAnsi="Arial" w:cs="Arial"/>
          <w:lang w:eastAsia="en-US"/>
        </w:rPr>
        <w:t>p</w:t>
      </w:r>
      <w:r w:rsidR="00A03660" w:rsidRPr="0019172C">
        <w:rPr>
          <w:rFonts w:ascii="Arial" w:eastAsiaTheme="minorHAnsi" w:hAnsi="Arial" w:cs="Arial"/>
          <w:lang w:eastAsia="en-US"/>
        </w:rPr>
        <w:t>rogrammatic or siloed funding approaches counteract this work. Nationally, Stronger Places Stronger People</w:t>
      </w:r>
      <w:r w:rsidR="000110DA">
        <w:rPr>
          <w:rFonts w:ascii="Arial" w:eastAsiaTheme="minorHAnsi" w:hAnsi="Arial" w:cs="Arial"/>
          <w:lang w:eastAsia="en-US"/>
        </w:rPr>
        <w:t xml:space="preserve"> </w:t>
      </w:r>
      <w:r w:rsidR="00A03660" w:rsidRPr="0019172C">
        <w:rPr>
          <w:rFonts w:ascii="Arial" w:eastAsiaTheme="minorHAnsi" w:hAnsi="Arial" w:cs="Arial"/>
          <w:lang w:eastAsia="en-US"/>
        </w:rPr>
        <w:t xml:space="preserve">initiative </w:t>
      </w:r>
      <w:r w:rsidR="003A02DF" w:rsidRPr="0019172C">
        <w:rPr>
          <w:rFonts w:ascii="Arial" w:eastAsiaTheme="minorHAnsi" w:hAnsi="Arial" w:cs="Arial"/>
          <w:lang w:eastAsia="en-US"/>
        </w:rPr>
        <w:t>aims to</w:t>
      </w:r>
      <w:r w:rsidR="00A03660" w:rsidRPr="0019172C">
        <w:rPr>
          <w:rFonts w:ascii="Arial" w:eastAsiaTheme="minorHAnsi" w:hAnsi="Arial" w:cs="Arial"/>
          <w:lang w:eastAsia="en-US"/>
        </w:rPr>
        <w:t xml:space="preserve"> demonstrate</w:t>
      </w:r>
      <w:r w:rsidRPr="0019172C">
        <w:rPr>
          <w:rFonts w:ascii="Arial" w:eastAsiaTheme="minorHAnsi" w:hAnsi="Arial" w:cs="Arial"/>
          <w:lang w:eastAsia="en-US"/>
        </w:rPr>
        <w:t xml:space="preserve"> the potential for ‘c</w:t>
      </w:r>
      <w:r w:rsidR="00A03660" w:rsidRPr="0019172C">
        <w:rPr>
          <w:rFonts w:ascii="Arial" w:eastAsiaTheme="minorHAnsi" w:hAnsi="Arial" w:cs="Arial"/>
          <w:lang w:eastAsia="en-US"/>
        </w:rPr>
        <w:t xml:space="preserve">ollective </w:t>
      </w:r>
      <w:r w:rsidRPr="0019172C">
        <w:rPr>
          <w:rFonts w:ascii="Arial" w:eastAsiaTheme="minorHAnsi" w:hAnsi="Arial" w:cs="Arial"/>
          <w:lang w:eastAsia="en-US"/>
        </w:rPr>
        <w:t>i</w:t>
      </w:r>
      <w:r w:rsidR="00A03660" w:rsidRPr="0019172C">
        <w:rPr>
          <w:rFonts w:ascii="Arial" w:eastAsiaTheme="minorHAnsi" w:hAnsi="Arial" w:cs="Arial"/>
          <w:lang w:eastAsia="en-US"/>
        </w:rPr>
        <w:t>mpact</w:t>
      </w:r>
      <w:r w:rsidRPr="0019172C">
        <w:rPr>
          <w:rFonts w:ascii="Arial" w:eastAsiaTheme="minorHAnsi" w:hAnsi="Arial" w:cs="Arial"/>
          <w:lang w:eastAsia="en-US"/>
        </w:rPr>
        <w:t>’ approaches to</w:t>
      </w:r>
      <w:r w:rsidR="00A03660" w:rsidRPr="0019172C">
        <w:rPr>
          <w:rFonts w:ascii="Arial" w:eastAsiaTheme="minorHAnsi" w:hAnsi="Arial" w:cs="Arial"/>
          <w:lang w:eastAsia="en-US"/>
        </w:rPr>
        <w:t xml:space="preserve"> interrupt disadvantage</w:t>
      </w:r>
      <w:r w:rsidR="009E0827">
        <w:rPr>
          <w:rFonts w:ascii="Arial" w:eastAsiaTheme="minorHAnsi" w:hAnsi="Arial" w:cs="Arial"/>
          <w:lang w:eastAsia="en-US"/>
        </w:rPr>
        <w:t xml:space="preserve"> </w:t>
      </w:r>
      <w:r w:rsidR="00814370">
        <w:rPr>
          <w:rFonts w:ascii="Arial" w:eastAsiaTheme="minorHAnsi" w:hAnsi="Arial" w:cs="Arial"/>
          <w:lang w:eastAsia="en-US"/>
        </w:rPr>
        <w:fldChar w:fldCharType="begin"/>
      </w:r>
      <w:r w:rsidR="00814370">
        <w:rPr>
          <w:rFonts w:ascii="Arial" w:eastAsiaTheme="minorHAnsi" w:hAnsi="Arial" w:cs="Arial"/>
          <w:lang w:eastAsia="en-US"/>
        </w:rPr>
        <w:instrText xml:space="preserve"> ADDIN EN.CITE &lt;EndNote&gt;&lt;Cite&gt;&lt;Author&gt;Department of Social Security&lt;/Author&gt;&lt;Year&gt;2020&lt;/Year&gt;&lt;RecNum&gt;1851&lt;/RecNum&gt;&lt;DisplayText&gt;(Department of Social Security, 2020)&lt;/DisplayText&gt;&lt;record&gt;&lt;rec-number&gt;1851&lt;/rec-number&gt;&lt;foreign-keys&gt;&lt;key app="EN" db-id="afrvxfvzvvpp2tew2sbxfrtxszxsa992r2f0" timestamp="1595920412"&gt;1851&lt;/key&gt;&lt;/foreign-keys&gt;&lt;ref-type name="Government Document"&gt;46&lt;/ref-type&gt;&lt;contributors&gt;&lt;authors&gt;&lt;author&gt;Department of Social Security,&lt;/author&gt;&lt;/authors&gt;&lt;/contributors&gt;&lt;titles&gt;&lt;title&gt;Stronger places, Stronger People Model&lt;/title&gt;&lt;/titles&gt;&lt;dates&gt;&lt;year&gt;2020&lt;/year&gt;&lt;/dates&gt;&lt;urls&gt;&lt;related-urls&gt;&lt;url&gt;https://platformc.org/sites/default/files/spsp/spsp-model.pdf&lt;/url&gt;&lt;/related-urls&gt;&lt;/urls&gt;&lt;/record&gt;&lt;/Cite&gt;&lt;/EndNote&gt;</w:instrText>
      </w:r>
      <w:r w:rsidR="00814370">
        <w:rPr>
          <w:rFonts w:ascii="Arial" w:eastAsiaTheme="minorHAnsi" w:hAnsi="Arial" w:cs="Arial"/>
          <w:lang w:eastAsia="en-US"/>
        </w:rPr>
        <w:fldChar w:fldCharType="separate"/>
      </w:r>
      <w:r w:rsidR="00814370">
        <w:rPr>
          <w:rFonts w:ascii="Arial" w:eastAsiaTheme="minorHAnsi" w:hAnsi="Arial" w:cs="Arial"/>
          <w:noProof/>
          <w:lang w:eastAsia="en-US"/>
        </w:rPr>
        <w:t>(Department of Social Security, 2020)</w:t>
      </w:r>
      <w:r w:rsidR="00814370">
        <w:rPr>
          <w:rFonts w:ascii="Arial" w:eastAsiaTheme="minorHAnsi" w:hAnsi="Arial" w:cs="Arial"/>
          <w:lang w:eastAsia="en-US"/>
        </w:rPr>
        <w:fldChar w:fldCharType="end"/>
      </w:r>
      <w:r w:rsidR="00A03660" w:rsidRPr="0019172C">
        <w:rPr>
          <w:rFonts w:ascii="Arial" w:eastAsiaTheme="minorHAnsi" w:hAnsi="Arial" w:cs="Arial"/>
          <w:lang w:eastAsia="en-US"/>
        </w:rPr>
        <w:t xml:space="preserve">. </w:t>
      </w:r>
      <w:r w:rsidR="000205C9" w:rsidRPr="0019172C">
        <w:rPr>
          <w:rFonts w:ascii="Arial" w:eastAsiaTheme="minorHAnsi" w:hAnsi="Arial" w:cs="Arial"/>
          <w:lang w:eastAsia="en-US"/>
        </w:rPr>
        <w:t>I</w:t>
      </w:r>
      <w:r w:rsidR="00A03660" w:rsidRPr="0019172C">
        <w:rPr>
          <w:rFonts w:ascii="Arial" w:eastAsiaTheme="minorHAnsi" w:hAnsi="Arial" w:cs="Arial"/>
          <w:lang w:eastAsia="en-US"/>
        </w:rPr>
        <w:t>nternationally, a plethora of organisations, strategies, frameworks, evaluations and networks have been built for impactful and integrated social and economic development at local and regional levels</w:t>
      </w:r>
      <w:r w:rsidR="00577EB7">
        <w:rPr>
          <w:rFonts w:ascii="Arial" w:eastAsiaTheme="minorHAnsi" w:hAnsi="Arial" w:cs="Arial"/>
          <w:lang w:eastAsia="en-US"/>
        </w:rPr>
        <w:t xml:space="preserve"> </w:t>
      </w:r>
      <w:r w:rsidR="00712B1E">
        <w:rPr>
          <w:rFonts w:ascii="Arial" w:eastAsiaTheme="minorHAnsi" w:hAnsi="Arial" w:cs="Arial"/>
          <w:lang w:eastAsia="en-US"/>
        </w:rPr>
        <w:fldChar w:fldCharType="begin"/>
      </w:r>
      <w:r w:rsidR="00712B1E">
        <w:rPr>
          <w:rFonts w:ascii="Arial" w:eastAsiaTheme="minorHAnsi" w:hAnsi="Arial" w:cs="Arial"/>
          <w:lang w:eastAsia="en-US"/>
        </w:rPr>
        <w:instrText xml:space="preserve"> ADDIN EN.CITE &lt;EndNote&gt;&lt;Cite&gt;&lt;Author&gt;Cox&lt;/Author&gt;&lt;Year&gt;2020&lt;/Year&gt;&lt;RecNum&gt;1849&lt;/RecNum&gt;&lt;DisplayText&gt;(&lt;style size="10"&gt;Cox&lt;/style&gt; et al., 2020)&lt;/DisplayText&gt;&lt;record&gt;&lt;rec-number&gt;1849&lt;/rec-number&gt;&lt;foreign-keys&gt;&lt;key app="EN" db-id="afrvxfvzvvpp2tew2sbxfrtxszxsa992r2f0" timestamp="1595916988"&gt;1849&lt;/key&gt;&lt;/foreign-keys&gt;&lt;ref-type name="Blog"&gt;56&lt;/ref-type&gt;&lt;contributors&gt;&lt;authors&gt;&lt;author&gt;&lt;style face="normal" font="default" size="10"&gt;Cox, M.&lt;/style&gt;&lt;/author&gt;&lt;author&gt;&lt;style face="normal" font="default" size="10"&gt;Reddel, T&lt;/style&gt;&lt;/author&gt;&lt;author&gt;&lt;style face="normal" font="default" size="10"&gt;Hogan, M&lt;/style&gt;&lt;/author&gt;&lt;/authors&gt;&lt;/contributors&gt;&lt;titles&gt;&lt;title&gt;Building a fairer Australia after COVID-19&lt;/title&gt;&lt;/titles&gt;&lt;dates&gt;&lt;year&gt;2020&lt;/year&gt;&lt;/dates&gt;&lt;publisher&gt;Committee for Economic Development of Australia (CEDA),&lt;/publisher&gt;&lt;urls&gt;&lt;related-urls&gt;&lt;url&gt;https://www.ceda.com.au/Digital-hub/Blogs/CEDA-Blog/April-2020/Building-a-fairer-Australia-after-COVID-19#_edn7&lt;/url&gt;&lt;/related-urls&gt;&lt;/urls&gt;&lt;/record&gt;&lt;/Cite&gt;&lt;/EndNote&gt;</w:instrText>
      </w:r>
      <w:r w:rsidR="00712B1E">
        <w:rPr>
          <w:rFonts w:ascii="Arial" w:eastAsiaTheme="minorHAnsi" w:hAnsi="Arial" w:cs="Arial"/>
          <w:lang w:eastAsia="en-US"/>
        </w:rPr>
        <w:fldChar w:fldCharType="separate"/>
      </w:r>
      <w:r w:rsidR="00712B1E">
        <w:rPr>
          <w:rFonts w:ascii="Arial" w:eastAsiaTheme="minorHAnsi" w:hAnsi="Arial" w:cs="Arial"/>
          <w:noProof/>
          <w:lang w:eastAsia="en-US"/>
        </w:rPr>
        <w:t>(</w:t>
      </w:r>
      <w:r w:rsidR="00712B1E" w:rsidRPr="00712B1E">
        <w:rPr>
          <w:rFonts w:ascii="Arial" w:eastAsiaTheme="minorHAnsi" w:hAnsi="Arial" w:cs="Arial"/>
          <w:noProof/>
          <w:sz w:val="20"/>
          <w:lang w:eastAsia="en-US"/>
        </w:rPr>
        <w:t>Cox</w:t>
      </w:r>
      <w:r w:rsidR="00712B1E">
        <w:rPr>
          <w:rFonts w:ascii="Arial" w:eastAsiaTheme="minorHAnsi" w:hAnsi="Arial" w:cs="Arial"/>
          <w:noProof/>
          <w:lang w:eastAsia="en-US"/>
        </w:rPr>
        <w:t xml:space="preserve"> et al., 2020)</w:t>
      </w:r>
      <w:r w:rsidR="00712B1E">
        <w:rPr>
          <w:rFonts w:ascii="Arial" w:eastAsiaTheme="minorHAnsi" w:hAnsi="Arial" w:cs="Arial"/>
          <w:lang w:eastAsia="en-US"/>
        </w:rPr>
        <w:fldChar w:fldCharType="end"/>
      </w:r>
      <w:r w:rsidR="00A03660" w:rsidRPr="0019172C">
        <w:rPr>
          <w:rFonts w:ascii="Arial" w:eastAsiaTheme="minorHAnsi" w:hAnsi="Arial" w:cs="Arial"/>
          <w:lang w:eastAsia="en-US"/>
        </w:rPr>
        <w:t>.</w:t>
      </w:r>
    </w:p>
    <w:p w14:paraId="2E1E3BAF" w14:textId="0A7EBA83" w:rsidR="004203D7" w:rsidRPr="00767D04" w:rsidRDefault="00EB6AB1" w:rsidP="00EB1FEF">
      <w:pPr>
        <w:pStyle w:val="NormalWeb"/>
        <w:spacing w:before="0" w:beforeAutospacing="0" w:after="120" w:afterAutospacing="0" w:line="259" w:lineRule="auto"/>
        <w:rPr>
          <w:rFonts w:ascii="Arial" w:eastAsiaTheme="minorHAnsi" w:hAnsi="Arial" w:cs="Arial"/>
          <w:lang w:eastAsia="en-US"/>
        </w:rPr>
      </w:pPr>
      <w:r w:rsidRPr="0019172C">
        <w:rPr>
          <w:rFonts w:ascii="Arial" w:eastAsiaTheme="minorHAnsi" w:hAnsi="Arial" w:cs="Arial"/>
          <w:lang w:eastAsia="en-US"/>
        </w:rPr>
        <w:t>In</w:t>
      </w:r>
      <w:r w:rsidR="00A03660" w:rsidRPr="0019172C">
        <w:rPr>
          <w:rFonts w:ascii="Arial" w:eastAsiaTheme="minorHAnsi" w:hAnsi="Arial" w:cs="Arial"/>
          <w:lang w:eastAsia="en-US"/>
        </w:rPr>
        <w:t xml:space="preserve"> COVID</w:t>
      </w:r>
      <w:r w:rsidRPr="0019172C">
        <w:rPr>
          <w:rFonts w:ascii="Arial" w:eastAsiaTheme="minorHAnsi" w:hAnsi="Arial" w:cs="Arial"/>
          <w:lang w:eastAsia="en-US"/>
        </w:rPr>
        <w:t>-19</w:t>
      </w:r>
      <w:r w:rsidR="00A03660" w:rsidRPr="0019172C">
        <w:rPr>
          <w:rFonts w:ascii="Arial" w:eastAsiaTheme="minorHAnsi" w:hAnsi="Arial" w:cs="Arial"/>
          <w:lang w:eastAsia="en-US"/>
        </w:rPr>
        <w:t xml:space="preserve"> recovery</w:t>
      </w:r>
      <w:r w:rsidR="0020248C">
        <w:rPr>
          <w:rFonts w:ascii="Arial" w:eastAsiaTheme="minorHAnsi" w:hAnsi="Arial" w:cs="Arial"/>
          <w:lang w:eastAsia="en-US"/>
        </w:rPr>
        <w:t>,</w:t>
      </w:r>
      <w:r w:rsidR="00A03660" w:rsidRPr="0019172C">
        <w:rPr>
          <w:rFonts w:ascii="Arial" w:eastAsiaTheme="minorHAnsi" w:hAnsi="Arial" w:cs="Arial"/>
          <w:lang w:eastAsia="en-US"/>
        </w:rPr>
        <w:t xml:space="preserve"> </w:t>
      </w:r>
      <w:r w:rsidR="00AC0889">
        <w:rPr>
          <w:rFonts w:ascii="Arial" w:eastAsiaTheme="minorHAnsi" w:hAnsi="Arial" w:cs="Arial"/>
          <w:lang w:eastAsia="en-US"/>
        </w:rPr>
        <w:t>governments need to be</w:t>
      </w:r>
      <w:r w:rsidR="00A03660" w:rsidRPr="0019172C">
        <w:rPr>
          <w:rFonts w:ascii="Arial" w:eastAsiaTheme="minorHAnsi" w:hAnsi="Arial" w:cs="Arial"/>
          <w:lang w:eastAsia="en-US"/>
        </w:rPr>
        <w:t xml:space="preserve"> flexible and innovative in how </w:t>
      </w:r>
      <w:r w:rsidR="00AC0889">
        <w:rPr>
          <w:rFonts w:ascii="Arial" w:eastAsiaTheme="minorHAnsi" w:hAnsi="Arial" w:cs="Arial"/>
          <w:lang w:eastAsia="en-US"/>
        </w:rPr>
        <w:t>they</w:t>
      </w:r>
      <w:r w:rsidR="00A03660" w:rsidRPr="0019172C">
        <w:rPr>
          <w:rFonts w:ascii="Arial" w:eastAsiaTheme="minorHAnsi" w:hAnsi="Arial" w:cs="Arial"/>
          <w:lang w:eastAsia="en-US"/>
        </w:rPr>
        <w:t xml:space="preserve"> </w:t>
      </w:r>
      <w:r w:rsidR="003A02DF" w:rsidRPr="0019172C">
        <w:rPr>
          <w:rFonts w:ascii="Arial" w:eastAsiaTheme="minorHAnsi" w:hAnsi="Arial" w:cs="Arial"/>
          <w:lang w:eastAsia="en-US"/>
        </w:rPr>
        <w:t xml:space="preserve">allocate </w:t>
      </w:r>
      <w:r w:rsidR="00A03660" w:rsidRPr="0019172C">
        <w:rPr>
          <w:rFonts w:ascii="Arial" w:eastAsiaTheme="minorHAnsi" w:hAnsi="Arial" w:cs="Arial"/>
          <w:lang w:eastAsia="en-US"/>
        </w:rPr>
        <w:t>resources</w:t>
      </w:r>
      <w:r w:rsidR="001B776F">
        <w:rPr>
          <w:rFonts w:ascii="Arial" w:eastAsiaTheme="minorHAnsi" w:hAnsi="Arial" w:cs="Arial"/>
          <w:lang w:eastAsia="en-US"/>
        </w:rPr>
        <w:t>. T</w:t>
      </w:r>
      <w:r w:rsidR="003A02DF" w:rsidRPr="0019172C">
        <w:rPr>
          <w:rFonts w:ascii="Arial" w:eastAsiaTheme="minorHAnsi" w:hAnsi="Arial" w:cs="Arial"/>
          <w:lang w:eastAsia="en-US"/>
        </w:rPr>
        <w:t>here is a n</w:t>
      </w:r>
      <w:r w:rsidR="00A03660" w:rsidRPr="0019172C">
        <w:rPr>
          <w:rFonts w:ascii="Arial" w:eastAsiaTheme="minorHAnsi" w:hAnsi="Arial" w:cs="Arial"/>
          <w:lang w:eastAsia="en-US"/>
        </w:rPr>
        <w:t xml:space="preserve">eed </w:t>
      </w:r>
      <w:r w:rsidR="003A02DF" w:rsidRPr="0019172C">
        <w:rPr>
          <w:rFonts w:ascii="Arial" w:eastAsiaTheme="minorHAnsi" w:hAnsi="Arial" w:cs="Arial"/>
          <w:lang w:eastAsia="en-US"/>
        </w:rPr>
        <w:t xml:space="preserve">to </w:t>
      </w:r>
      <w:r w:rsidR="00A03660" w:rsidRPr="0019172C">
        <w:rPr>
          <w:rFonts w:ascii="Arial" w:eastAsiaTheme="minorHAnsi" w:hAnsi="Arial" w:cs="Arial"/>
          <w:lang w:eastAsia="en-US"/>
        </w:rPr>
        <w:t xml:space="preserve">embed models of shared accountability and ensure place-based collective approaches </w:t>
      </w:r>
      <w:r w:rsidR="00A37CC0" w:rsidRPr="0019172C">
        <w:rPr>
          <w:rFonts w:ascii="Arial" w:eastAsiaTheme="minorHAnsi" w:hAnsi="Arial" w:cs="Arial"/>
          <w:lang w:eastAsia="en-US"/>
        </w:rPr>
        <w:t>in navigating</w:t>
      </w:r>
      <w:r w:rsidR="00A03660" w:rsidRPr="0019172C">
        <w:rPr>
          <w:rFonts w:ascii="Arial" w:eastAsiaTheme="minorHAnsi" w:hAnsi="Arial" w:cs="Arial"/>
          <w:lang w:eastAsia="en-US"/>
        </w:rPr>
        <w:t xml:space="preserve"> the difficult road ahead. </w:t>
      </w:r>
    </w:p>
    <w:p w14:paraId="58E46F3B" w14:textId="77777777" w:rsidR="008C41FD" w:rsidRPr="006263C3" w:rsidRDefault="005246B0" w:rsidP="00EB1FEF">
      <w:pPr>
        <w:spacing w:after="120"/>
        <w:contextualSpacing/>
        <w:rPr>
          <w:rFonts w:ascii="Arial" w:hAnsi="Arial" w:cs="Arial"/>
          <w:b/>
          <w:sz w:val="28"/>
          <w:szCs w:val="24"/>
        </w:rPr>
      </w:pPr>
      <w:r w:rsidRPr="006263C3">
        <w:rPr>
          <w:rFonts w:ascii="Arial" w:hAnsi="Arial" w:cs="Arial"/>
          <w:b/>
          <w:sz w:val="28"/>
          <w:szCs w:val="24"/>
        </w:rPr>
        <w:lastRenderedPageBreak/>
        <w:t xml:space="preserve">Ticket to Work </w:t>
      </w:r>
    </w:p>
    <w:p w14:paraId="4E8C0F49" w14:textId="77777777" w:rsidR="008C41FD" w:rsidRPr="0019172C" w:rsidRDefault="003A02DF" w:rsidP="00EB1FEF">
      <w:pPr>
        <w:spacing w:after="120"/>
        <w:contextualSpacing/>
        <w:rPr>
          <w:rFonts w:ascii="Arial" w:hAnsi="Arial" w:cs="Arial"/>
          <w:sz w:val="24"/>
          <w:szCs w:val="24"/>
        </w:rPr>
      </w:pPr>
      <w:r w:rsidRPr="0019172C">
        <w:rPr>
          <w:rFonts w:ascii="Arial" w:hAnsi="Arial" w:cs="Arial"/>
          <w:sz w:val="24"/>
          <w:szCs w:val="24"/>
        </w:rPr>
        <w:t>Ticket to</w:t>
      </w:r>
      <w:r w:rsidR="008C41FD" w:rsidRPr="0019172C">
        <w:rPr>
          <w:rFonts w:ascii="Arial" w:hAnsi="Arial" w:cs="Arial"/>
          <w:sz w:val="24"/>
          <w:szCs w:val="24"/>
        </w:rPr>
        <w:t xml:space="preserve"> W</w:t>
      </w:r>
      <w:r w:rsidRPr="0019172C">
        <w:rPr>
          <w:rFonts w:ascii="Arial" w:hAnsi="Arial" w:cs="Arial"/>
          <w:sz w:val="24"/>
          <w:szCs w:val="24"/>
        </w:rPr>
        <w:t xml:space="preserve">ork is </w:t>
      </w:r>
      <w:r w:rsidR="008C41FD" w:rsidRPr="0019172C">
        <w:rPr>
          <w:rFonts w:ascii="Arial" w:hAnsi="Arial" w:cs="Arial"/>
          <w:sz w:val="24"/>
          <w:szCs w:val="24"/>
        </w:rPr>
        <w:t>a collective impact approach</w:t>
      </w:r>
      <w:r w:rsidR="00851E72" w:rsidRPr="0019172C">
        <w:rPr>
          <w:rFonts w:ascii="Arial" w:hAnsi="Arial" w:cs="Arial"/>
          <w:sz w:val="24"/>
          <w:szCs w:val="24"/>
        </w:rPr>
        <w:t>, established</w:t>
      </w:r>
      <w:r w:rsidR="008C41FD" w:rsidRPr="0019172C">
        <w:rPr>
          <w:rFonts w:ascii="Arial" w:hAnsi="Arial" w:cs="Arial"/>
          <w:sz w:val="24"/>
          <w:szCs w:val="24"/>
        </w:rPr>
        <w:t xml:space="preserve"> in response to poor and falling school to work transition for young Australians with disability, </w:t>
      </w:r>
    </w:p>
    <w:p w14:paraId="6E335017" w14:textId="09A0636A" w:rsidR="004928F9" w:rsidRPr="0019172C" w:rsidRDefault="00A65D61" w:rsidP="00EB1FEF">
      <w:pPr>
        <w:pStyle w:val="NormalWeb"/>
        <w:spacing w:before="0" w:beforeAutospacing="0" w:after="120" w:afterAutospacing="0" w:line="259" w:lineRule="auto"/>
        <w:rPr>
          <w:rFonts w:ascii="Arial" w:eastAsiaTheme="minorHAnsi" w:hAnsi="Arial" w:cs="Arial"/>
          <w:lang w:eastAsia="en-US"/>
        </w:rPr>
      </w:pPr>
      <w:r w:rsidRPr="0019172C">
        <w:rPr>
          <w:rFonts w:ascii="Arial" w:eastAsiaTheme="minorHAnsi" w:hAnsi="Arial" w:cs="Arial"/>
          <w:lang w:eastAsia="en-US"/>
        </w:rPr>
        <w:t xml:space="preserve">While not underestimating the challenges, Ticket to Work </w:t>
      </w:r>
      <w:r w:rsidR="00767D04">
        <w:rPr>
          <w:rFonts w:ascii="Arial" w:eastAsiaTheme="minorHAnsi" w:hAnsi="Arial" w:cs="Arial"/>
          <w:lang w:eastAsia="en-US"/>
        </w:rPr>
        <w:t>networks have</w:t>
      </w:r>
      <w:r w:rsidRPr="0019172C">
        <w:rPr>
          <w:rFonts w:ascii="Arial" w:eastAsiaTheme="minorHAnsi" w:hAnsi="Arial" w:cs="Arial"/>
          <w:lang w:eastAsia="en-US"/>
        </w:rPr>
        <w:t xml:space="preserve"> demonstrated in significant numbers that young people can thrive in open employment when prepared and supported whil</w:t>
      </w:r>
      <w:r w:rsidR="001B776F">
        <w:rPr>
          <w:rFonts w:ascii="Arial" w:eastAsiaTheme="minorHAnsi" w:hAnsi="Arial" w:cs="Arial"/>
          <w:lang w:eastAsia="en-US"/>
        </w:rPr>
        <w:t>e</w:t>
      </w:r>
      <w:r w:rsidRPr="0019172C">
        <w:rPr>
          <w:rFonts w:ascii="Arial" w:eastAsiaTheme="minorHAnsi" w:hAnsi="Arial" w:cs="Arial"/>
          <w:lang w:eastAsia="en-US"/>
        </w:rPr>
        <w:t xml:space="preserve"> at school through a coordinated approach. The Ticket to Work </w:t>
      </w:r>
      <w:r w:rsidR="00D0516A">
        <w:rPr>
          <w:rFonts w:ascii="Arial" w:eastAsiaTheme="minorHAnsi" w:hAnsi="Arial" w:cs="Arial"/>
          <w:lang w:eastAsia="en-US"/>
        </w:rPr>
        <w:t>m</w:t>
      </w:r>
      <w:r w:rsidRPr="0019172C">
        <w:rPr>
          <w:rFonts w:ascii="Arial" w:eastAsiaTheme="minorHAnsi" w:hAnsi="Arial" w:cs="Arial"/>
          <w:lang w:eastAsia="en-US"/>
        </w:rPr>
        <w:t xml:space="preserve">odel was developed from scoping ‘what works’ in other countries. </w:t>
      </w:r>
    </w:p>
    <w:p w14:paraId="419463C3" w14:textId="178276E5" w:rsidR="0080259F" w:rsidRPr="0019172C" w:rsidRDefault="00A65D61" w:rsidP="00EB1FEF">
      <w:pPr>
        <w:pStyle w:val="Bulletlist"/>
        <w:numPr>
          <w:ilvl w:val="0"/>
          <w:numId w:val="0"/>
        </w:numPr>
        <w:spacing w:line="259" w:lineRule="auto"/>
        <w:rPr>
          <w:sz w:val="24"/>
          <w:szCs w:val="24"/>
        </w:rPr>
      </w:pPr>
      <w:r w:rsidRPr="0019172C">
        <w:rPr>
          <w:sz w:val="24"/>
          <w:szCs w:val="24"/>
        </w:rPr>
        <w:t>At its simplest, Ticket to Work’s collective impact approach (34 local networks; 205 schools; 105 local community organisations) has already delivered 1,621 jobs for young people with disability</w:t>
      </w:r>
      <w:r w:rsidR="0080259F" w:rsidRPr="0019172C">
        <w:rPr>
          <w:sz w:val="24"/>
          <w:szCs w:val="24"/>
        </w:rPr>
        <w:t>.</w:t>
      </w:r>
      <w:r w:rsidRPr="0019172C">
        <w:rPr>
          <w:sz w:val="24"/>
          <w:szCs w:val="24"/>
        </w:rPr>
        <w:t xml:space="preserve"> </w:t>
      </w:r>
      <w:r w:rsidR="00A37CC0" w:rsidRPr="0019172C">
        <w:rPr>
          <w:sz w:val="24"/>
          <w:szCs w:val="24"/>
        </w:rPr>
        <w:t xml:space="preserve">Compared to a similar group of young people </w:t>
      </w:r>
      <w:r w:rsidR="0080259F" w:rsidRPr="0019172C">
        <w:rPr>
          <w:sz w:val="24"/>
          <w:szCs w:val="24"/>
        </w:rPr>
        <w:t>Ticket to Work participants post</w:t>
      </w:r>
      <w:r w:rsidR="001B776F">
        <w:rPr>
          <w:sz w:val="24"/>
          <w:szCs w:val="24"/>
        </w:rPr>
        <w:t>-</w:t>
      </w:r>
      <w:r w:rsidR="0080259F" w:rsidRPr="0019172C">
        <w:rPr>
          <w:sz w:val="24"/>
          <w:szCs w:val="24"/>
        </w:rPr>
        <w:t xml:space="preserve">school are more likely </w:t>
      </w:r>
      <w:r w:rsidR="00A37CC0" w:rsidRPr="0019172C">
        <w:rPr>
          <w:sz w:val="24"/>
          <w:szCs w:val="24"/>
        </w:rPr>
        <w:t xml:space="preserve">to </w:t>
      </w:r>
      <w:r w:rsidR="0080259F" w:rsidRPr="0019172C">
        <w:rPr>
          <w:sz w:val="24"/>
          <w:szCs w:val="24"/>
        </w:rPr>
        <w:t>complete Year 12 (95% compared to 52%), work in open workplaces (57% compared to 16.5%)</w:t>
      </w:r>
      <w:r w:rsidR="004928F9" w:rsidRPr="0019172C">
        <w:rPr>
          <w:sz w:val="24"/>
          <w:szCs w:val="24"/>
        </w:rPr>
        <w:t xml:space="preserve"> </w:t>
      </w:r>
      <w:r w:rsidR="0080259F" w:rsidRPr="0019172C">
        <w:rPr>
          <w:sz w:val="24"/>
          <w:szCs w:val="24"/>
        </w:rPr>
        <w:t>participate in the labour force (89% compared to 58%), and</w:t>
      </w:r>
      <w:r w:rsidR="004928F9" w:rsidRPr="0019172C">
        <w:rPr>
          <w:sz w:val="24"/>
          <w:szCs w:val="24"/>
        </w:rPr>
        <w:t xml:space="preserve"> be involved in social activit</w:t>
      </w:r>
      <w:r w:rsidR="00C21892">
        <w:rPr>
          <w:sz w:val="24"/>
          <w:szCs w:val="24"/>
        </w:rPr>
        <w:t>ies</w:t>
      </w:r>
      <w:r w:rsidR="004928F9" w:rsidRPr="0019172C">
        <w:rPr>
          <w:sz w:val="24"/>
          <w:szCs w:val="24"/>
        </w:rPr>
        <w:t xml:space="preserve">: more socially active (83% compared to 65%); more independent (63% compared to 32%). </w:t>
      </w:r>
    </w:p>
    <w:p w14:paraId="74C40EC5" w14:textId="77777777" w:rsidR="00AC08E7" w:rsidRPr="0019172C" w:rsidRDefault="0080259F" w:rsidP="00EB1FEF">
      <w:pPr>
        <w:pStyle w:val="ListParagraph"/>
        <w:shd w:val="clear" w:color="auto" w:fill="FFFFFF"/>
        <w:spacing w:after="120"/>
        <w:ind w:left="0"/>
        <w:textAlignment w:val="top"/>
        <w:rPr>
          <w:rFonts w:ascii="Arial" w:hAnsi="Arial" w:cs="Arial"/>
          <w:sz w:val="24"/>
          <w:szCs w:val="24"/>
        </w:rPr>
      </w:pPr>
      <w:r w:rsidRPr="0019172C">
        <w:rPr>
          <w:rFonts w:ascii="Arial" w:hAnsi="Arial" w:cs="Arial"/>
          <w:sz w:val="24"/>
          <w:szCs w:val="24"/>
        </w:rPr>
        <w:t xml:space="preserve">A valuation of Ticket to Work found that the collective approach is </w:t>
      </w:r>
      <w:r w:rsidRPr="0019172C">
        <w:rPr>
          <w:rFonts w:ascii="Arial" w:eastAsia="Times New Roman" w:hAnsi="Arial" w:cs="Arial"/>
          <w:sz w:val="24"/>
          <w:szCs w:val="24"/>
          <w:lang w:eastAsia="en-AU"/>
        </w:rPr>
        <w:t>highly cost-effective, delivering overall savings in government expenditure</w:t>
      </w:r>
      <w:r w:rsidRPr="0019172C">
        <w:rPr>
          <w:rFonts w:ascii="Arial" w:hAnsi="Arial" w:cs="Arial"/>
          <w:sz w:val="24"/>
          <w:szCs w:val="24"/>
        </w:rPr>
        <w:t xml:space="preserve"> (SVA 2020).</w:t>
      </w:r>
      <w:r w:rsidR="00AC08E7" w:rsidRPr="0019172C">
        <w:rPr>
          <w:rFonts w:ascii="Arial" w:hAnsi="Arial" w:cs="Arial"/>
          <w:sz w:val="24"/>
          <w:szCs w:val="24"/>
        </w:rPr>
        <w:t xml:space="preserve"> </w:t>
      </w:r>
      <w:r w:rsidR="00767D04">
        <w:rPr>
          <w:rFonts w:ascii="Arial" w:hAnsi="Arial" w:cs="Arial"/>
          <w:sz w:val="24"/>
          <w:szCs w:val="24"/>
        </w:rPr>
        <w:t>Ticket to W</w:t>
      </w:r>
      <w:r w:rsidR="004928F9" w:rsidRPr="0019172C">
        <w:rPr>
          <w:rFonts w:ascii="Arial" w:hAnsi="Arial" w:cs="Arial"/>
          <w:sz w:val="24"/>
          <w:szCs w:val="24"/>
        </w:rPr>
        <w:t>ork</w:t>
      </w:r>
      <w:r w:rsidR="00A65D61" w:rsidRPr="0019172C">
        <w:rPr>
          <w:rFonts w:ascii="Arial" w:hAnsi="Arial" w:cs="Arial"/>
          <w:sz w:val="24"/>
          <w:szCs w:val="24"/>
        </w:rPr>
        <w:t xml:space="preserve"> networks are proving </w:t>
      </w:r>
      <w:r w:rsidR="00310C4D" w:rsidRPr="0019172C">
        <w:rPr>
          <w:rFonts w:ascii="Arial" w:hAnsi="Arial" w:cs="Arial"/>
          <w:sz w:val="24"/>
          <w:szCs w:val="24"/>
        </w:rPr>
        <w:t xml:space="preserve">to be </w:t>
      </w:r>
      <w:r w:rsidR="00A65D61" w:rsidRPr="0019172C">
        <w:rPr>
          <w:rFonts w:ascii="Arial" w:hAnsi="Arial" w:cs="Arial"/>
          <w:sz w:val="24"/>
          <w:szCs w:val="24"/>
        </w:rPr>
        <w:t xml:space="preserve">durable in the midst of COVID-19. </w:t>
      </w:r>
    </w:p>
    <w:p w14:paraId="2077A117" w14:textId="77777777" w:rsidR="005240DC" w:rsidRPr="0019172C" w:rsidRDefault="005240DC" w:rsidP="00EB1FEF">
      <w:pPr>
        <w:spacing w:after="120"/>
        <w:rPr>
          <w:rFonts w:ascii="Arial" w:hAnsi="Arial" w:cs="Arial"/>
          <w:sz w:val="24"/>
          <w:szCs w:val="24"/>
        </w:rPr>
      </w:pPr>
      <w:r w:rsidRPr="0019172C">
        <w:rPr>
          <w:rFonts w:ascii="Arial" w:hAnsi="Arial" w:cs="Arial"/>
          <w:sz w:val="24"/>
          <w:szCs w:val="24"/>
        </w:rPr>
        <w:t xml:space="preserve">The Grattan report stated that in the interest of investing to catch up on COVID-19, priority should be given to initiatives that: </w:t>
      </w:r>
    </w:p>
    <w:p w14:paraId="286BBD35" w14:textId="3D48B879" w:rsidR="005240DC" w:rsidRPr="0019172C" w:rsidRDefault="005240DC" w:rsidP="00EB1FEF">
      <w:pPr>
        <w:numPr>
          <w:ilvl w:val="0"/>
          <w:numId w:val="3"/>
        </w:numPr>
        <w:spacing w:after="120"/>
        <w:contextualSpacing/>
        <w:rPr>
          <w:rFonts w:ascii="Arial" w:hAnsi="Arial" w:cs="Arial"/>
          <w:sz w:val="24"/>
          <w:szCs w:val="24"/>
        </w:rPr>
      </w:pPr>
      <w:r w:rsidRPr="0019172C">
        <w:rPr>
          <w:rFonts w:ascii="Arial" w:hAnsi="Arial" w:cs="Arial"/>
          <w:sz w:val="24"/>
          <w:szCs w:val="24"/>
        </w:rPr>
        <w:t xml:space="preserve">Have been shown in research studies to </w:t>
      </w:r>
      <w:r w:rsidR="00091A30">
        <w:rPr>
          <w:rFonts w:ascii="Arial" w:hAnsi="Arial" w:cs="Arial"/>
          <w:sz w:val="24"/>
          <w:szCs w:val="24"/>
        </w:rPr>
        <w:t>improve student learning significantly</w:t>
      </w:r>
      <w:r w:rsidRPr="0019172C">
        <w:rPr>
          <w:rFonts w:ascii="Arial" w:hAnsi="Arial" w:cs="Arial"/>
          <w:sz w:val="24"/>
          <w:szCs w:val="24"/>
        </w:rPr>
        <w:t>;</w:t>
      </w:r>
    </w:p>
    <w:p w14:paraId="48466987" w14:textId="77777777" w:rsidR="005240DC" w:rsidRPr="0019172C" w:rsidRDefault="005240DC" w:rsidP="00EB1FEF">
      <w:pPr>
        <w:numPr>
          <w:ilvl w:val="0"/>
          <w:numId w:val="3"/>
        </w:numPr>
        <w:spacing w:after="120"/>
        <w:contextualSpacing/>
        <w:rPr>
          <w:rFonts w:ascii="Arial" w:hAnsi="Arial" w:cs="Arial"/>
          <w:sz w:val="24"/>
          <w:szCs w:val="24"/>
        </w:rPr>
      </w:pPr>
      <w:r w:rsidRPr="0019172C">
        <w:rPr>
          <w:rFonts w:ascii="Arial" w:hAnsi="Arial" w:cs="Arial"/>
          <w:sz w:val="24"/>
          <w:szCs w:val="24"/>
        </w:rPr>
        <w:t xml:space="preserve">Have benefits that clearly outweigh the costs; </w:t>
      </w:r>
    </w:p>
    <w:p w14:paraId="504B40A0" w14:textId="456FE49B" w:rsidR="00AC08E7" w:rsidRPr="00767D04" w:rsidRDefault="005240DC" w:rsidP="00EB1FEF">
      <w:pPr>
        <w:numPr>
          <w:ilvl w:val="0"/>
          <w:numId w:val="3"/>
        </w:numPr>
        <w:spacing w:after="120"/>
        <w:rPr>
          <w:rFonts w:ascii="Arial" w:hAnsi="Arial" w:cs="Arial"/>
          <w:sz w:val="24"/>
          <w:szCs w:val="24"/>
        </w:rPr>
      </w:pPr>
      <w:r w:rsidRPr="0019172C">
        <w:rPr>
          <w:rFonts w:ascii="Arial" w:hAnsi="Arial" w:cs="Arial"/>
          <w:sz w:val="24"/>
          <w:szCs w:val="24"/>
        </w:rPr>
        <w:t>Have a track record of successful implementation across many schools and can be implemented quickly</w:t>
      </w:r>
      <w:r w:rsidR="007704F6">
        <w:rPr>
          <w:rFonts w:ascii="Arial" w:hAnsi="Arial" w:cs="Arial"/>
          <w:sz w:val="24"/>
          <w:szCs w:val="24"/>
        </w:rPr>
        <w:t xml:space="preserve"> </w:t>
      </w:r>
      <w:r w:rsidR="007704F6">
        <w:rPr>
          <w:rFonts w:ascii="Arial" w:hAnsi="Arial" w:cs="Arial"/>
          <w:sz w:val="24"/>
          <w:szCs w:val="24"/>
        </w:rPr>
        <w:fldChar w:fldCharType="begin"/>
      </w:r>
      <w:r w:rsidR="007704F6">
        <w:rPr>
          <w:rFonts w:ascii="Arial" w:hAnsi="Arial" w:cs="Arial"/>
          <w:sz w:val="24"/>
          <w:szCs w:val="24"/>
        </w:rPr>
        <w:instrText xml:space="preserve"> ADDIN EN.CITE &lt;EndNote&gt;&lt;Cite&gt;&lt;Author&gt;Sonnemann&lt;/Author&gt;&lt;Year&gt;2020&lt;/Year&gt;&lt;RecNum&gt;1850&lt;/RecNum&gt;&lt;DisplayText&gt;(Sonnemann &amp;amp; Goss, 2020)&lt;/DisplayText&gt;&lt;record&gt;&lt;rec-number&gt;1850&lt;/rec-number&gt;&lt;foreign-keys&gt;&lt;key app="EN" db-id="afrvxfvzvvpp2tew2sbxfrtxszxsa992r2f0" timestamp="1595917433"&gt;1850&lt;/key&gt;&lt;/foreign-keys&gt;&lt;ref-type name="Report"&gt;27&lt;/ref-type&gt;&lt;contributors&gt;&lt;authors&gt;&lt;author&gt;Sonnemann, J. &lt;/author&gt;&lt;author&gt;Goss, P. &lt;/author&gt;&lt;/authors&gt;&lt;/contributors&gt;&lt;titles&gt;&lt;title&gt;COVID catch-up: helping disadvantaged students close the equity gap&lt;/title&gt;&lt;/titles&gt;&lt;dates&gt;&lt;year&gt;2020&lt;/year&gt;&lt;/dates&gt;&lt;publisher&gt;Grattan Institute.&lt;/publisher&gt;&lt;urls&gt;&lt;related-urls&gt;&lt;url&gt;https://grattan.edu.au/wp-content/uploads/2020/06/COVID-Catch-up-Grattan-School-Education-Report.pdf&lt;/url&gt;&lt;/related-urls&gt;&lt;/urls&gt;&lt;/record&gt;&lt;/Cite&gt;&lt;/EndNote&gt;</w:instrText>
      </w:r>
      <w:r w:rsidR="007704F6">
        <w:rPr>
          <w:rFonts w:ascii="Arial" w:hAnsi="Arial" w:cs="Arial"/>
          <w:sz w:val="24"/>
          <w:szCs w:val="24"/>
        </w:rPr>
        <w:fldChar w:fldCharType="separate"/>
      </w:r>
      <w:r w:rsidR="007704F6">
        <w:rPr>
          <w:rFonts w:ascii="Arial" w:hAnsi="Arial" w:cs="Arial"/>
          <w:noProof/>
          <w:sz w:val="24"/>
          <w:szCs w:val="24"/>
        </w:rPr>
        <w:t>(Sonnemann &amp; Goss, 2020)</w:t>
      </w:r>
      <w:r w:rsidR="007704F6">
        <w:rPr>
          <w:rFonts w:ascii="Arial" w:hAnsi="Arial" w:cs="Arial"/>
          <w:sz w:val="24"/>
          <w:szCs w:val="24"/>
        </w:rPr>
        <w:fldChar w:fldCharType="end"/>
      </w:r>
      <w:r w:rsidRPr="0019172C">
        <w:rPr>
          <w:rFonts w:ascii="Arial" w:hAnsi="Arial" w:cs="Arial"/>
          <w:sz w:val="24"/>
          <w:szCs w:val="24"/>
        </w:rPr>
        <w:t xml:space="preserve">. </w:t>
      </w:r>
    </w:p>
    <w:p w14:paraId="71FB1922" w14:textId="77777777" w:rsidR="00612B73" w:rsidRPr="0019172C" w:rsidRDefault="005240DC" w:rsidP="00EB1FEF">
      <w:pPr>
        <w:spacing w:after="120"/>
        <w:rPr>
          <w:rFonts w:ascii="Arial" w:hAnsi="Arial" w:cs="Arial"/>
          <w:sz w:val="24"/>
          <w:szCs w:val="24"/>
        </w:rPr>
      </w:pPr>
      <w:r w:rsidRPr="0019172C">
        <w:rPr>
          <w:rFonts w:ascii="Arial" w:hAnsi="Arial" w:cs="Arial"/>
          <w:sz w:val="24"/>
          <w:szCs w:val="24"/>
        </w:rPr>
        <w:t xml:space="preserve">Ticket to Work ticks those boxes. The adaptability of the Ticket to Work model is highly advantageous to expanding its reach. </w:t>
      </w:r>
    </w:p>
    <w:p w14:paraId="4900137B" w14:textId="77777777" w:rsidR="00A65D61" w:rsidRPr="0019172C" w:rsidRDefault="00612B73" w:rsidP="00EB1FEF">
      <w:pPr>
        <w:spacing w:after="120"/>
        <w:rPr>
          <w:rFonts w:ascii="Arial" w:hAnsi="Arial" w:cs="Arial"/>
          <w:sz w:val="24"/>
          <w:szCs w:val="24"/>
        </w:rPr>
      </w:pPr>
      <w:r w:rsidRPr="0019172C">
        <w:rPr>
          <w:rFonts w:ascii="Arial" w:hAnsi="Arial" w:cs="Arial"/>
          <w:sz w:val="24"/>
          <w:szCs w:val="24"/>
        </w:rPr>
        <w:t xml:space="preserve">Connecting </w:t>
      </w:r>
      <w:r w:rsidR="00A65D61" w:rsidRPr="0019172C">
        <w:rPr>
          <w:rFonts w:ascii="Arial" w:hAnsi="Arial" w:cs="Arial"/>
          <w:sz w:val="24"/>
          <w:szCs w:val="24"/>
        </w:rPr>
        <w:t>students</w:t>
      </w:r>
      <w:r w:rsidRPr="0019172C">
        <w:rPr>
          <w:rFonts w:ascii="Arial" w:hAnsi="Arial" w:cs="Arial"/>
          <w:sz w:val="24"/>
          <w:szCs w:val="24"/>
        </w:rPr>
        <w:t xml:space="preserve"> with disability </w:t>
      </w:r>
      <w:r w:rsidR="00C714C2" w:rsidRPr="0019172C">
        <w:rPr>
          <w:rFonts w:ascii="Arial" w:hAnsi="Arial" w:cs="Arial"/>
          <w:sz w:val="24"/>
          <w:szCs w:val="24"/>
        </w:rPr>
        <w:t xml:space="preserve">to employers </w:t>
      </w:r>
      <w:r w:rsidR="00DF5580">
        <w:rPr>
          <w:rFonts w:ascii="Arial" w:hAnsi="Arial" w:cs="Arial"/>
          <w:sz w:val="24"/>
          <w:szCs w:val="24"/>
        </w:rPr>
        <w:t xml:space="preserve">while </w:t>
      </w:r>
      <w:r w:rsidRPr="0019172C">
        <w:rPr>
          <w:rFonts w:ascii="Arial" w:hAnsi="Arial" w:cs="Arial"/>
          <w:sz w:val="24"/>
          <w:szCs w:val="24"/>
        </w:rPr>
        <w:t xml:space="preserve">still at school </w:t>
      </w:r>
      <w:r w:rsidR="00C714C2" w:rsidRPr="0019172C">
        <w:rPr>
          <w:rFonts w:ascii="Arial" w:hAnsi="Arial" w:cs="Arial"/>
          <w:sz w:val="24"/>
          <w:szCs w:val="24"/>
        </w:rPr>
        <w:t>as well as tailoring education and training to ensure young peoples’ skills meet industry demand is critical to the recovery of the youth labour market.</w:t>
      </w:r>
      <w:r w:rsidR="00A65D61" w:rsidRPr="0019172C">
        <w:rPr>
          <w:rFonts w:ascii="Arial" w:hAnsi="Arial" w:cs="Arial"/>
          <w:sz w:val="24"/>
          <w:szCs w:val="24"/>
        </w:rPr>
        <w:t xml:space="preserve">  Doing this in a place-based approach is essential. </w:t>
      </w:r>
    </w:p>
    <w:p w14:paraId="22F81F57" w14:textId="0C6ABC8E" w:rsidR="00A37CC0" w:rsidRPr="0019172C" w:rsidRDefault="00A37CC0" w:rsidP="00EB1FEF">
      <w:pPr>
        <w:spacing w:after="120"/>
        <w:rPr>
          <w:rFonts w:ascii="Arial" w:hAnsi="Arial" w:cs="Arial"/>
          <w:sz w:val="24"/>
          <w:szCs w:val="24"/>
        </w:rPr>
      </w:pPr>
      <w:r w:rsidRPr="0019172C">
        <w:rPr>
          <w:rFonts w:ascii="Arial" w:hAnsi="Arial" w:cs="Arial"/>
          <w:sz w:val="24"/>
          <w:szCs w:val="24"/>
        </w:rPr>
        <w:t xml:space="preserve">While </w:t>
      </w:r>
      <w:r w:rsidR="007008CD">
        <w:rPr>
          <w:rFonts w:ascii="Arial" w:hAnsi="Arial" w:cs="Arial"/>
          <w:sz w:val="24"/>
          <w:szCs w:val="24"/>
        </w:rPr>
        <w:t>many efforts and initiatives are</w:t>
      </w:r>
      <w:r w:rsidRPr="0019172C">
        <w:rPr>
          <w:rFonts w:ascii="Arial" w:hAnsi="Arial" w:cs="Arial"/>
          <w:sz w:val="24"/>
          <w:szCs w:val="24"/>
        </w:rPr>
        <w:t xml:space="preserve"> happening to support Australians through the pandemic, there will be more to do in the recovery phase.  Those already disadvantaged in the labour market</w:t>
      </w:r>
      <w:r w:rsidR="007008CD">
        <w:rPr>
          <w:rFonts w:ascii="Arial" w:hAnsi="Arial" w:cs="Arial"/>
          <w:sz w:val="24"/>
          <w:szCs w:val="24"/>
        </w:rPr>
        <w:t>,</w:t>
      </w:r>
      <w:r w:rsidRPr="0019172C">
        <w:rPr>
          <w:rFonts w:ascii="Arial" w:hAnsi="Arial" w:cs="Arial"/>
          <w:sz w:val="24"/>
          <w:szCs w:val="24"/>
        </w:rPr>
        <w:t xml:space="preserve"> such as people with disability</w:t>
      </w:r>
      <w:r w:rsidR="002B7298">
        <w:rPr>
          <w:rFonts w:ascii="Arial" w:hAnsi="Arial" w:cs="Arial"/>
          <w:sz w:val="24"/>
          <w:szCs w:val="24"/>
        </w:rPr>
        <w:t>,</w:t>
      </w:r>
      <w:r w:rsidRPr="0019172C">
        <w:rPr>
          <w:rFonts w:ascii="Arial" w:hAnsi="Arial" w:cs="Arial"/>
          <w:sz w:val="24"/>
          <w:szCs w:val="24"/>
        </w:rPr>
        <w:t xml:space="preserve"> must not be left out. </w:t>
      </w:r>
    </w:p>
    <w:p w14:paraId="23D7154A" w14:textId="0E062EF9" w:rsidR="00A65D61" w:rsidRPr="0019172C" w:rsidRDefault="00A65D61" w:rsidP="00EB1FEF">
      <w:pPr>
        <w:spacing w:after="120"/>
        <w:rPr>
          <w:rFonts w:ascii="Arial" w:hAnsi="Arial" w:cs="Arial"/>
          <w:sz w:val="24"/>
          <w:szCs w:val="24"/>
        </w:rPr>
      </w:pPr>
      <w:r w:rsidRPr="0019172C">
        <w:rPr>
          <w:rFonts w:ascii="Arial" w:hAnsi="Arial" w:cs="Arial"/>
          <w:sz w:val="24"/>
          <w:szCs w:val="24"/>
        </w:rPr>
        <w:t xml:space="preserve">We need </w:t>
      </w:r>
      <w:r w:rsidR="004928F9" w:rsidRPr="0019172C">
        <w:rPr>
          <w:rFonts w:ascii="Arial" w:hAnsi="Arial" w:cs="Arial"/>
          <w:sz w:val="24"/>
          <w:szCs w:val="24"/>
        </w:rPr>
        <w:t xml:space="preserve">Government </w:t>
      </w:r>
      <w:r w:rsidRPr="0019172C">
        <w:rPr>
          <w:rFonts w:ascii="Arial" w:hAnsi="Arial" w:cs="Arial"/>
          <w:sz w:val="24"/>
          <w:szCs w:val="24"/>
        </w:rPr>
        <w:t xml:space="preserve">to take the opportunity </w:t>
      </w:r>
      <w:r w:rsidR="00691745">
        <w:rPr>
          <w:rFonts w:ascii="Arial" w:hAnsi="Arial" w:cs="Arial"/>
          <w:sz w:val="24"/>
          <w:szCs w:val="24"/>
        </w:rPr>
        <w:t xml:space="preserve">during COVID-19 </w:t>
      </w:r>
      <w:r w:rsidRPr="0019172C">
        <w:rPr>
          <w:rFonts w:ascii="Arial" w:hAnsi="Arial" w:cs="Arial"/>
          <w:sz w:val="24"/>
          <w:szCs w:val="24"/>
        </w:rPr>
        <w:t>recover</w:t>
      </w:r>
      <w:r w:rsidR="00310C4D" w:rsidRPr="0019172C">
        <w:rPr>
          <w:rFonts w:ascii="Arial" w:hAnsi="Arial" w:cs="Arial"/>
          <w:sz w:val="24"/>
          <w:szCs w:val="24"/>
        </w:rPr>
        <w:t>y</w:t>
      </w:r>
      <w:r w:rsidRPr="0019172C">
        <w:rPr>
          <w:rFonts w:ascii="Arial" w:hAnsi="Arial" w:cs="Arial"/>
          <w:sz w:val="24"/>
          <w:szCs w:val="24"/>
        </w:rPr>
        <w:t xml:space="preserve"> to overhaul a system that does not work for young people with disability and reimag</w:t>
      </w:r>
      <w:r w:rsidR="00CF00C2">
        <w:rPr>
          <w:rFonts w:ascii="Arial" w:hAnsi="Arial" w:cs="Arial"/>
          <w:sz w:val="24"/>
          <w:szCs w:val="24"/>
        </w:rPr>
        <w:t>in</w:t>
      </w:r>
      <w:r w:rsidRPr="0019172C">
        <w:rPr>
          <w:rFonts w:ascii="Arial" w:hAnsi="Arial" w:cs="Arial"/>
          <w:sz w:val="24"/>
          <w:szCs w:val="24"/>
        </w:rPr>
        <w:t>e the world where</w:t>
      </w:r>
      <w:r w:rsidR="00CB052C" w:rsidRPr="0019172C">
        <w:rPr>
          <w:rFonts w:ascii="Arial" w:hAnsi="Arial" w:cs="Arial"/>
          <w:sz w:val="24"/>
          <w:szCs w:val="24"/>
        </w:rPr>
        <w:t xml:space="preserve"> there is </w:t>
      </w:r>
      <w:r w:rsidR="00310C4D" w:rsidRPr="0019172C">
        <w:rPr>
          <w:rFonts w:ascii="Arial" w:hAnsi="Arial" w:cs="Arial"/>
          <w:sz w:val="24"/>
          <w:szCs w:val="24"/>
        </w:rPr>
        <w:t>inclusive</w:t>
      </w:r>
      <w:r w:rsidR="00767D04">
        <w:rPr>
          <w:rFonts w:ascii="Arial" w:hAnsi="Arial" w:cs="Arial"/>
          <w:sz w:val="24"/>
          <w:szCs w:val="24"/>
        </w:rPr>
        <w:t xml:space="preserve"> access</w:t>
      </w:r>
      <w:r w:rsidR="00CB052C" w:rsidRPr="0019172C">
        <w:rPr>
          <w:rFonts w:ascii="Arial" w:hAnsi="Arial" w:cs="Arial"/>
          <w:sz w:val="24"/>
          <w:szCs w:val="24"/>
        </w:rPr>
        <w:t xml:space="preserve"> to ensure we give</w:t>
      </w:r>
      <w:r w:rsidRPr="0019172C">
        <w:rPr>
          <w:rFonts w:ascii="Arial" w:hAnsi="Arial" w:cs="Arial"/>
          <w:sz w:val="24"/>
          <w:szCs w:val="24"/>
        </w:rPr>
        <w:t xml:space="preserve"> young people </w:t>
      </w:r>
      <w:r w:rsidR="00CB052C" w:rsidRPr="0019172C">
        <w:rPr>
          <w:rFonts w:ascii="Arial" w:hAnsi="Arial" w:cs="Arial"/>
          <w:sz w:val="24"/>
          <w:szCs w:val="24"/>
        </w:rPr>
        <w:t xml:space="preserve">with disability </w:t>
      </w:r>
      <w:r w:rsidRPr="0019172C">
        <w:rPr>
          <w:rFonts w:ascii="Arial" w:hAnsi="Arial" w:cs="Arial"/>
          <w:sz w:val="24"/>
          <w:szCs w:val="24"/>
        </w:rPr>
        <w:t xml:space="preserve">a </w:t>
      </w:r>
      <w:r w:rsidR="00767D04">
        <w:rPr>
          <w:rFonts w:ascii="Arial" w:hAnsi="Arial" w:cs="Arial"/>
          <w:sz w:val="24"/>
          <w:szCs w:val="24"/>
        </w:rPr>
        <w:t xml:space="preserve">fighting </w:t>
      </w:r>
      <w:r w:rsidRPr="0019172C">
        <w:rPr>
          <w:rFonts w:ascii="Arial" w:hAnsi="Arial" w:cs="Arial"/>
          <w:sz w:val="24"/>
          <w:szCs w:val="24"/>
        </w:rPr>
        <w:t>chance.</w:t>
      </w:r>
    </w:p>
    <w:p w14:paraId="7F168DFC" w14:textId="77777777" w:rsidR="00031632" w:rsidRDefault="00031632" w:rsidP="00EB1FEF">
      <w:pPr>
        <w:spacing w:after="120"/>
        <w:rPr>
          <w:rFonts w:ascii="Arial" w:hAnsi="Arial" w:cs="Arial"/>
          <w:sz w:val="24"/>
          <w:szCs w:val="24"/>
        </w:rPr>
      </w:pPr>
    </w:p>
    <w:p w14:paraId="2471A4EB" w14:textId="01E0DFE9" w:rsidR="00031632" w:rsidRPr="006263C3" w:rsidRDefault="00084EFE" w:rsidP="00EB1FEF">
      <w:pPr>
        <w:spacing w:after="120"/>
        <w:rPr>
          <w:rFonts w:ascii="Arial" w:hAnsi="Arial" w:cs="Arial"/>
          <w:b/>
          <w:bCs/>
          <w:sz w:val="28"/>
          <w:szCs w:val="24"/>
        </w:rPr>
      </w:pPr>
      <w:r w:rsidRPr="006263C3">
        <w:rPr>
          <w:rFonts w:ascii="Arial" w:hAnsi="Arial" w:cs="Arial"/>
          <w:b/>
          <w:bCs/>
          <w:sz w:val="28"/>
          <w:szCs w:val="24"/>
        </w:rPr>
        <w:lastRenderedPageBreak/>
        <w:t>References</w:t>
      </w:r>
    </w:p>
    <w:p w14:paraId="73EA1EBF" w14:textId="77777777" w:rsidR="007704F6" w:rsidRPr="00DC6CA4" w:rsidRDefault="00031632" w:rsidP="007704F6">
      <w:pPr>
        <w:pStyle w:val="EndNoteBibliography"/>
        <w:spacing w:after="0"/>
        <w:ind w:left="720" w:hanging="720"/>
        <w:rPr>
          <w:rFonts w:ascii="Arial" w:hAnsi="Arial" w:cs="Arial"/>
          <w:sz w:val="24"/>
          <w:szCs w:val="24"/>
        </w:rPr>
      </w:pPr>
      <w:r w:rsidRPr="00DC6CA4">
        <w:rPr>
          <w:rFonts w:ascii="Arial" w:hAnsi="Arial" w:cs="Arial"/>
          <w:sz w:val="24"/>
          <w:szCs w:val="24"/>
        </w:rPr>
        <w:fldChar w:fldCharType="begin"/>
      </w:r>
      <w:r w:rsidRPr="00DC6CA4">
        <w:rPr>
          <w:rFonts w:ascii="Arial" w:hAnsi="Arial" w:cs="Arial"/>
          <w:sz w:val="24"/>
          <w:szCs w:val="24"/>
        </w:rPr>
        <w:instrText xml:space="preserve"> ADDIN EN.REFLIST </w:instrText>
      </w:r>
      <w:r w:rsidRPr="00DC6CA4">
        <w:rPr>
          <w:rFonts w:ascii="Arial" w:hAnsi="Arial" w:cs="Arial"/>
          <w:sz w:val="24"/>
          <w:szCs w:val="24"/>
        </w:rPr>
        <w:fldChar w:fldCharType="separate"/>
      </w:r>
      <w:r w:rsidR="007704F6" w:rsidRPr="00DC6CA4">
        <w:rPr>
          <w:rFonts w:ascii="Arial" w:hAnsi="Arial" w:cs="Arial"/>
          <w:sz w:val="24"/>
          <w:szCs w:val="24"/>
        </w:rPr>
        <w:t xml:space="preserve">Butterworth, P., Leach, L. S., Strazdins, L., Olesen, S. C., Rodgers, B., &amp; Broom, D. (2011). The psychosocial quality of work determines whether employment has benefits for mental health: results from a longitudinal national household panel survey. </w:t>
      </w:r>
      <w:r w:rsidR="007704F6" w:rsidRPr="00DC6CA4">
        <w:rPr>
          <w:rFonts w:ascii="Arial" w:hAnsi="Arial" w:cs="Arial"/>
          <w:i/>
          <w:sz w:val="24"/>
          <w:szCs w:val="24"/>
        </w:rPr>
        <w:t>Occupational and environmental medicine, 68</w:t>
      </w:r>
      <w:r w:rsidR="007704F6" w:rsidRPr="00DC6CA4">
        <w:rPr>
          <w:rFonts w:ascii="Arial" w:hAnsi="Arial" w:cs="Arial"/>
          <w:sz w:val="24"/>
          <w:szCs w:val="24"/>
        </w:rPr>
        <w:t xml:space="preserve">(11), 806-812. </w:t>
      </w:r>
    </w:p>
    <w:p w14:paraId="134179F8" w14:textId="2CC62DF0"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Chalmers, S. (16 April 2020). </w:t>
      </w:r>
      <w:r w:rsidRPr="00DC6CA4">
        <w:rPr>
          <w:rFonts w:ascii="Arial" w:hAnsi="Arial" w:cs="Arial"/>
          <w:i/>
          <w:sz w:val="24"/>
          <w:szCs w:val="24"/>
        </w:rPr>
        <w:t>History suggests youth unemployment will surge, pain will last a decade after coronavirus crisis</w:t>
      </w:r>
      <w:r w:rsidRPr="00DC6CA4">
        <w:rPr>
          <w:rFonts w:ascii="Arial" w:hAnsi="Arial" w:cs="Arial"/>
          <w:sz w:val="24"/>
          <w:szCs w:val="24"/>
        </w:rPr>
        <w:t xml:space="preserve">. Retrieved 28 July 2020, from </w:t>
      </w:r>
      <w:hyperlink r:id="rId13" w:history="1">
        <w:r w:rsidRPr="00DC6CA4">
          <w:rPr>
            <w:rStyle w:val="Hyperlink"/>
            <w:rFonts w:ascii="Arial" w:hAnsi="Arial" w:cs="Arial"/>
            <w:sz w:val="24"/>
            <w:szCs w:val="24"/>
          </w:rPr>
          <w:t>abc.net.au/news/2020-04-16/history-suggests-youth-unemployment-will-surge-coronavirus/12151668</w:t>
        </w:r>
      </w:hyperlink>
    </w:p>
    <w:p w14:paraId="79FB3F45" w14:textId="29E6BE72"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Coates, B., Cowgill, M., Chen, T., &amp; Mackey, W. (2020). Shutdown: estimating the COVID-19 employment shock. </w:t>
      </w:r>
      <w:r w:rsidRPr="00DC6CA4">
        <w:rPr>
          <w:rFonts w:ascii="Arial" w:hAnsi="Arial" w:cs="Arial"/>
          <w:i/>
          <w:sz w:val="24"/>
          <w:szCs w:val="24"/>
        </w:rPr>
        <w:t>Grattan Institute, Melbourne, Victoria</w:t>
      </w:r>
      <w:r w:rsidRPr="00DC6CA4">
        <w:rPr>
          <w:rFonts w:ascii="Arial" w:hAnsi="Arial" w:cs="Arial"/>
          <w:sz w:val="24"/>
          <w:szCs w:val="24"/>
        </w:rPr>
        <w:t xml:space="preserve">. Retrieved from </w:t>
      </w:r>
      <w:hyperlink r:id="rId14" w:history="1">
        <w:r w:rsidRPr="00DC6CA4">
          <w:rPr>
            <w:rStyle w:val="Hyperlink"/>
            <w:rFonts w:ascii="Arial" w:hAnsi="Arial" w:cs="Arial"/>
            <w:sz w:val="24"/>
            <w:szCs w:val="24"/>
          </w:rPr>
          <w:t>apo.org.au/sites/default/files/resource-files/2020-04/apo-nid303322.pdf</w:t>
        </w:r>
      </w:hyperlink>
    </w:p>
    <w:p w14:paraId="63F5E3B4" w14:textId="033AC6C8"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Cox, M., Reddel, T., &amp; Hogan, M. (2020). Building a fairer Australia after COVID-19. Retrieved from </w:t>
      </w:r>
      <w:hyperlink r:id="rId15" w:anchor="_edn7" w:history="1">
        <w:r w:rsidRPr="00DC6CA4">
          <w:rPr>
            <w:rStyle w:val="Hyperlink"/>
            <w:rFonts w:ascii="Arial" w:hAnsi="Arial" w:cs="Arial"/>
            <w:sz w:val="24"/>
            <w:szCs w:val="24"/>
          </w:rPr>
          <w:t>ceda.com.au/Digital-hub/Blogs/CEDA-Blog/April-2020/Building-a-fairer-Australia-after-COVID-19#_edn7</w:t>
        </w:r>
      </w:hyperlink>
    </w:p>
    <w:p w14:paraId="7E3C643C" w14:textId="6322BFAE"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Deloitte Access Economics. (2011). </w:t>
      </w:r>
      <w:r w:rsidRPr="00DC6CA4">
        <w:rPr>
          <w:rFonts w:ascii="Arial" w:hAnsi="Arial" w:cs="Arial"/>
          <w:i/>
          <w:sz w:val="24"/>
          <w:szCs w:val="24"/>
        </w:rPr>
        <w:t>The economic benefits of increasing employment for people with disability</w:t>
      </w:r>
      <w:r w:rsidRPr="00DC6CA4">
        <w:rPr>
          <w:rFonts w:ascii="Arial" w:hAnsi="Arial" w:cs="Arial"/>
          <w:sz w:val="24"/>
          <w:szCs w:val="24"/>
        </w:rPr>
        <w:t xml:space="preserve">. Retrieved from </w:t>
      </w:r>
      <w:hyperlink r:id="rId16" w:history="1">
        <w:r w:rsidRPr="00DC6CA4">
          <w:rPr>
            <w:rStyle w:val="Hyperlink"/>
            <w:rFonts w:ascii="Arial" w:hAnsi="Arial" w:cs="Arial"/>
            <w:sz w:val="24"/>
            <w:szCs w:val="24"/>
          </w:rPr>
          <w:t>deloitte.com/au/en/pages/economics/articles/economic-benefits-increasing-employment-for-people-with-disability.html</w:t>
        </w:r>
      </w:hyperlink>
    </w:p>
    <w:p w14:paraId="070AA429" w14:textId="1775567C"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Department of Social Security. (2020). </w:t>
      </w:r>
      <w:r w:rsidRPr="00DC6CA4">
        <w:rPr>
          <w:rFonts w:ascii="Arial" w:hAnsi="Arial" w:cs="Arial"/>
          <w:i/>
          <w:sz w:val="24"/>
          <w:szCs w:val="24"/>
        </w:rPr>
        <w:t>Stronger places, Stronger People Model</w:t>
      </w:r>
      <w:r w:rsidRPr="00DC6CA4">
        <w:rPr>
          <w:rFonts w:ascii="Arial" w:hAnsi="Arial" w:cs="Arial"/>
          <w:sz w:val="24"/>
          <w:szCs w:val="24"/>
        </w:rPr>
        <w:t xml:space="preserve">.  Retrieved from </w:t>
      </w:r>
      <w:hyperlink r:id="rId17" w:history="1">
        <w:r w:rsidRPr="00DC6CA4">
          <w:rPr>
            <w:rStyle w:val="Hyperlink"/>
            <w:rFonts w:ascii="Arial" w:hAnsi="Arial" w:cs="Arial"/>
            <w:sz w:val="24"/>
            <w:szCs w:val="24"/>
          </w:rPr>
          <w:t>platformc.org/sites/default/files/spsp/spsp-model.pdf</w:t>
        </w:r>
      </w:hyperlink>
      <w:r w:rsidRPr="00DC6CA4">
        <w:rPr>
          <w:rFonts w:ascii="Arial" w:hAnsi="Arial" w:cs="Arial"/>
          <w:sz w:val="24"/>
          <w:szCs w:val="24"/>
        </w:rPr>
        <w:t>.</w:t>
      </w:r>
    </w:p>
    <w:p w14:paraId="37AC3F85" w14:textId="0DD684FF"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Emerson, E., &amp; Llewellyn, G. (2014). </w:t>
      </w:r>
      <w:r w:rsidRPr="00DC6CA4">
        <w:rPr>
          <w:rFonts w:ascii="Arial" w:hAnsi="Arial" w:cs="Arial"/>
          <w:i/>
          <w:sz w:val="24"/>
          <w:szCs w:val="24"/>
        </w:rPr>
        <w:t>Left Behind 2014: Monitoring the Social Inclusion of Young Australians with Self Reported Long Term Health Conditions, Impairments or Disabilities 2001-2012</w:t>
      </w:r>
      <w:r w:rsidRPr="00DC6CA4">
        <w:rPr>
          <w:rFonts w:ascii="Arial" w:hAnsi="Arial" w:cs="Arial"/>
          <w:sz w:val="24"/>
          <w:szCs w:val="24"/>
        </w:rPr>
        <w:t xml:space="preserve"> (2203-7381). Retrieved from </w:t>
      </w:r>
      <w:hyperlink r:id="rId18" w:history="1">
        <w:r w:rsidRPr="00DC6CA4">
          <w:rPr>
            <w:rStyle w:val="Hyperlink"/>
            <w:rFonts w:ascii="Arial" w:hAnsi="Arial" w:cs="Arial"/>
            <w:sz w:val="24"/>
            <w:szCs w:val="24"/>
          </w:rPr>
          <w:t>ses.library.usyd.edu.au/bitstream/handle/2123/13529/Left_behind_2014%20Technical%20Report_FINAL.pdf?sequence=1</w:t>
        </w:r>
      </w:hyperlink>
    </w:p>
    <w:p w14:paraId="4D85B170" w14:textId="4B0CB888"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Ranasinghe, R., Chew, E., Knight, G., &amp; Siekmann, G. (2019). School-to-Work Pathways. Research Report. </w:t>
      </w:r>
      <w:r w:rsidRPr="00DC6CA4">
        <w:rPr>
          <w:rFonts w:ascii="Arial" w:hAnsi="Arial" w:cs="Arial"/>
          <w:i/>
          <w:sz w:val="24"/>
          <w:szCs w:val="24"/>
        </w:rPr>
        <w:t>National Centre for Vocational Education Research (NCVER)</w:t>
      </w:r>
      <w:r w:rsidRPr="00DC6CA4">
        <w:rPr>
          <w:rFonts w:ascii="Arial" w:hAnsi="Arial" w:cs="Arial"/>
          <w:sz w:val="24"/>
          <w:szCs w:val="24"/>
        </w:rPr>
        <w:t xml:space="preserve">. Retrieved from </w:t>
      </w:r>
      <w:hyperlink r:id="rId19" w:history="1">
        <w:r w:rsidRPr="00DC6CA4">
          <w:rPr>
            <w:rStyle w:val="Hyperlink"/>
            <w:rFonts w:ascii="Arial" w:hAnsi="Arial" w:cs="Arial"/>
            <w:sz w:val="24"/>
            <w:szCs w:val="24"/>
          </w:rPr>
          <w:t>files.eric.ed.gov/fulltext/ED596464.pdf</w:t>
        </w:r>
      </w:hyperlink>
    </w:p>
    <w:p w14:paraId="52D84E9D" w14:textId="77777777"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Siperstein, G. N., Parker, R. C., &amp; Drascher, M. (2013). National snapshot of adults with intellectual disabilities in the labor force. </w:t>
      </w:r>
      <w:r w:rsidRPr="00DC6CA4">
        <w:rPr>
          <w:rFonts w:ascii="Arial" w:hAnsi="Arial" w:cs="Arial"/>
          <w:i/>
          <w:sz w:val="24"/>
          <w:szCs w:val="24"/>
        </w:rPr>
        <w:t>Journal of Vocational Rehabilitation, 39</w:t>
      </w:r>
      <w:r w:rsidRPr="00DC6CA4">
        <w:rPr>
          <w:rFonts w:ascii="Arial" w:hAnsi="Arial" w:cs="Arial"/>
          <w:sz w:val="24"/>
          <w:szCs w:val="24"/>
        </w:rPr>
        <w:t xml:space="preserve">(3), 157-165. </w:t>
      </w:r>
    </w:p>
    <w:p w14:paraId="0E9DF263" w14:textId="1519A500"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Social Ventures Australia. (2019). Future fair?: securing better quality jobs for young people in Australia. Retrieved from </w:t>
      </w:r>
      <w:hyperlink r:id="rId20" w:history="1">
        <w:r w:rsidRPr="00DC6CA4">
          <w:rPr>
            <w:rStyle w:val="Hyperlink"/>
            <w:rFonts w:ascii="Arial" w:hAnsi="Arial" w:cs="Arial"/>
            <w:sz w:val="24"/>
            <w:szCs w:val="24"/>
          </w:rPr>
          <w:t>socialventures.com.au/work/future-fair-report/</w:t>
        </w:r>
      </w:hyperlink>
    </w:p>
    <w:p w14:paraId="002B1EB1" w14:textId="60AB4061" w:rsidR="007704F6" w:rsidRPr="00DC6CA4" w:rsidRDefault="007704F6" w:rsidP="007704F6">
      <w:pPr>
        <w:pStyle w:val="EndNoteBibliography"/>
        <w:spacing w:after="0"/>
        <w:ind w:left="720" w:hanging="720"/>
        <w:rPr>
          <w:rFonts w:ascii="Arial" w:hAnsi="Arial" w:cs="Arial"/>
          <w:sz w:val="24"/>
          <w:szCs w:val="24"/>
        </w:rPr>
      </w:pPr>
      <w:r w:rsidRPr="00DC6CA4">
        <w:rPr>
          <w:rFonts w:ascii="Arial" w:hAnsi="Arial" w:cs="Arial"/>
          <w:sz w:val="24"/>
          <w:szCs w:val="24"/>
        </w:rPr>
        <w:t xml:space="preserve">Sonnemann, J., &amp; Goss, P. (2020). </w:t>
      </w:r>
      <w:r w:rsidRPr="00DC6CA4">
        <w:rPr>
          <w:rFonts w:ascii="Arial" w:hAnsi="Arial" w:cs="Arial"/>
          <w:i/>
          <w:sz w:val="24"/>
          <w:szCs w:val="24"/>
        </w:rPr>
        <w:t>COVID catch-up: helping disadvantaged students close the equity gap</w:t>
      </w:r>
      <w:r w:rsidRPr="00DC6CA4">
        <w:rPr>
          <w:rFonts w:ascii="Arial" w:hAnsi="Arial" w:cs="Arial"/>
          <w:sz w:val="24"/>
          <w:szCs w:val="24"/>
        </w:rPr>
        <w:t xml:space="preserve">. Retrieved from </w:t>
      </w:r>
      <w:hyperlink r:id="rId21" w:history="1">
        <w:r w:rsidRPr="00DC6CA4">
          <w:rPr>
            <w:rStyle w:val="Hyperlink"/>
            <w:rFonts w:ascii="Arial" w:hAnsi="Arial" w:cs="Arial"/>
            <w:sz w:val="24"/>
            <w:szCs w:val="24"/>
          </w:rPr>
          <w:t>grattan.edu.au/wp-content/uploads/2020/06/COVID-Catch-up-Grattan-School-Education-Report.pdf</w:t>
        </w:r>
      </w:hyperlink>
    </w:p>
    <w:p w14:paraId="66E089D2" w14:textId="77777777" w:rsidR="007704F6" w:rsidRPr="00DC6CA4" w:rsidRDefault="007704F6" w:rsidP="007704F6">
      <w:pPr>
        <w:pStyle w:val="EndNoteBibliography"/>
        <w:ind w:left="720" w:hanging="720"/>
        <w:rPr>
          <w:rFonts w:ascii="Arial" w:hAnsi="Arial" w:cs="Arial"/>
          <w:sz w:val="24"/>
          <w:szCs w:val="24"/>
        </w:rPr>
      </w:pPr>
      <w:r w:rsidRPr="00DC6CA4">
        <w:rPr>
          <w:rFonts w:ascii="Arial" w:hAnsi="Arial" w:cs="Arial"/>
          <w:sz w:val="24"/>
          <w:szCs w:val="24"/>
        </w:rPr>
        <w:t xml:space="preserve">Wehman, P., Sima, A. P., Ketchum, J., West, M. D., Chan, F., &amp; Luecking, R. (2015). Predictors of successful transition from school to employment for youth with disabilities. </w:t>
      </w:r>
      <w:r w:rsidRPr="00DC6CA4">
        <w:rPr>
          <w:rFonts w:ascii="Arial" w:hAnsi="Arial" w:cs="Arial"/>
          <w:i/>
          <w:sz w:val="24"/>
          <w:szCs w:val="24"/>
        </w:rPr>
        <w:t>Journal of occupational rehabilitation, 25</w:t>
      </w:r>
      <w:r w:rsidRPr="00DC6CA4">
        <w:rPr>
          <w:rFonts w:ascii="Arial" w:hAnsi="Arial" w:cs="Arial"/>
          <w:sz w:val="24"/>
          <w:szCs w:val="24"/>
        </w:rPr>
        <w:t xml:space="preserve">(2), 323-334. </w:t>
      </w:r>
    </w:p>
    <w:p w14:paraId="0D5872B4" w14:textId="21CA3F06" w:rsidR="00EB1FEF" w:rsidRPr="0019172C" w:rsidRDefault="00031632" w:rsidP="00EB1FEF">
      <w:pPr>
        <w:spacing w:after="120"/>
        <w:rPr>
          <w:rFonts w:ascii="Arial" w:hAnsi="Arial" w:cs="Arial"/>
          <w:sz w:val="24"/>
          <w:szCs w:val="24"/>
        </w:rPr>
      </w:pPr>
      <w:r w:rsidRPr="00DC6CA4">
        <w:rPr>
          <w:rFonts w:ascii="Arial" w:hAnsi="Arial" w:cs="Arial"/>
          <w:sz w:val="24"/>
          <w:szCs w:val="24"/>
        </w:rPr>
        <w:fldChar w:fldCharType="end"/>
      </w:r>
    </w:p>
    <w:sectPr w:rsidR="00EB1FEF" w:rsidRPr="0019172C" w:rsidSect="008E438B">
      <w:headerReference w:type="default" r:id="rId22"/>
      <w:footerReference w:type="default" r:id="rId23"/>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76A3" w14:textId="77777777" w:rsidR="009F2977" w:rsidRDefault="009F2977" w:rsidP="005240DC">
      <w:pPr>
        <w:spacing w:after="0" w:line="240" w:lineRule="auto"/>
      </w:pPr>
      <w:r>
        <w:separator/>
      </w:r>
    </w:p>
  </w:endnote>
  <w:endnote w:type="continuationSeparator" w:id="0">
    <w:p w14:paraId="5FE84E5D" w14:textId="77777777" w:rsidR="009F2977" w:rsidRDefault="009F2977"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23933"/>
      <w:docPartObj>
        <w:docPartGallery w:val="Page Numbers (Bottom of Page)"/>
        <w:docPartUnique/>
      </w:docPartObj>
    </w:sdtPr>
    <w:sdtEndPr>
      <w:rPr>
        <w:noProof/>
      </w:rPr>
    </w:sdtEndPr>
    <w:sdtContent>
      <w:p w14:paraId="01108D89" w14:textId="11FA0177" w:rsidR="00D0516A" w:rsidRDefault="00D0516A">
        <w:pPr>
          <w:pStyle w:val="Footer"/>
          <w:jc w:val="center"/>
        </w:pPr>
        <w:r>
          <w:fldChar w:fldCharType="begin"/>
        </w:r>
        <w:r>
          <w:instrText xml:space="preserve"> PAGE   \* MERGEFORMAT </w:instrText>
        </w:r>
        <w:r>
          <w:fldChar w:fldCharType="separate"/>
        </w:r>
        <w:r w:rsidR="00227B04">
          <w:rPr>
            <w:noProof/>
          </w:rPr>
          <w:t>2</w:t>
        </w:r>
        <w:r>
          <w:rPr>
            <w:noProof/>
          </w:rPr>
          <w:fldChar w:fldCharType="end"/>
        </w:r>
      </w:p>
    </w:sdtContent>
  </w:sdt>
  <w:p w14:paraId="73126ED9" w14:textId="77777777" w:rsidR="00D0516A" w:rsidRDefault="00D0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1CFF" w14:textId="77777777" w:rsidR="009F2977" w:rsidRDefault="009F2977" w:rsidP="005240DC">
      <w:pPr>
        <w:spacing w:after="0" w:line="240" w:lineRule="auto"/>
      </w:pPr>
      <w:r>
        <w:separator/>
      </w:r>
    </w:p>
  </w:footnote>
  <w:footnote w:type="continuationSeparator" w:id="0">
    <w:p w14:paraId="05DDDCDF" w14:textId="77777777" w:rsidR="009F2977" w:rsidRDefault="009F2977" w:rsidP="0052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BA2C" w14:textId="60373B25" w:rsidR="008E438B" w:rsidRDefault="008E438B" w:rsidP="008E438B">
    <w:pPr>
      <w:tabs>
        <w:tab w:val="right" w:pos="8931"/>
      </w:tabs>
      <w:spacing w:before="240" w:after="240"/>
      <w:rPr>
        <w:rFonts w:ascii="Arial" w:hAnsi="Arial" w:cs="Arial"/>
        <w:bCs/>
        <w:lang w:val="en-US"/>
      </w:rPr>
    </w:pPr>
    <w:r>
      <w:rPr>
        <w:rFonts w:ascii="Arial" w:hAnsi="Arial" w:cs="Arial"/>
        <w:bCs/>
        <w:lang w:val="en-US"/>
      </w:rPr>
      <w:tab/>
    </w:r>
    <w:r w:rsidRPr="00A72728">
      <w:rPr>
        <w:rFonts w:ascii="Arial" w:hAnsi="Arial" w:cs="Arial"/>
        <w:noProof/>
        <w:lang w:val="en-US"/>
      </w:rPr>
      <w:drawing>
        <wp:inline distT="0" distB="0" distL="0" distR="0" wp14:anchorId="13C7454B" wp14:editId="5EBA161A">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514E0CBD" w14:textId="77777777" w:rsidR="004F165A" w:rsidRPr="008E438B" w:rsidRDefault="004F165A" w:rsidP="008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15:restartNumberingAfterBreak="0">
    <w:nsid w:val="1B0B254D"/>
    <w:multiLevelType w:val="hybridMultilevel"/>
    <w:tmpl w:val="756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36B"/>
    <w:multiLevelType w:val="hybridMultilevel"/>
    <w:tmpl w:val="94D6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763CB"/>
    <w:multiLevelType w:val="hybridMultilevel"/>
    <w:tmpl w:val="72909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1C33CC"/>
    <w:multiLevelType w:val="hybridMultilevel"/>
    <w:tmpl w:val="8FF4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63000"/>
    <w:multiLevelType w:val="hybridMultilevel"/>
    <w:tmpl w:val="632644A4"/>
    <w:lvl w:ilvl="0" w:tplc="11008D7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F4C03D0"/>
    <w:multiLevelType w:val="hybridMultilevel"/>
    <w:tmpl w:val="03C6441E"/>
    <w:lvl w:ilvl="0" w:tplc="08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DEB68DD"/>
    <w:multiLevelType w:val="hybridMultilevel"/>
    <w:tmpl w:val="46CC7006"/>
    <w:lvl w:ilvl="0" w:tplc="0C090001">
      <w:start w:val="1"/>
      <w:numFmt w:val="bullet"/>
      <w:lvlText w:val=""/>
      <w:lvlJc w:val="left"/>
      <w:pPr>
        <w:ind w:left="2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40&lt;/item&gt;&lt;item&gt;1741&lt;/item&gt;&lt;item&gt;1747&lt;/item&gt;&lt;item&gt;1842&lt;/item&gt;&lt;item&gt;1843&lt;/item&gt;&lt;item&gt;1844&lt;/item&gt;&lt;item&gt;1845&lt;/item&gt;&lt;item&gt;1847&lt;/item&gt;&lt;item&gt;1848&lt;/item&gt;&lt;item&gt;1849&lt;/item&gt;&lt;item&gt;1850&lt;/item&gt;&lt;item&gt;1851&lt;/item&gt;&lt;/record-ids&gt;&lt;/item&gt;&lt;/Libraries&gt;"/>
  </w:docVars>
  <w:rsids>
    <w:rsidRoot w:val="005240DC"/>
    <w:rsid w:val="000110DA"/>
    <w:rsid w:val="000205C9"/>
    <w:rsid w:val="000266C5"/>
    <w:rsid w:val="00030365"/>
    <w:rsid w:val="00031632"/>
    <w:rsid w:val="00042DFC"/>
    <w:rsid w:val="0005203B"/>
    <w:rsid w:val="00063D58"/>
    <w:rsid w:val="00084EFE"/>
    <w:rsid w:val="00091A30"/>
    <w:rsid w:val="00153722"/>
    <w:rsid w:val="001753B5"/>
    <w:rsid w:val="0019172C"/>
    <w:rsid w:val="00197C84"/>
    <w:rsid w:val="001B776F"/>
    <w:rsid w:val="0020248C"/>
    <w:rsid w:val="00227B04"/>
    <w:rsid w:val="002B7298"/>
    <w:rsid w:val="003106AF"/>
    <w:rsid w:val="00310C4D"/>
    <w:rsid w:val="00325EF1"/>
    <w:rsid w:val="003854EE"/>
    <w:rsid w:val="0039062F"/>
    <w:rsid w:val="003A02DF"/>
    <w:rsid w:val="003A512F"/>
    <w:rsid w:val="003C345A"/>
    <w:rsid w:val="003F0BAB"/>
    <w:rsid w:val="003F0CFC"/>
    <w:rsid w:val="004203D7"/>
    <w:rsid w:val="00466FE9"/>
    <w:rsid w:val="00470293"/>
    <w:rsid w:val="004928F9"/>
    <w:rsid w:val="004953E8"/>
    <w:rsid w:val="004B00AA"/>
    <w:rsid w:val="004E3A93"/>
    <w:rsid w:val="004E7E39"/>
    <w:rsid w:val="004F1158"/>
    <w:rsid w:val="004F165A"/>
    <w:rsid w:val="00504276"/>
    <w:rsid w:val="005148F6"/>
    <w:rsid w:val="005240DC"/>
    <w:rsid w:val="005246B0"/>
    <w:rsid w:val="0053014E"/>
    <w:rsid w:val="00547690"/>
    <w:rsid w:val="0056747F"/>
    <w:rsid w:val="00577EB7"/>
    <w:rsid w:val="00594396"/>
    <w:rsid w:val="005F0315"/>
    <w:rsid w:val="00612B73"/>
    <w:rsid w:val="006141BA"/>
    <w:rsid w:val="00623F20"/>
    <w:rsid w:val="006263C3"/>
    <w:rsid w:val="00642583"/>
    <w:rsid w:val="00691745"/>
    <w:rsid w:val="006A0D08"/>
    <w:rsid w:val="006C533B"/>
    <w:rsid w:val="006E28E3"/>
    <w:rsid w:val="007008CD"/>
    <w:rsid w:val="00712B1E"/>
    <w:rsid w:val="007162E7"/>
    <w:rsid w:val="00767D04"/>
    <w:rsid w:val="007704F6"/>
    <w:rsid w:val="0077384B"/>
    <w:rsid w:val="0080259F"/>
    <w:rsid w:val="0081034D"/>
    <w:rsid w:val="00814370"/>
    <w:rsid w:val="0083148B"/>
    <w:rsid w:val="00842A69"/>
    <w:rsid w:val="00851E72"/>
    <w:rsid w:val="008C17E8"/>
    <w:rsid w:val="008C41FD"/>
    <w:rsid w:val="008E438B"/>
    <w:rsid w:val="0099133E"/>
    <w:rsid w:val="009A7498"/>
    <w:rsid w:val="009D747B"/>
    <w:rsid w:val="009E0827"/>
    <w:rsid w:val="009F2977"/>
    <w:rsid w:val="00A03660"/>
    <w:rsid w:val="00A11A7A"/>
    <w:rsid w:val="00A25C5F"/>
    <w:rsid w:val="00A33CDD"/>
    <w:rsid w:val="00A37CC0"/>
    <w:rsid w:val="00A54B24"/>
    <w:rsid w:val="00A64F4F"/>
    <w:rsid w:val="00A65D61"/>
    <w:rsid w:val="00AC0889"/>
    <w:rsid w:val="00AC08E7"/>
    <w:rsid w:val="00AE4B35"/>
    <w:rsid w:val="00AE4CD2"/>
    <w:rsid w:val="00AE7606"/>
    <w:rsid w:val="00B37F61"/>
    <w:rsid w:val="00B415A7"/>
    <w:rsid w:val="00B57908"/>
    <w:rsid w:val="00BC79BE"/>
    <w:rsid w:val="00BE2AFB"/>
    <w:rsid w:val="00C21892"/>
    <w:rsid w:val="00C265FD"/>
    <w:rsid w:val="00C56118"/>
    <w:rsid w:val="00C711B4"/>
    <w:rsid w:val="00C714C2"/>
    <w:rsid w:val="00C758A3"/>
    <w:rsid w:val="00CA1BDE"/>
    <w:rsid w:val="00CA308D"/>
    <w:rsid w:val="00CB052C"/>
    <w:rsid w:val="00CB3EAF"/>
    <w:rsid w:val="00CF00C2"/>
    <w:rsid w:val="00CF03A1"/>
    <w:rsid w:val="00D0516A"/>
    <w:rsid w:val="00D40B47"/>
    <w:rsid w:val="00D67E77"/>
    <w:rsid w:val="00D812CF"/>
    <w:rsid w:val="00DA7671"/>
    <w:rsid w:val="00DB1C11"/>
    <w:rsid w:val="00DB2E4C"/>
    <w:rsid w:val="00DC6CA4"/>
    <w:rsid w:val="00DD65CC"/>
    <w:rsid w:val="00DF5580"/>
    <w:rsid w:val="00E1242A"/>
    <w:rsid w:val="00E251AE"/>
    <w:rsid w:val="00E27D18"/>
    <w:rsid w:val="00E36B51"/>
    <w:rsid w:val="00E52DAD"/>
    <w:rsid w:val="00E96BC7"/>
    <w:rsid w:val="00EB1FEF"/>
    <w:rsid w:val="00EB6AB1"/>
    <w:rsid w:val="00F03471"/>
    <w:rsid w:val="00F34F1A"/>
    <w:rsid w:val="00F64ED2"/>
    <w:rsid w:val="00F74D46"/>
    <w:rsid w:val="00FC0EFD"/>
    <w:rsid w:val="00FD462F"/>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67AEC"/>
  <w15:chartTrackingRefBased/>
  <w15:docId w15:val="{FDD4E40D-F8F7-4918-AB62-9557A2DA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40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0DC"/>
    <w:rPr>
      <w:sz w:val="20"/>
      <w:szCs w:val="20"/>
    </w:rPr>
  </w:style>
  <w:style w:type="character" w:styleId="Hyperlink">
    <w:name w:val="Hyperlink"/>
    <w:basedOn w:val="DefaultParagraphFont"/>
    <w:uiPriority w:val="99"/>
    <w:unhideWhenUsed/>
    <w:rsid w:val="005240DC"/>
    <w:rPr>
      <w:color w:val="0563C1" w:themeColor="hyperlink"/>
      <w:u w:val="single"/>
    </w:rPr>
  </w:style>
  <w:style w:type="character" w:styleId="Emphasis">
    <w:name w:val="Emphasis"/>
    <w:basedOn w:val="DefaultParagraphFont"/>
    <w:uiPriority w:val="20"/>
    <w:qFormat/>
    <w:rsid w:val="005240DC"/>
    <w:rPr>
      <w:i/>
      <w:iCs/>
    </w:rPr>
  </w:style>
  <w:style w:type="character" w:styleId="EndnoteReference">
    <w:name w:val="endnote reference"/>
    <w:basedOn w:val="DefaultParagraphFont"/>
    <w:uiPriority w:val="99"/>
    <w:semiHidden/>
    <w:unhideWhenUsed/>
    <w:rsid w:val="005240DC"/>
    <w:rPr>
      <w:vertAlign w:val="superscript"/>
    </w:rPr>
  </w:style>
  <w:style w:type="character" w:styleId="CommentReference">
    <w:name w:val="annotation reference"/>
    <w:basedOn w:val="DefaultParagraphFont"/>
    <w:uiPriority w:val="99"/>
    <w:semiHidden/>
    <w:unhideWhenUsed/>
    <w:rsid w:val="00DB1C11"/>
    <w:rPr>
      <w:sz w:val="16"/>
      <w:szCs w:val="16"/>
    </w:rPr>
  </w:style>
  <w:style w:type="paragraph" w:styleId="CommentText">
    <w:name w:val="annotation text"/>
    <w:basedOn w:val="Normal"/>
    <w:link w:val="CommentTextChar"/>
    <w:uiPriority w:val="99"/>
    <w:semiHidden/>
    <w:unhideWhenUsed/>
    <w:rsid w:val="00DB1C11"/>
    <w:pPr>
      <w:spacing w:line="240" w:lineRule="auto"/>
    </w:pPr>
    <w:rPr>
      <w:sz w:val="20"/>
      <w:szCs w:val="20"/>
    </w:rPr>
  </w:style>
  <w:style w:type="character" w:customStyle="1" w:styleId="CommentTextChar">
    <w:name w:val="Comment Text Char"/>
    <w:basedOn w:val="DefaultParagraphFont"/>
    <w:link w:val="CommentText"/>
    <w:uiPriority w:val="99"/>
    <w:semiHidden/>
    <w:rsid w:val="00DB1C11"/>
    <w:rPr>
      <w:sz w:val="20"/>
      <w:szCs w:val="20"/>
    </w:rPr>
  </w:style>
  <w:style w:type="paragraph" w:styleId="CommentSubject">
    <w:name w:val="annotation subject"/>
    <w:basedOn w:val="CommentText"/>
    <w:next w:val="CommentText"/>
    <w:link w:val="CommentSubjectChar"/>
    <w:uiPriority w:val="99"/>
    <w:semiHidden/>
    <w:unhideWhenUsed/>
    <w:rsid w:val="00DB1C11"/>
    <w:rPr>
      <w:b/>
      <w:bCs/>
    </w:rPr>
  </w:style>
  <w:style w:type="character" w:customStyle="1" w:styleId="CommentSubjectChar">
    <w:name w:val="Comment Subject Char"/>
    <w:basedOn w:val="CommentTextChar"/>
    <w:link w:val="CommentSubject"/>
    <w:uiPriority w:val="99"/>
    <w:semiHidden/>
    <w:rsid w:val="00DB1C11"/>
    <w:rPr>
      <w:b/>
      <w:bCs/>
      <w:sz w:val="20"/>
      <w:szCs w:val="20"/>
    </w:rPr>
  </w:style>
  <w:style w:type="paragraph" w:styleId="BalloonText">
    <w:name w:val="Balloon Text"/>
    <w:basedOn w:val="Normal"/>
    <w:link w:val="BalloonTextChar"/>
    <w:uiPriority w:val="99"/>
    <w:semiHidden/>
    <w:unhideWhenUsed/>
    <w:rsid w:val="00DB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11"/>
    <w:rPr>
      <w:rFonts w:ascii="Segoe UI" w:hAnsi="Segoe UI" w:cs="Segoe UI"/>
      <w:sz w:val="18"/>
      <w:szCs w:val="18"/>
    </w:rPr>
  </w:style>
  <w:style w:type="paragraph" w:styleId="Revision">
    <w:name w:val="Revision"/>
    <w:hidden/>
    <w:uiPriority w:val="99"/>
    <w:semiHidden/>
    <w:rsid w:val="00F74D46"/>
    <w:pPr>
      <w:spacing w:after="0" w:line="240" w:lineRule="auto"/>
    </w:pPr>
  </w:style>
  <w:style w:type="paragraph" w:styleId="NormalWeb">
    <w:name w:val="Normal (Web)"/>
    <w:basedOn w:val="Normal"/>
    <w:uiPriority w:val="99"/>
    <w:unhideWhenUsed/>
    <w:rsid w:val="00CA30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3660"/>
    <w:rPr>
      <w:rFonts w:ascii="Times New Roman" w:eastAsia="Times New Roman" w:hAnsi="Times New Roman" w:cs="Times New Roman"/>
      <w:b/>
      <w:bCs/>
      <w:kern w:val="36"/>
      <w:sz w:val="48"/>
      <w:szCs w:val="48"/>
      <w:lang w:eastAsia="en-AU"/>
    </w:rPr>
  </w:style>
  <w:style w:type="paragraph" w:styleId="FootnoteText">
    <w:name w:val="footnote text"/>
    <w:basedOn w:val="Normal"/>
    <w:link w:val="FootnoteTextChar"/>
    <w:uiPriority w:val="99"/>
    <w:semiHidden/>
    <w:unhideWhenUsed/>
    <w:rsid w:val="00C26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5FD"/>
    <w:rPr>
      <w:sz w:val="20"/>
      <w:szCs w:val="20"/>
    </w:rPr>
  </w:style>
  <w:style w:type="character" w:styleId="FootnoteReference">
    <w:name w:val="footnote reference"/>
    <w:basedOn w:val="DefaultParagraphFont"/>
    <w:uiPriority w:val="99"/>
    <w:semiHidden/>
    <w:unhideWhenUsed/>
    <w:rsid w:val="00C265FD"/>
    <w:rPr>
      <w:vertAlign w:val="superscript"/>
    </w:rPr>
  </w:style>
  <w:style w:type="paragraph" w:styleId="ListParagraph">
    <w:name w:val="List Paragraph"/>
    <w:basedOn w:val="Normal"/>
    <w:uiPriority w:val="34"/>
    <w:qFormat/>
    <w:rsid w:val="008C41FD"/>
    <w:pPr>
      <w:ind w:left="720"/>
      <w:contextualSpacing/>
    </w:pPr>
  </w:style>
  <w:style w:type="character" w:customStyle="1" w:styleId="BulletlistChar">
    <w:name w:val="Bullet list Char"/>
    <w:basedOn w:val="DefaultParagraphFont"/>
    <w:link w:val="Bulletlist"/>
    <w:locked/>
    <w:rsid w:val="008C41FD"/>
    <w:rPr>
      <w:rFonts w:ascii="Arial" w:hAnsi="Arial" w:cs="Arial"/>
      <w:sz w:val="20"/>
    </w:rPr>
  </w:style>
  <w:style w:type="paragraph" w:customStyle="1" w:styleId="Bulletlist">
    <w:name w:val="Bullet list"/>
    <w:basedOn w:val="NoSpacing"/>
    <w:link w:val="BulletlistChar"/>
    <w:qFormat/>
    <w:rsid w:val="008C41FD"/>
    <w:pPr>
      <w:numPr>
        <w:numId w:val="4"/>
      </w:numPr>
      <w:spacing w:after="120" w:line="268" w:lineRule="auto"/>
    </w:pPr>
    <w:rPr>
      <w:rFonts w:ascii="Arial" w:hAnsi="Arial" w:cs="Arial"/>
      <w:sz w:val="20"/>
    </w:rPr>
  </w:style>
  <w:style w:type="paragraph" w:styleId="NoSpacing">
    <w:name w:val="No Spacing"/>
    <w:uiPriority w:val="1"/>
    <w:qFormat/>
    <w:rsid w:val="008C41FD"/>
    <w:pPr>
      <w:spacing w:after="0" w:line="240" w:lineRule="auto"/>
    </w:pPr>
  </w:style>
  <w:style w:type="paragraph" w:styleId="ListBullet">
    <w:name w:val="List Bullet"/>
    <w:basedOn w:val="Normal"/>
    <w:uiPriority w:val="99"/>
    <w:unhideWhenUsed/>
    <w:qFormat/>
    <w:rsid w:val="00A65D61"/>
    <w:pPr>
      <w:numPr>
        <w:numId w:val="7"/>
      </w:numPr>
      <w:spacing w:after="0" w:line="240" w:lineRule="auto"/>
    </w:pPr>
    <w:rPr>
      <w:rFonts w:ascii="Segoe UI" w:eastAsia="Calibri" w:hAnsi="Segoe UI" w:cs="Times New Roman"/>
    </w:rPr>
  </w:style>
  <w:style w:type="paragraph" w:customStyle="1" w:styleId="Listdashlevel2">
    <w:name w:val="List dash (level 2)"/>
    <w:basedOn w:val="Normal"/>
    <w:uiPriority w:val="99"/>
    <w:qFormat/>
    <w:rsid w:val="00A65D61"/>
    <w:pPr>
      <w:numPr>
        <w:ilvl w:val="1"/>
        <w:numId w:val="7"/>
      </w:numPr>
      <w:spacing w:after="0" w:line="240" w:lineRule="auto"/>
    </w:pPr>
    <w:rPr>
      <w:rFonts w:ascii="Segoe UI" w:eastAsia="Calibri" w:hAnsi="Segoe UI" w:cs="Times New Roman"/>
    </w:rPr>
  </w:style>
  <w:style w:type="numbering" w:customStyle="1" w:styleId="Bullets">
    <w:name w:val="Bullets"/>
    <w:uiPriority w:val="99"/>
    <w:rsid w:val="00A65D61"/>
    <w:pPr>
      <w:numPr>
        <w:numId w:val="7"/>
      </w:numPr>
    </w:pPr>
  </w:style>
  <w:style w:type="paragraph" w:styleId="Header">
    <w:name w:val="header"/>
    <w:basedOn w:val="Normal"/>
    <w:link w:val="HeaderChar"/>
    <w:uiPriority w:val="99"/>
    <w:unhideWhenUsed/>
    <w:rsid w:val="0042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D7"/>
  </w:style>
  <w:style w:type="paragraph" w:styleId="Footer">
    <w:name w:val="footer"/>
    <w:basedOn w:val="Normal"/>
    <w:link w:val="FooterChar"/>
    <w:uiPriority w:val="99"/>
    <w:unhideWhenUsed/>
    <w:rsid w:val="0042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D7"/>
  </w:style>
  <w:style w:type="character" w:styleId="FollowedHyperlink">
    <w:name w:val="FollowedHyperlink"/>
    <w:basedOn w:val="DefaultParagraphFont"/>
    <w:uiPriority w:val="99"/>
    <w:semiHidden/>
    <w:unhideWhenUsed/>
    <w:rsid w:val="004F1158"/>
    <w:rPr>
      <w:color w:val="954F72" w:themeColor="followedHyperlink"/>
      <w:u w:val="single"/>
    </w:rPr>
  </w:style>
  <w:style w:type="paragraph" w:customStyle="1" w:styleId="1szqc">
    <w:name w:val="_1szqc"/>
    <w:basedOn w:val="Normal"/>
    <w:link w:val="1szqcChar"/>
    <w:rsid w:val="001917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031632"/>
    <w:pPr>
      <w:spacing w:after="0"/>
      <w:jc w:val="center"/>
    </w:pPr>
    <w:rPr>
      <w:rFonts w:ascii="Calibri" w:hAnsi="Calibri" w:cs="Calibri"/>
      <w:noProof/>
      <w:lang w:val="en-US"/>
    </w:rPr>
  </w:style>
  <w:style w:type="character" w:customStyle="1" w:styleId="1szqcChar">
    <w:name w:val="_1szqc Char"/>
    <w:basedOn w:val="DefaultParagraphFont"/>
    <w:link w:val="1szqc"/>
    <w:rsid w:val="00031632"/>
    <w:rPr>
      <w:rFonts w:ascii="Times New Roman" w:eastAsia="Times New Roman" w:hAnsi="Times New Roman" w:cs="Times New Roman"/>
      <w:sz w:val="24"/>
      <w:szCs w:val="24"/>
      <w:lang w:eastAsia="en-AU"/>
    </w:rPr>
  </w:style>
  <w:style w:type="character" w:customStyle="1" w:styleId="EndNoteBibliographyTitleChar">
    <w:name w:val="EndNote Bibliography Title Char"/>
    <w:basedOn w:val="1szqcChar"/>
    <w:link w:val="EndNoteBibliographyTitle"/>
    <w:rsid w:val="00031632"/>
    <w:rPr>
      <w:rFonts w:ascii="Calibri" w:eastAsia="Times New Roman" w:hAnsi="Calibri" w:cs="Calibri"/>
      <w:noProof/>
      <w:sz w:val="24"/>
      <w:szCs w:val="24"/>
      <w:lang w:val="en-US" w:eastAsia="en-AU"/>
    </w:rPr>
  </w:style>
  <w:style w:type="paragraph" w:customStyle="1" w:styleId="EndNoteBibliography">
    <w:name w:val="EndNote Bibliography"/>
    <w:basedOn w:val="Normal"/>
    <w:link w:val="EndNoteBibliographyChar"/>
    <w:rsid w:val="00031632"/>
    <w:pPr>
      <w:spacing w:line="240" w:lineRule="auto"/>
    </w:pPr>
    <w:rPr>
      <w:rFonts w:ascii="Calibri" w:hAnsi="Calibri" w:cs="Calibri"/>
      <w:noProof/>
      <w:lang w:val="en-US"/>
    </w:rPr>
  </w:style>
  <w:style w:type="character" w:customStyle="1" w:styleId="EndNoteBibliographyChar">
    <w:name w:val="EndNote Bibliography Char"/>
    <w:basedOn w:val="1szqcChar"/>
    <w:link w:val="EndNoteBibliography"/>
    <w:rsid w:val="00031632"/>
    <w:rPr>
      <w:rFonts w:ascii="Calibri" w:eastAsia="Times New Roman" w:hAnsi="Calibri" w:cs="Calibri"/>
      <w:noProof/>
      <w:sz w:val="24"/>
      <w:szCs w:val="24"/>
      <w:lang w:val="en-US" w:eastAsia="en-AU"/>
    </w:rPr>
  </w:style>
  <w:style w:type="character" w:customStyle="1" w:styleId="UnresolvedMention1">
    <w:name w:val="Unresolved Mention1"/>
    <w:basedOn w:val="DefaultParagraphFont"/>
    <w:uiPriority w:val="99"/>
    <w:semiHidden/>
    <w:unhideWhenUsed/>
    <w:rsid w:val="0003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490">
      <w:bodyDiv w:val="1"/>
      <w:marLeft w:val="0"/>
      <w:marRight w:val="0"/>
      <w:marTop w:val="0"/>
      <w:marBottom w:val="0"/>
      <w:divBdr>
        <w:top w:val="none" w:sz="0" w:space="0" w:color="auto"/>
        <w:left w:val="none" w:sz="0" w:space="0" w:color="auto"/>
        <w:bottom w:val="none" w:sz="0" w:space="0" w:color="auto"/>
        <w:right w:val="none" w:sz="0" w:space="0" w:color="auto"/>
      </w:divBdr>
    </w:div>
    <w:div w:id="108398990">
      <w:bodyDiv w:val="1"/>
      <w:marLeft w:val="0"/>
      <w:marRight w:val="0"/>
      <w:marTop w:val="0"/>
      <w:marBottom w:val="0"/>
      <w:divBdr>
        <w:top w:val="none" w:sz="0" w:space="0" w:color="auto"/>
        <w:left w:val="none" w:sz="0" w:space="0" w:color="auto"/>
        <w:bottom w:val="none" w:sz="0" w:space="0" w:color="auto"/>
        <w:right w:val="none" w:sz="0" w:space="0" w:color="auto"/>
      </w:divBdr>
    </w:div>
    <w:div w:id="525101871">
      <w:bodyDiv w:val="1"/>
      <w:marLeft w:val="0"/>
      <w:marRight w:val="0"/>
      <w:marTop w:val="0"/>
      <w:marBottom w:val="0"/>
      <w:divBdr>
        <w:top w:val="none" w:sz="0" w:space="0" w:color="auto"/>
        <w:left w:val="none" w:sz="0" w:space="0" w:color="auto"/>
        <w:bottom w:val="none" w:sz="0" w:space="0" w:color="auto"/>
        <w:right w:val="none" w:sz="0" w:space="0" w:color="auto"/>
      </w:divBdr>
    </w:div>
    <w:div w:id="661617634">
      <w:bodyDiv w:val="1"/>
      <w:marLeft w:val="0"/>
      <w:marRight w:val="0"/>
      <w:marTop w:val="0"/>
      <w:marBottom w:val="0"/>
      <w:divBdr>
        <w:top w:val="none" w:sz="0" w:space="0" w:color="auto"/>
        <w:left w:val="none" w:sz="0" w:space="0" w:color="auto"/>
        <w:bottom w:val="none" w:sz="0" w:space="0" w:color="auto"/>
        <w:right w:val="none" w:sz="0" w:space="0" w:color="auto"/>
      </w:divBdr>
    </w:div>
    <w:div w:id="978269399">
      <w:bodyDiv w:val="1"/>
      <w:marLeft w:val="0"/>
      <w:marRight w:val="0"/>
      <w:marTop w:val="0"/>
      <w:marBottom w:val="0"/>
      <w:divBdr>
        <w:top w:val="none" w:sz="0" w:space="0" w:color="auto"/>
        <w:left w:val="none" w:sz="0" w:space="0" w:color="auto"/>
        <w:bottom w:val="none" w:sz="0" w:space="0" w:color="auto"/>
        <w:right w:val="none" w:sz="0" w:space="0" w:color="auto"/>
      </w:divBdr>
    </w:div>
    <w:div w:id="1385791450">
      <w:bodyDiv w:val="1"/>
      <w:marLeft w:val="0"/>
      <w:marRight w:val="0"/>
      <w:marTop w:val="0"/>
      <w:marBottom w:val="0"/>
      <w:divBdr>
        <w:top w:val="none" w:sz="0" w:space="0" w:color="auto"/>
        <w:left w:val="none" w:sz="0" w:space="0" w:color="auto"/>
        <w:bottom w:val="none" w:sz="0" w:space="0" w:color="auto"/>
        <w:right w:val="none" w:sz="0" w:space="0" w:color="auto"/>
      </w:divBdr>
    </w:div>
    <w:div w:id="1677078043">
      <w:bodyDiv w:val="1"/>
      <w:marLeft w:val="0"/>
      <w:marRight w:val="0"/>
      <w:marTop w:val="0"/>
      <w:marBottom w:val="0"/>
      <w:divBdr>
        <w:top w:val="none" w:sz="0" w:space="0" w:color="auto"/>
        <w:left w:val="none" w:sz="0" w:space="0" w:color="auto"/>
        <w:bottom w:val="none" w:sz="0" w:space="0" w:color="auto"/>
        <w:right w:val="none" w:sz="0" w:space="0" w:color="auto"/>
      </w:divBdr>
    </w:div>
    <w:div w:id="2046170106">
      <w:bodyDiv w:val="1"/>
      <w:marLeft w:val="0"/>
      <w:marRight w:val="0"/>
      <w:marTop w:val="0"/>
      <w:marBottom w:val="0"/>
      <w:divBdr>
        <w:top w:val="none" w:sz="0" w:space="0" w:color="auto"/>
        <w:left w:val="none" w:sz="0" w:space="0" w:color="auto"/>
        <w:bottom w:val="none" w:sz="0" w:space="0" w:color="auto"/>
        <w:right w:val="none" w:sz="0" w:space="0" w:color="auto"/>
      </w:divBdr>
    </w:div>
    <w:div w:id="21161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news/2020-04-16/history-suggests-youth-unemployment-will-surge-coronavirus/12151668" TargetMode="External"/><Relationship Id="rId18" Type="http://schemas.openxmlformats.org/officeDocument/2006/relationships/hyperlink" Target="https://ses.library.usyd.edu.au/bitstream/handle/2123/13529/Left_behind_2014%20Technical%20Report_FINAL.pdf?sequence=1" TargetMode="External"/><Relationship Id="rId3" Type="http://schemas.openxmlformats.org/officeDocument/2006/relationships/customXml" Target="../customXml/item3.xml"/><Relationship Id="rId21" Type="http://schemas.openxmlformats.org/officeDocument/2006/relationships/hyperlink" Target="https://grattan.edu.au/wp-content/uploads/2020/06/COVID-Catch-up-Grattan-School-Education-Report.pdf" TargetMode="External"/><Relationship Id="rId7" Type="http://schemas.openxmlformats.org/officeDocument/2006/relationships/settings" Target="settings.xml"/><Relationship Id="rId12" Type="http://schemas.openxmlformats.org/officeDocument/2006/relationships/hyperlink" Target="https://www.vic.gov.au/framework-place-based-approaches" TargetMode="External"/><Relationship Id="rId17" Type="http://schemas.openxmlformats.org/officeDocument/2006/relationships/hyperlink" Target="https://platformc.org/sites/default/files/spsp/spsp-mode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deloitte.com/au/en/pages/economics/articles/economic-benefits-increasing-employment-for-people-with-disability.html" TargetMode="External"/><Relationship Id="rId20" Type="http://schemas.openxmlformats.org/officeDocument/2006/relationships/hyperlink" Target="https://www.socialventures.com.au/work/future-fair-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da.com.au/Digital-hub/Blogs/CEDA-Blog/April-2020/Building-a-fairer-Australia-after-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da.com.au/Digital-hub/Blogs/CEDA-Blog/April-2020/Building-a-fairer-Australia-after-COVID-1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les.eric.ed.gov/fulltext/ED59646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o.org.au/sites/default/files/resource-files/2020-04/apo-nid303322.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F72B-9044-46F0-BB01-5F48784D34EB}">
  <ds:schemaRefs>
    <ds:schemaRef ds:uri="http://schemas.openxmlformats.org/package/2006/metadata/core-properties"/>
    <ds:schemaRef ds:uri="http://purl.org/dc/elements/1.1/"/>
    <ds:schemaRef ds:uri="http://purl.org/dc/dcmitype/"/>
    <ds:schemaRef ds:uri="http://schemas.microsoft.com/office/infopath/2007/PartnerControls"/>
    <ds:schemaRef ds:uri="69d41ba9-e8e0-4f47-b574-3308d1a1fff4"/>
    <ds:schemaRef ds:uri="b73d7e88-5fca-4bc7-8c15-17afa20ac46c"/>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0CC5707-9B1D-4DF8-A63E-0680BEE9C6EC}">
  <ds:schemaRefs>
    <ds:schemaRef ds:uri="http://schemas.microsoft.com/sharepoint/v3/contenttype/forms"/>
  </ds:schemaRefs>
</ds:datastoreItem>
</file>

<file path=customXml/itemProps3.xml><?xml version="1.0" encoding="utf-8"?>
<ds:datastoreItem xmlns:ds="http://schemas.openxmlformats.org/officeDocument/2006/customXml" ds:itemID="{C84B63C1-339E-401F-A3E6-72DA1D3E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CF8AF-927D-4605-A53D-924C6A6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3</cp:revision>
  <dcterms:created xsi:type="dcterms:W3CDTF">2021-12-14T01:46:00Z</dcterms:created>
  <dcterms:modified xsi:type="dcterms:W3CDTF">2021-12-14T01:46:00Z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