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7283C" w14:textId="77777777" w:rsidR="006345E6" w:rsidRDefault="006345E6" w:rsidP="006345E6">
      <w:pPr>
        <w:spacing w:before="2400"/>
      </w:pPr>
    </w:p>
    <w:p w14:paraId="616F3CCB" w14:textId="77777777" w:rsidR="0041600E" w:rsidRPr="0041600E" w:rsidRDefault="006D2FDE" w:rsidP="0041600E">
      <w:r>
        <w:t xml:space="preserve"> </w:t>
      </w:r>
      <w:r>
        <w:rPr>
          <w:noProof/>
          <w:lang w:eastAsia="en-AU"/>
        </w:rPr>
        <w:drawing>
          <wp:inline distT="0" distB="0" distL="0" distR="0" wp14:anchorId="53CA4C21" wp14:editId="12D76056">
            <wp:extent cx="4093472" cy="649225"/>
            <wp:effectExtent l="0" t="0" r="2540" b="0"/>
            <wp:docPr id="2" name="Picture 2" descr="Social Ventures Australia logo&#10;https://www.socialventures.com.au/consu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A_Consulting_CMYK-01.png"/>
                    <pic:cNvPicPr/>
                  </pic:nvPicPr>
                  <pic:blipFill>
                    <a:blip r:embed="rId11"/>
                    <a:stretch>
                      <a:fillRect/>
                    </a:stretch>
                  </pic:blipFill>
                  <pic:spPr>
                    <a:xfrm>
                      <a:off x="0" y="0"/>
                      <a:ext cx="4093472" cy="649225"/>
                    </a:xfrm>
                    <a:prstGeom prst="rect">
                      <a:avLst/>
                    </a:prstGeom>
                  </pic:spPr>
                </pic:pic>
              </a:graphicData>
            </a:graphic>
          </wp:inline>
        </w:drawing>
      </w:r>
    </w:p>
    <w:p w14:paraId="037C1E07" w14:textId="77777777" w:rsidR="0041600E" w:rsidRPr="006345E6" w:rsidRDefault="00D50B5D" w:rsidP="006345E6">
      <w:pPr>
        <w:spacing w:before="1080"/>
        <w:rPr>
          <w:rFonts w:eastAsiaTheme="majorEastAsia" w:cs="Arial"/>
          <w:bCs/>
          <w:color w:val="002D62"/>
          <w:sz w:val="60"/>
          <w:szCs w:val="60"/>
        </w:rPr>
      </w:pPr>
      <w:r>
        <w:t xml:space="preserve"> </w:t>
      </w:r>
      <w:r w:rsidR="00F24076" w:rsidRPr="006345E6">
        <w:rPr>
          <w:rFonts w:eastAsiaTheme="majorEastAsia" w:cs="Arial"/>
          <w:bCs/>
          <w:noProof/>
          <w:color w:val="002D62"/>
          <w:sz w:val="60"/>
          <w:szCs w:val="60"/>
          <w:lang w:eastAsia="en-AU"/>
        </w:rPr>
        <w:drawing>
          <wp:inline distT="0" distB="0" distL="0" distR="0" wp14:anchorId="6B978E9E" wp14:editId="30473943">
            <wp:extent cx="1981200" cy="1257300"/>
            <wp:effectExtent l="0" t="0" r="0" b="0"/>
            <wp:docPr id="3" name="Picture 3" descr="Ticket To Work logo. www.tickettowork.org.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et To Wor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1257300"/>
                    </a:xfrm>
                    <a:prstGeom prst="rect">
                      <a:avLst/>
                    </a:prstGeom>
                    <a:noFill/>
                    <a:ln>
                      <a:noFill/>
                    </a:ln>
                  </pic:spPr>
                </pic:pic>
              </a:graphicData>
            </a:graphic>
          </wp:inline>
        </w:drawing>
      </w:r>
    </w:p>
    <w:p w14:paraId="4B98A3B2" w14:textId="77777777" w:rsidR="006345E6" w:rsidRDefault="006345E6" w:rsidP="006345E6">
      <w:pPr>
        <w:spacing w:before="1080"/>
        <w:rPr>
          <w:rFonts w:eastAsiaTheme="majorEastAsia" w:cs="Arial"/>
          <w:bCs/>
          <w:color w:val="002D62"/>
          <w:sz w:val="60"/>
          <w:szCs w:val="60"/>
        </w:rPr>
      </w:pPr>
      <w:r w:rsidRPr="006345E6">
        <w:rPr>
          <w:rFonts w:eastAsiaTheme="majorEastAsia" w:cs="Arial"/>
          <w:bCs/>
          <w:color w:val="002D62"/>
          <w:sz w:val="60"/>
          <w:szCs w:val="60"/>
        </w:rPr>
        <w:t xml:space="preserve">Ticket to Work </w:t>
      </w:r>
    </w:p>
    <w:p w14:paraId="39CCC380" w14:textId="77777777" w:rsidR="006345E6" w:rsidRPr="00A95204" w:rsidRDefault="006345E6" w:rsidP="006345E6">
      <w:pPr>
        <w:spacing w:before="1080"/>
        <w:rPr>
          <w:sz w:val="32"/>
          <w:szCs w:val="32"/>
        </w:rPr>
      </w:pPr>
      <w:r w:rsidRPr="00A95204">
        <w:rPr>
          <w:sz w:val="32"/>
          <w:szCs w:val="32"/>
        </w:rPr>
        <w:t>Valuation of key outcomes</w:t>
      </w:r>
    </w:p>
    <w:p w14:paraId="7F74C52F" w14:textId="2019E222" w:rsidR="00EE17B3" w:rsidRPr="00A95204" w:rsidRDefault="00D03F10" w:rsidP="00EE17B3">
      <w:pPr>
        <w:spacing w:before="1080"/>
      </w:pPr>
      <w:r>
        <w:rPr>
          <w:rFonts w:cs="Arial"/>
          <w:b/>
          <w:sz w:val="24"/>
          <w:szCs w:val="24"/>
        </w:rPr>
        <w:t>August</w:t>
      </w:r>
      <w:r w:rsidR="00797527">
        <w:rPr>
          <w:rFonts w:cs="Arial"/>
          <w:b/>
          <w:sz w:val="24"/>
          <w:szCs w:val="24"/>
        </w:rPr>
        <w:t xml:space="preserve"> 2020</w:t>
      </w:r>
    </w:p>
    <w:p w14:paraId="3DBDAB6A" w14:textId="77777777" w:rsidR="00EE17B3" w:rsidRDefault="00EE17B3">
      <w:r>
        <w:br w:type="page"/>
      </w:r>
    </w:p>
    <w:p w14:paraId="3065C76B" w14:textId="77777777" w:rsidR="0041600E" w:rsidRPr="00EE17B3" w:rsidRDefault="0041600E" w:rsidP="00EE17B3">
      <w:pPr>
        <w:spacing w:before="1080"/>
        <w:rPr>
          <w:rFonts w:cs="Arial"/>
          <w:b/>
          <w:color w:val="002D62"/>
          <w:sz w:val="24"/>
          <w:szCs w:val="24"/>
        </w:rPr>
      </w:pPr>
    </w:p>
    <w:p w14:paraId="4BA01967" w14:textId="77777777" w:rsidR="001B3FFF" w:rsidRPr="00A95204" w:rsidRDefault="001B3FFF" w:rsidP="00CD1D16">
      <w:pPr>
        <w:pStyle w:val="Heading3"/>
      </w:pPr>
      <w:bookmarkStart w:id="0" w:name="_Toc20652505"/>
      <w:r w:rsidRPr="00A95204">
        <w:t>Executive summary</w:t>
      </w:r>
      <w:bookmarkEnd w:id="0"/>
    </w:p>
    <w:p w14:paraId="57FB73D6" w14:textId="77777777" w:rsidR="00430112" w:rsidRPr="00A95204" w:rsidRDefault="008D21C2">
      <w:pPr>
        <w:rPr>
          <w:sz w:val="24"/>
          <w:szCs w:val="24"/>
        </w:rPr>
      </w:pPr>
      <w:r w:rsidRPr="00A95204">
        <w:rPr>
          <w:sz w:val="24"/>
          <w:szCs w:val="24"/>
        </w:rPr>
        <w:t>Ticket to Work is an initiative of National Disability Services that seeks to i</w:t>
      </w:r>
      <w:r w:rsidR="00AB2DC0" w:rsidRPr="00A95204">
        <w:rPr>
          <w:sz w:val="24"/>
          <w:szCs w:val="24"/>
        </w:rPr>
        <w:t>ncrease</w:t>
      </w:r>
      <w:r w:rsidRPr="00A95204">
        <w:rPr>
          <w:sz w:val="24"/>
          <w:szCs w:val="24"/>
        </w:rPr>
        <w:t xml:space="preserve"> the chances of young people with disability securing ongoing open employment and improve economic and social outcomes. </w:t>
      </w:r>
      <w:r w:rsidR="00430112" w:rsidRPr="00A95204">
        <w:rPr>
          <w:sz w:val="24"/>
          <w:szCs w:val="24"/>
        </w:rPr>
        <w:t xml:space="preserve">An evaluation of the </w:t>
      </w:r>
      <w:r w:rsidR="00DC703A" w:rsidRPr="00A95204">
        <w:rPr>
          <w:sz w:val="24"/>
          <w:szCs w:val="24"/>
        </w:rPr>
        <w:t>model</w:t>
      </w:r>
      <w:r w:rsidR="00430112" w:rsidRPr="00A95204">
        <w:rPr>
          <w:sz w:val="24"/>
          <w:szCs w:val="24"/>
        </w:rPr>
        <w:t xml:space="preserve"> in 2019 found, amongst other things, that</w:t>
      </w:r>
      <w:r w:rsidR="00FF19C5" w:rsidRPr="00A95204">
        <w:rPr>
          <w:sz w:val="24"/>
          <w:szCs w:val="24"/>
        </w:rPr>
        <w:t xml:space="preserve"> participants are substantially more likely than a similar comparison group to</w:t>
      </w:r>
      <w:r w:rsidR="00430112" w:rsidRPr="00A95204">
        <w:rPr>
          <w:sz w:val="24"/>
          <w:szCs w:val="24"/>
        </w:rPr>
        <w:t>:</w:t>
      </w:r>
    </w:p>
    <w:p w14:paraId="6497B667" w14:textId="77777777" w:rsidR="00DD3E0C" w:rsidRPr="00A95204" w:rsidRDefault="00611EAD" w:rsidP="00234846">
      <w:pPr>
        <w:pStyle w:val="Bulletlist"/>
        <w:spacing w:after="60"/>
        <w:ind w:left="360" w:hanging="357"/>
        <w:rPr>
          <w:sz w:val="24"/>
          <w:szCs w:val="24"/>
        </w:rPr>
      </w:pPr>
      <w:r w:rsidRPr="00A95204">
        <w:rPr>
          <w:sz w:val="24"/>
          <w:szCs w:val="24"/>
        </w:rPr>
        <w:t>c</w:t>
      </w:r>
      <w:r w:rsidR="00430112" w:rsidRPr="00A95204">
        <w:rPr>
          <w:sz w:val="24"/>
          <w:szCs w:val="24"/>
        </w:rPr>
        <w:t>omplete Year 12</w:t>
      </w:r>
      <w:r w:rsidRPr="00A95204">
        <w:rPr>
          <w:sz w:val="24"/>
          <w:szCs w:val="24"/>
        </w:rPr>
        <w:t>,</w:t>
      </w:r>
      <w:r w:rsidR="00DD3E0C" w:rsidRPr="00A95204">
        <w:rPr>
          <w:sz w:val="24"/>
          <w:szCs w:val="24"/>
        </w:rPr>
        <w:t xml:space="preserve"> </w:t>
      </w:r>
    </w:p>
    <w:p w14:paraId="2B3D6935" w14:textId="77777777" w:rsidR="00430112" w:rsidRPr="00A95204" w:rsidRDefault="00611EAD" w:rsidP="00234846">
      <w:pPr>
        <w:pStyle w:val="Bulletlist"/>
        <w:spacing w:after="60"/>
        <w:ind w:left="360" w:hanging="357"/>
        <w:rPr>
          <w:sz w:val="24"/>
          <w:szCs w:val="24"/>
        </w:rPr>
      </w:pPr>
      <w:r w:rsidRPr="00A95204">
        <w:rPr>
          <w:sz w:val="24"/>
          <w:szCs w:val="24"/>
        </w:rPr>
        <w:t>w</w:t>
      </w:r>
      <w:r w:rsidR="00DD3E0C" w:rsidRPr="00A95204">
        <w:rPr>
          <w:sz w:val="24"/>
          <w:szCs w:val="24"/>
        </w:rPr>
        <w:t>ork in open workplaces</w:t>
      </w:r>
      <w:r w:rsidRPr="00A95204">
        <w:rPr>
          <w:sz w:val="24"/>
          <w:szCs w:val="24"/>
        </w:rPr>
        <w:t>,</w:t>
      </w:r>
    </w:p>
    <w:p w14:paraId="6DF9DD49" w14:textId="77777777" w:rsidR="00FF19C5" w:rsidRPr="00A95204" w:rsidRDefault="00611EAD" w:rsidP="00234846">
      <w:pPr>
        <w:pStyle w:val="Bulletlist"/>
        <w:spacing w:after="60"/>
        <w:ind w:left="360" w:hanging="357"/>
        <w:rPr>
          <w:sz w:val="24"/>
          <w:szCs w:val="24"/>
        </w:rPr>
      </w:pPr>
      <w:r w:rsidRPr="00A95204">
        <w:rPr>
          <w:sz w:val="24"/>
          <w:szCs w:val="24"/>
        </w:rPr>
        <w:t>p</w:t>
      </w:r>
      <w:r w:rsidR="00FF19C5" w:rsidRPr="00A95204">
        <w:rPr>
          <w:sz w:val="24"/>
          <w:szCs w:val="24"/>
        </w:rPr>
        <w:t>articipate in the labour force</w:t>
      </w:r>
      <w:r w:rsidRPr="00A95204">
        <w:rPr>
          <w:sz w:val="24"/>
          <w:szCs w:val="24"/>
        </w:rPr>
        <w:t>, and</w:t>
      </w:r>
    </w:p>
    <w:p w14:paraId="25AB1ADA" w14:textId="77777777" w:rsidR="00002032" w:rsidRPr="00A95204" w:rsidRDefault="00611EAD" w:rsidP="00234846">
      <w:pPr>
        <w:pStyle w:val="Bulletlist"/>
        <w:spacing w:after="60"/>
        <w:ind w:left="360" w:hanging="357"/>
        <w:rPr>
          <w:sz w:val="24"/>
          <w:szCs w:val="24"/>
        </w:rPr>
      </w:pPr>
      <w:r w:rsidRPr="00A95204">
        <w:rPr>
          <w:sz w:val="24"/>
          <w:szCs w:val="24"/>
        </w:rPr>
        <w:t>b</w:t>
      </w:r>
      <w:r w:rsidR="00566980" w:rsidRPr="00A95204">
        <w:rPr>
          <w:sz w:val="24"/>
          <w:szCs w:val="24"/>
        </w:rPr>
        <w:t>e involved in social activities</w:t>
      </w:r>
      <w:r w:rsidRPr="00A95204">
        <w:rPr>
          <w:sz w:val="24"/>
          <w:szCs w:val="24"/>
        </w:rPr>
        <w:t xml:space="preserve">. </w:t>
      </w:r>
    </w:p>
    <w:p w14:paraId="0799E90D" w14:textId="45A39B16" w:rsidR="00797527" w:rsidRDefault="00203AAA" w:rsidP="00893C55">
      <w:pPr>
        <w:pStyle w:val="Bulletlist"/>
        <w:numPr>
          <w:ilvl w:val="0"/>
          <w:numId w:val="0"/>
        </w:numPr>
        <w:spacing w:after="60"/>
        <w:rPr>
          <w:sz w:val="24"/>
          <w:szCs w:val="24"/>
        </w:rPr>
      </w:pPr>
      <w:r w:rsidRPr="00A95204">
        <w:rPr>
          <w:sz w:val="24"/>
          <w:szCs w:val="24"/>
        </w:rPr>
        <w:t xml:space="preserve">This report draws on the </w:t>
      </w:r>
      <w:r w:rsidR="00F018F5" w:rsidRPr="00A95204">
        <w:rPr>
          <w:sz w:val="24"/>
          <w:szCs w:val="24"/>
        </w:rPr>
        <w:t>data from that</w:t>
      </w:r>
      <w:r w:rsidR="00E8283B" w:rsidRPr="00A95204">
        <w:rPr>
          <w:sz w:val="24"/>
          <w:szCs w:val="24"/>
        </w:rPr>
        <w:t xml:space="preserve"> study to estimate two scenarios: a Ticket to Work scenario and a </w:t>
      </w:r>
      <w:r w:rsidR="003A4ECC" w:rsidRPr="00A95204">
        <w:rPr>
          <w:sz w:val="24"/>
          <w:szCs w:val="24"/>
        </w:rPr>
        <w:t>‘</w:t>
      </w:r>
      <w:r w:rsidR="00E8283B" w:rsidRPr="00A95204">
        <w:rPr>
          <w:sz w:val="24"/>
          <w:szCs w:val="24"/>
        </w:rPr>
        <w:t>Business as Usual</w:t>
      </w:r>
      <w:r w:rsidR="003A4ECC" w:rsidRPr="00A95204">
        <w:rPr>
          <w:sz w:val="24"/>
          <w:szCs w:val="24"/>
        </w:rPr>
        <w:t>’</w:t>
      </w:r>
      <w:r w:rsidR="00E8283B" w:rsidRPr="00A95204">
        <w:rPr>
          <w:sz w:val="24"/>
          <w:szCs w:val="24"/>
        </w:rPr>
        <w:t xml:space="preserve"> scenario</w:t>
      </w:r>
      <w:r w:rsidR="003A4ECC" w:rsidRPr="00A95204">
        <w:rPr>
          <w:sz w:val="24"/>
          <w:szCs w:val="24"/>
        </w:rPr>
        <w:t xml:space="preserve"> based on data about employment outcomes for</w:t>
      </w:r>
      <w:r w:rsidR="00A61FCA" w:rsidRPr="00A95204">
        <w:rPr>
          <w:sz w:val="24"/>
          <w:szCs w:val="24"/>
        </w:rPr>
        <w:t xml:space="preserve"> young</w:t>
      </w:r>
      <w:r w:rsidR="003A4ECC" w:rsidRPr="00A95204">
        <w:rPr>
          <w:sz w:val="24"/>
          <w:szCs w:val="24"/>
        </w:rPr>
        <w:t xml:space="preserve"> people with disability who did not participate in Ticket to Work</w:t>
      </w:r>
      <w:r w:rsidR="00E8283B" w:rsidRPr="00A95204">
        <w:rPr>
          <w:sz w:val="24"/>
          <w:szCs w:val="24"/>
        </w:rPr>
        <w:t xml:space="preserve">. </w:t>
      </w:r>
      <w:r w:rsidR="00B7666B" w:rsidRPr="00A95204">
        <w:rPr>
          <w:sz w:val="24"/>
          <w:szCs w:val="24"/>
        </w:rPr>
        <w:fldChar w:fldCharType="begin"/>
      </w:r>
      <w:r w:rsidR="00B7666B" w:rsidRPr="00A95204">
        <w:rPr>
          <w:sz w:val="24"/>
          <w:szCs w:val="24"/>
        </w:rPr>
        <w:instrText xml:space="preserve"> REF _Ref23515744 \h </w:instrText>
      </w:r>
      <w:r w:rsidR="00A95204">
        <w:rPr>
          <w:sz w:val="24"/>
          <w:szCs w:val="24"/>
        </w:rPr>
        <w:instrText xml:space="preserve"> \* MERGEFORMAT </w:instrText>
      </w:r>
      <w:r w:rsidR="00B7666B" w:rsidRPr="00A95204">
        <w:rPr>
          <w:sz w:val="24"/>
          <w:szCs w:val="24"/>
        </w:rPr>
      </w:r>
      <w:r w:rsidR="00B7666B" w:rsidRPr="00A95204">
        <w:rPr>
          <w:sz w:val="24"/>
          <w:szCs w:val="24"/>
        </w:rPr>
        <w:fldChar w:fldCharType="separate"/>
      </w:r>
      <w:r w:rsidR="00B7666B" w:rsidRPr="00A95204">
        <w:rPr>
          <w:sz w:val="24"/>
          <w:szCs w:val="24"/>
        </w:rPr>
        <w:t xml:space="preserve">Figure </w:t>
      </w:r>
      <w:r w:rsidR="00B7666B" w:rsidRPr="00A95204">
        <w:rPr>
          <w:noProof/>
          <w:sz w:val="24"/>
          <w:szCs w:val="24"/>
        </w:rPr>
        <w:t>1</w:t>
      </w:r>
      <w:r w:rsidR="00B7666B" w:rsidRPr="00A95204">
        <w:rPr>
          <w:sz w:val="24"/>
          <w:szCs w:val="24"/>
        </w:rPr>
        <w:fldChar w:fldCharType="end"/>
      </w:r>
      <w:r w:rsidR="00B7666B" w:rsidRPr="00A95204">
        <w:rPr>
          <w:sz w:val="24"/>
          <w:szCs w:val="24"/>
        </w:rPr>
        <w:t xml:space="preserve"> </w:t>
      </w:r>
      <w:r w:rsidR="00A61FCA" w:rsidRPr="00A95204">
        <w:rPr>
          <w:sz w:val="24"/>
          <w:szCs w:val="24"/>
        </w:rPr>
        <w:t>demonstrates</w:t>
      </w:r>
      <w:r w:rsidR="00B7666B" w:rsidRPr="00A95204">
        <w:rPr>
          <w:sz w:val="24"/>
          <w:szCs w:val="24"/>
        </w:rPr>
        <w:t xml:space="preserve"> the impact of Ticket to Work: </w:t>
      </w:r>
      <w:r w:rsidR="00102A11" w:rsidRPr="00A95204">
        <w:rPr>
          <w:sz w:val="24"/>
          <w:szCs w:val="24"/>
        </w:rPr>
        <w:t>far more participants are in the labour force</w:t>
      </w:r>
      <w:r w:rsidR="007F1A24" w:rsidRPr="00A95204">
        <w:rPr>
          <w:sz w:val="24"/>
          <w:szCs w:val="24"/>
        </w:rPr>
        <w:t xml:space="preserve">, employed, and in open employment than would otherwise have been the case. </w:t>
      </w:r>
      <w:r w:rsidR="00102A11" w:rsidRPr="00A95204">
        <w:rPr>
          <w:sz w:val="24"/>
          <w:szCs w:val="24"/>
        </w:rPr>
        <w:t xml:space="preserve"> </w:t>
      </w:r>
    </w:p>
    <w:p w14:paraId="368E3A91" w14:textId="77777777" w:rsidR="00797527" w:rsidRPr="00A95204" w:rsidRDefault="00797527" w:rsidP="00893C55">
      <w:pPr>
        <w:pStyle w:val="Bulletlist"/>
        <w:numPr>
          <w:ilvl w:val="0"/>
          <w:numId w:val="0"/>
        </w:numPr>
        <w:spacing w:after="60"/>
        <w:rPr>
          <w:sz w:val="24"/>
          <w:szCs w:val="24"/>
        </w:rPr>
      </w:pPr>
      <w:r>
        <w:rPr>
          <w:noProof/>
          <w:lang w:eastAsia="en-AU"/>
        </w:rPr>
        <w:drawing>
          <wp:inline distT="0" distB="0" distL="0" distR="0" wp14:anchorId="33B1FB63" wp14:editId="4E05C46E">
            <wp:extent cx="5731510" cy="3152393"/>
            <wp:effectExtent l="0" t="0" r="2540" b="0"/>
            <wp:docPr id="30" name="Picture 30" descr="This figure shows 2 scenarios and compares against 3216 participants.&#10;Ticket to Work Scenario 2862 in labour force compared to 1865 in business as usual scenario.&#10;Ticket to work scenario 2058 employed compared to 1062 in business as usual.&#10;Ticket to work scenario 1845 open employment compared to 531 business as usual.&#10;Ticket to work scenario 213 in supported employment compared to 531 in business as usual.&#10;Ticket to Work scenario 804 unemployed compared to 803 in business as usual&#10;Ticket to work scenario had 354 not in the labour force compared to 1351 in business as usu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152393"/>
                    </a:xfrm>
                    <a:prstGeom prst="rect">
                      <a:avLst/>
                    </a:prstGeom>
                    <a:noFill/>
                  </pic:spPr>
                </pic:pic>
              </a:graphicData>
            </a:graphic>
          </wp:inline>
        </w:drawing>
      </w:r>
    </w:p>
    <w:p w14:paraId="096991EA" w14:textId="77777777" w:rsidR="00797527" w:rsidRDefault="00893C55" w:rsidP="00893C55">
      <w:pPr>
        <w:pStyle w:val="Caption"/>
        <w:rPr>
          <w:i w:val="0"/>
          <w:color w:val="auto"/>
          <w:sz w:val="24"/>
          <w:szCs w:val="24"/>
        </w:rPr>
      </w:pPr>
      <w:bookmarkStart w:id="1" w:name="_Ref23515744"/>
      <w:r w:rsidRPr="00A95204">
        <w:rPr>
          <w:i w:val="0"/>
          <w:color w:val="auto"/>
          <w:sz w:val="24"/>
          <w:szCs w:val="24"/>
        </w:rPr>
        <w:t xml:space="preserve">Figure </w:t>
      </w:r>
      <w:r w:rsidR="00A37DAD" w:rsidRPr="00A95204">
        <w:rPr>
          <w:i w:val="0"/>
          <w:color w:val="auto"/>
          <w:sz w:val="24"/>
          <w:szCs w:val="24"/>
        </w:rPr>
        <w:fldChar w:fldCharType="begin"/>
      </w:r>
      <w:r w:rsidR="00A37DAD" w:rsidRPr="00A95204">
        <w:rPr>
          <w:i w:val="0"/>
          <w:color w:val="auto"/>
          <w:sz w:val="24"/>
          <w:szCs w:val="24"/>
        </w:rPr>
        <w:instrText xml:space="preserve"> SEQ Figure \* ARABIC </w:instrText>
      </w:r>
      <w:r w:rsidR="00A37DAD" w:rsidRPr="00A95204">
        <w:rPr>
          <w:i w:val="0"/>
          <w:color w:val="auto"/>
          <w:sz w:val="24"/>
          <w:szCs w:val="24"/>
        </w:rPr>
        <w:fldChar w:fldCharType="separate"/>
      </w:r>
      <w:r w:rsidR="004912C4" w:rsidRPr="00A95204">
        <w:rPr>
          <w:i w:val="0"/>
          <w:noProof/>
          <w:color w:val="auto"/>
          <w:sz w:val="24"/>
          <w:szCs w:val="24"/>
        </w:rPr>
        <w:t>1</w:t>
      </w:r>
      <w:r w:rsidR="00A37DAD" w:rsidRPr="00A95204">
        <w:rPr>
          <w:i w:val="0"/>
          <w:noProof/>
          <w:color w:val="auto"/>
          <w:sz w:val="24"/>
          <w:szCs w:val="24"/>
        </w:rPr>
        <w:fldChar w:fldCharType="end"/>
      </w:r>
      <w:bookmarkEnd w:id="1"/>
      <w:r w:rsidRPr="00A95204">
        <w:rPr>
          <w:i w:val="0"/>
          <w:color w:val="auto"/>
          <w:sz w:val="24"/>
          <w:szCs w:val="24"/>
        </w:rPr>
        <w:t>: outcomes for the Ticket to Work and Business as Usual scenarios</w:t>
      </w:r>
    </w:p>
    <w:p w14:paraId="320F6B31" w14:textId="77777777" w:rsidR="00797527" w:rsidRDefault="00797527">
      <w:pPr>
        <w:rPr>
          <w:iCs/>
          <w:sz w:val="24"/>
          <w:szCs w:val="24"/>
        </w:rPr>
      </w:pPr>
      <w:r>
        <w:rPr>
          <w:i/>
          <w:sz w:val="24"/>
          <w:szCs w:val="24"/>
        </w:rPr>
        <w:br w:type="page"/>
      </w:r>
    </w:p>
    <w:p w14:paraId="148FFE96" w14:textId="77777777" w:rsidR="00E20512" w:rsidRPr="00A95204" w:rsidRDefault="00002032" w:rsidP="0092517D">
      <w:pPr>
        <w:pStyle w:val="NoSpacing"/>
        <w:rPr>
          <w:sz w:val="24"/>
          <w:szCs w:val="24"/>
        </w:rPr>
      </w:pPr>
      <w:r w:rsidRPr="00A95204">
        <w:rPr>
          <w:sz w:val="24"/>
          <w:szCs w:val="24"/>
        </w:rPr>
        <w:lastRenderedPageBreak/>
        <w:t xml:space="preserve">This report </w:t>
      </w:r>
      <w:r w:rsidR="003D66F2" w:rsidRPr="00A95204">
        <w:rPr>
          <w:sz w:val="24"/>
          <w:szCs w:val="24"/>
        </w:rPr>
        <w:t xml:space="preserve">builds on this evaluation to </w:t>
      </w:r>
      <w:r w:rsidR="000E44BD" w:rsidRPr="00A95204">
        <w:rPr>
          <w:sz w:val="24"/>
          <w:szCs w:val="24"/>
        </w:rPr>
        <w:t xml:space="preserve">estimate the </w:t>
      </w:r>
      <w:r w:rsidR="006D7094" w:rsidRPr="0060666C">
        <w:rPr>
          <w:sz w:val="24"/>
          <w:szCs w:val="24"/>
        </w:rPr>
        <w:t xml:space="preserve">financial </w:t>
      </w:r>
      <w:r w:rsidR="000E44BD" w:rsidRPr="0060666C">
        <w:rPr>
          <w:sz w:val="24"/>
          <w:szCs w:val="24"/>
        </w:rPr>
        <w:t xml:space="preserve">value of these outcomes. </w:t>
      </w:r>
      <w:r w:rsidR="00E20512" w:rsidRPr="0060666C">
        <w:rPr>
          <w:sz w:val="24"/>
          <w:szCs w:val="24"/>
        </w:rPr>
        <w:t>It goes through a five-step process</w:t>
      </w:r>
      <w:r w:rsidR="00E8780A" w:rsidRPr="0060666C">
        <w:rPr>
          <w:sz w:val="24"/>
          <w:szCs w:val="24"/>
        </w:rPr>
        <w:t xml:space="preserve"> to ide</w:t>
      </w:r>
      <w:r w:rsidR="00E8780A" w:rsidRPr="00A95204">
        <w:rPr>
          <w:sz w:val="24"/>
          <w:szCs w:val="24"/>
        </w:rPr>
        <w:t xml:space="preserve">ntify </w:t>
      </w:r>
      <w:r w:rsidR="00E20512" w:rsidRPr="00A95204">
        <w:rPr>
          <w:sz w:val="24"/>
          <w:szCs w:val="24"/>
        </w:rPr>
        <w:t>these values:</w:t>
      </w:r>
    </w:p>
    <w:p w14:paraId="7326746A" w14:textId="77777777" w:rsidR="00F66DF1" w:rsidRPr="00A95204" w:rsidRDefault="00F66DF1" w:rsidP="0060666C">
      <w:pPr>
        <w:pStyle w:val="NoSpacing"/>
        <w:numPr>
          <w:ilvl w:val="0"/>
          <w:numId w:val="12"/>
        </w:numPr>
        <w:spacing w:after="60"/>
        <w:ind w:left="360" w:hanging="357"/>
        <w:rPr>
          <w:sz w:val="24"/>
          <w:szCs w:val="24"/>
        </w:rPr>
      </w:pPr>
      <w:r w:rsidRPr="00A95204">
        <w:rPr>
          <w:sz w:val="24"/>
          <w:szCs w:val="24"/>
        </w:rPr>
        <w:t>What outcomes do participants experience as a result of being involved in Ticket to Work?</w:t>
      </w:r>
    </w:p>
    <w:p w14:paraId="254D01FE" w14:textId="77777777" w:rsidR="00F66DF1" w:rsidRPr="00A95204" w:rsidRDefault="00F66DF1" w:rsidP="0060666C">
      <w:pPr>
        <w:pStyle w:val="NoSpacing"/>
        <w:numPr>
          <w:ilvl w:val="0"/>
          <w:numId w:val="12"/>
        </w:numPr>
        <w:spacing w:after="60"/>
        <w:ind w:left="360" w:hanging="357"/>
        <w:rPr>
          <w:sz w:val="24"/>
          <w:szCs w:val="24"/>
        </w:rPr>
      </w:pPr>
      <w:r w:rsidRPr="00A95204">
        <w:rPr>
          <w:sz w:val="24"/>
          <w:szCs w:val="24"/>
        </w:rPr>
        <w:t xml:space="preserve">What </w:t>
      </w:r>
      <w:r w:rsidR="00DE0B01" w:rsidRPr="00A95204">
        <w:rPr>
          <w:sz w:val="24"/>
          <w:szCs w:val="24"/>
        </w:rPr>
        <w:t>benefits or costs can reasonably</w:t>
      </w:r>
      <w:r w:rsidRPr="00A95204">
        <w:rPr>
          <w:sz w:val="24"/>
          <w:szCs w:val="24"/>
        </w:rPr>
        <w:t xml:space="preserve"> be expected to occur as a result of that outcome?</w:t>
      </w:r>
    </w:p>
    <w:p w14:paraId="16522DF0" w14:textId="77777777" w:rsidR="00F66DF1" w:rsidRPr="00A95204" w:rsidRDefault="00F66DF1" w:rsidP="0060666C">
      <w:pPr>
        <w:pStyle w:val="NoSpacing"/>
        <w:numPr>
          <w:ilvl w:val="0"/>
          <w:numId w:val="12"/>
        </w:numPr>
        <w:spacing w:after="60"/>
        <w:ind w:left="360" w:hanging="357"/>
        <w:rPr>
          <w:sz w:val="24"/>
          <w:szCs w:val="24"/>
        </w:rPr>
      </w:pPr>
      <w:r w:rsidRPr="00A95204">
        <w:rPr>
          <w:sz w:val="24"/>
          <w:szCs w:val="24"/>
        </w:rPr>
        <w:t>What fiscal (i.e. government) benefits or costs can reasonably be expected to occur as a result of that outcome?</w:t>
      </w:r>
    </w:p>
    <w:p w14:paraId="69B920A9" w14:textId="77777777" w:rsidR="00F66DF1" w:rsidRPr="00A95204" w:rsidRDefault="00F66DF1" w:rsidP="0060666C">
      <w:pPr>
        <w:pStyle w:val="NoSpacing"/>
        <w:numPr>
          <w:ilvl w:val="0"/>
          <w:numId w:val="12"/>
        </w:numPr>
        <w:spacing w:after="60"/>
        <w:ind w:left="360" w:hanging="357"/>
        <w:rPr>
          <w:sz w:val="24"/>
          <w:szCs w:val="24"/>
        </w:rPr>
      </w:pPr>
      <w:r w:rsidRPr="00A95204">
        <w:rPr>
          <w:sz w:val="24"/>
          <w:szCs w:val="24"/>
        </w:rPr>
        <w:t>How many Ticket to Work participants experienced those outcomes compared to what we would expect to see in a comparable group</w:t>
      </w:r>
      <w:r w:rsidR="00112223" w:rsidRPr="00A95204">
        <w:rPr>
          <w:sz w:val="24"/>
          <w:szCs w:val="24"/>
        </w:rPr>
        <w:t>?</w:t>
      </w:r>
    </w:p>
    <w:p w14:paraId="7E26D061" w14:textId="77777777" w:rsidR="00AE7B35" w:rsidRDefault="00F66DF1" w:rsidP="0060666C">
      <w:pPr>
        <w:pStyle w:val="NoSpacing"/>
        <w:numPr>
          <w:ilvl w:val="0"/>
          <w:numId w:val="12"/>
        </w:numPr>
        <w:spacing w:after="60"/>
        <w:ind w:left="360" w:hanging="357"/>
        <w:rPr>
          <w:sz w:val="24"/>
          <w:szCs w:val="24"/>
        </w:rPr>
      </w:pPr>
      <w:r w:rsidRPr="00A95204">
        <w:rPr>
          <w:sz w:val="24"/>
          <w:szCs w:val="24"/>
        </w:rPr>
        <w:t xml:space="preserve">Calculate the total value of the outcomes for all Ticket to Work participants. </w:t>
      </w:r>
    </w:p>
    <w:p w14:paraId="3215030A" w14:textId="77777777" w:rsidR="00797527" w:rsidRPr="00A95204" w:rsidRDefault="00797527" w:rsidP="00797527">
      <w:pPr>
        <w:pStyle w:val="NoSpacing"/>
        <w:spacing w:after="60"/>
        <w:ind w:left="360"/>
        <w:rPr>
          <w:sz w:val="24"/>
          <w:szCs w:val="24"/>
        </w:rPr>
      </w:pPr>
    </w:p>
    <w:p w14:paraId="6B225C64" w14:textId="77777777" w:rsidR="00BD7B53" w:rsidRPr="00A95204" w:rsidRDefault="00CF585A" w:rsidP="0092517D">
      <w:pPr>
        <w:pStyle w:val="NoSpacing"/>
        <w:rPr>
          <w:sz w:val="24"/>
          <w:szCs w:val="24"/>
        </w:rPr>
      </w:pPr>
      <w:r w:rsidRPr="00A95204">
        <w:rPr>
          <w:sz w:val="24"/>
          <w:szCs w:val="24"/>
        </w:rPr>
        <w:t>Th</w:t>
      </w:r>
      <w:r w:rsidR="008825B9" w:rsidRPr="00A95204">
        <w:rPr>
          <w:sz w:val="24"/>
          <w:szCs w:val="24"/>
        </w:rPr>
        <w:t>is report</w:t>
      </w:r>
      <w:r w:rsidRPr="00A95204">
        <w:rPr>
          <w:sz w:val="24"/>
          <w:szCs w:val="24"/>
        </w:rPr>
        <w:t xml:space="preserve"> estimates that there is a</w:t>
      </w:r>
      <w:r w:rsidR="00D21862" w:rsidRPr="00A95204">
        <w:rPr>
          <w:sz w:val="24"/>
          <w:szCs w:val="24"/>
        </w:rPr>
        <w:t>n average</w:t>
      </w:r>
      <w:r w:rsidRPr="00A95204">
        <w:rPr>
          <w:sz w:val="24"/>
          <w:szCs w:val="24"/>
        </w:rPr>
        <w:t xml:space="preserve"> net benefit of about </w:t>
      </w:r>
      <w:r w:rsidR="00A1709A" w:rsidRPr="00A95204">
        <w:rPr>
          <w:sz w:val="24"/>
          <w:szCs w:val="24"/>
        </w:rPr>
        <w:t>$2</w:t>
      </w:r>
      <w:r w:rsidR="00732C0F" w:rsidRPr="00A95204">
        <w:rPr>
          <w:sz w:val="24"/>
          <w:szCs w:val="24"/>
        </w:rPr>
        <w:t>7,</w:t>
      </w:r>
      <w:r w:rsidR="000E7A5E" w:rsidRPr="00A95204">
        <w:rPr>
          <w:sz w:val="24"/>
          <w:szCs w:val="24"/>
        </w:rPr>
        <w:t>1</w:t>
      </w:r>
      <w:r w:rsidR="00732C0F" w:rsidRPr="00A95204">
        <w:rPr>
          <w:sz w:val="24"/>
          <w:szCs w:val="24"/>
        </w:rPr>
        <w:t>0</w:t>
      </w:r>
      <w:r w:rsidR="00A1709A" w:rsidRPr="00A95204">
        <w:rPr>
          <w:sz w:val="24"/>
          <w:szCs w:val="24"/>
        </w:rPr>
        <w:t>0</w:t>
      </w:r>
      <w:r w:rsidR="003162ED" w:rsidRPr="00A95204">
        <w:rPr>
          <w:sz w:val="24"/>
          <w:szCs w:val="24"/>
        </w:rPr>
        <w:t xml:space="preserve"> per participant</w:t>
      </w:r>
      <w:r w:rsidR="00526080" w:rsidRPr="00A95204">
        <w:rPr>
          <w:sz w:val="24"/>
          <w:szCs w:val="24"/>
        </w:rPr>
        <w:t xml:space="preserve"> over three years, or</w:t>
      </w:r>
      <w:r w:rsidR="00BE5A9F" w:rsidRPr="00A95204">
        <w:rPr>
          <w:sz w:val="24"/>
          <w:szCs w:val="24"/>
        </w:rPr>
        <w:t xml:space="preserve"> </w:t>
      </w:r>
      <w:r w:rsidR="00732C0F" w:rsidRPr="00A95204">
        <w:rPr>
          <w:sz w:val="24"/>
          <w:szCs w:val="24"/>
        </w:rPr>
        <w:t xml:space="preserve">about </w:t>
      </w:r>
      <w:r w:rsidR="00BE5A9F" w:rsidRPr="00A95204">
        <w:rPr>
          <w:sz w:val="24"/>
          <w:szCs w:val="24"/>
        </w:rPr>
        <w:t>$</w:t>
      </w:r>
      <w:r w:rsidR="00E83DED">
        <w:rPr>
          <w:sz w:val="24"/>
          <w:szCs w:val="24"/>
        </w:rPr>
        <w:t>87.3</w:t>
      </w:r>
      <w:r w:rsidR="00BE5A9F" w:rsidRPr="00A95204">
        <w:rPr>
          <w:sz w:val="24"/>
          <w:szCs w:val="24"/>
        </w:rPr>
        <w:t>m across all 3216 participants</w:t>
      </w:r>
      <w:r w:rsidR="00951356" w:rsidRPr="00A95204">
        <w:rPr>
          <w:sz w:val="24"/>
          <w:szCs w:val="24"/>
        </w:rPr>
        <w:t>. That benefit is made up of the following elements:</w:t>
      </w:r>
    </w:p>
    <w:p w14:paraId="203F464A" w14:textId="77777777" w:rsidR="001458D6" w:rsidRDefault="00FC0BBF" w:rsidP="009E0B00">
      <w:pPr>
        <w:pStyle w:val="NoSpacing"/>
        <w:keepNext/>
        <w:jc w:val="center"/>
        <w:rPr>
          <w:noProof/>
        </w:rPr>
      </w:pPr>
      <w:r>
        <w:rPr>
          <w:noProof/>
          <w:lang w:eastAsia="en-AU"/>
        </w:rPr>
        <w:drawing>
          <wp:inline distT="0" distB="0" distL="0" distR="0" wp14:anchorId="0B730B85" wp14:editId="578DACB4">
            <wp:extent cx="5626100" cy="2715385"/>
            <wp:effectExtent l="0" t="0" r="0" b="0"/>
            <wp:docPr id="6" name="Picture 6" descr="this figure shows average ticket to work social and fiscal benefits per participant over three year impace period. &#10;3: Increased income for carers $4900&#10;4: Increased income for participants $11,300&#10;6: reduction in NDIS costs $4,200&#10;7: Increase in DES costs -$1100&#10;8: reduction in DSP and Youth allowance $2800&#10;9 Tax revenue for carers $900&#10;10 reducation in disability employment assistance costs $4100&#10;Total $27100&#10;Ticket to Work cost per participant $860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1908" cy="2723014"/>
                    </a:xfrm>
                    <a:prstGeom prst="rect">
                      <a:avLst/>
                    </a:prstGeom>
                    <a:noFill/>
                  </pic:spPr>
                </pic:pic>
              </a:graphicData>
            </a:graphic>
          </wp:inline>
        </w:drawing>
      </w:r>
    </w:p>
    <w:p w14:paraId="36785655" w14:textId="77777777" w:rsidR="00BE393F" w:rsidRPr="00A95204" w:rsidRDefault="001458D6" w:rsidP="001458D6">
      <w:pPr>
        <w:pStyle w:val="Caption"/>
        <w:rPr>
          <w:i w:val="0"/>
          <w:color w:val="auto"/>
          <w:sz w:val="24"/>
          <w:szCs w:val="24"/>
        </w:rPr>
      </w:pPr>
      <w:r w:rsidRPr="00A95204">
        <w:rPr>
          <w:i w:val="0"/>
          <w:color w:val="auto"/>
          <w:sz w:val="24"/>
          <w:szCs w:val="24"/>
        </w:rPr>
        <w:t xml:space="preserve">Figure </w:t>
      </w:r>
      <w:r w:rsidR="00A37DAD" w:rsidRPr="00A95204">
        <w:rPr>
          <w:i w:val="0"/>
          <w:color w:val="auto"/>
          <w:sz w:val="24"/>
          <w:szCs w:val="24"/>
        </w:rPr>
        <w:fldChar w:fldCharType="begin"/>
      </w:r>
      <w:r w:rsidR="00A37DAD" w:rsidRPr="00A95204">
        <w:rPr>
          <w:i w:val="0"/>
          <w:color w:val="auto"/>
          <w:sz w:val="24"/>
          <w:szCs w:val="24"/>
        </w:rPr>
        <w:instrText xml:space="preserve"> SEQ Figure \* ARABIC </w:instrText>
      </w:r>
      <w:r w:rsidR="00A37DAD" w:rsidRPr="00A95204">
        <w:rPr>
          <w:i w:val="0"/>
          <w:color w:val="auto"/>
          <w:sz w:val="24"/>
          <w:szCs w:val="24"/>
        </w:rPr>
        <w:fldChar w:fldCharType="separate"/>
      </w:r>
      <w:r w:rsidR="004912C4" w:rsidRPr="00A95204">
        <w:rPr>
          <w:i w:val="0"/>
          <w:noProof/>
          <w:color w:val="auto"/>
          <w:sz w:val="24"/>
          <w:szCs w:val="24"/>
        </w:rPr>
        <w:t>2</w:t>
      </w:r>
      <w:r w:rsidR="00A37DAD" w:rsidRPr="00A95204">
        <w:rPr>
          <w:i w:val="0"/>
          <w:noProof/>
          <w:color w:val="auto"/>
          <w:sz w:val="24"/>
          <w:szCs w:val="24"/>
        </w:rPr>
        <w:fldChar w:fldCharType="end"/>
      </w:r>
      <w:r w:rsidRPr="00A95204">
        <w:rPr>
          <w:i w:val="0"/>
          <w:color w:val="auto"/>
          <w:sz w:val="24"/>
          <w:szCs w:val="24"/>
        </w:rPr>
        <w:t xml:space="preserve">: </w:t>
      </w:r>
      <w:r w:rsidR="004A052A" w:rsidRPr="00A95204">
        <w:rPr>
          <w:i w:val="0"/>
          <w:color w:val="auto"/>
          <w:sz w:val="24"/>
          <w:szCs w:val="24"/>
        </w:rPr>
        <w:t xml:space="preserve">Average </w:t>
      </w:r>
      <w:r w:rsidR="00A059FD" w:rsidRPr="00A95204">
        <w:rPr>
          <w:i w:val="0"/>
          <w:color w:val="auto"/>
          <w:sz w:val="24"/>
          <w:szCs w:val="24"/>
        </w:rPr>
        <w:t>Ticket to Work socia</w:t>
      </w:r>
      <w:r w:rsidR="005C1263" w:rsidRPr="00A95204">
        <w:rPr>
          <w:i w:val="0"/>
          <w:color w:val="auto"/>
          <w:sz w:val="24"/>
          <w:szCs w:val="24"/>
        </w:rPr>
        <w:t>l</w:t>
      </w:r>
      <w:r w:rsidR="00A059FD" w:rsidRPr="00A95204">
        <w:rPr>
          <w:i w:val="0"/>
          <w:color w:val="auto"/>
          <w:sz w:val="24"/>
          <w:szCs w:val="24"/>
        </w:rPr>
        <w:t xml:space="preserve"> and fiscal benefits</w:t>
      </w:r>
      <w:r w:rsidRPr="00A95204">
        <w:rPr>
          <w:i w:val="0"/>
          <w:color w:val="auto"/>
          <w:sz w:val="24"/>
          <w:szCs w:val="24"/>
        </w:rPr>
        <w:t xml:space="preserve"> (per participant</w:t>
      </w:r>
      <w:r w:rsidR="00A059FD" w:rsidRPr="00A95204">
        <w:rPr>
          <w:i w:val="0"/>
          <w:color w:val="auto"/>
          <w:sz w:val="24"/>
          <w:szCs w:val="24"/>
        </w:rPr>
        <w:t xml:space="preserve"> over three</w:t>
      </w:r>
      <w:r w:rsidR="00526080" w:rsidRPr="00A95204">
        <w:rPr>
          <w:i w:val="0"/>
          <w:color w:val="auto"/>
          <w:sz w:val="24"/>
          <w:szCs w:val="24"/>
        </w:rPr>
        <w:t>-</w:t>
      </w:r>
      <w:r w:rsidR="00A059FD" w:rsidRPr="00A95204">
        <w:rPr>
          <w:i w:val="0"/>
          <w:color w:val="auto"/>
          <w:sz w:val="24"/>
          <w:szCs w:val="24"/>
        </w:rPr>
        <w:t>year impact period</w:t>
      </w:r>
      <w:r w:rsidR="00797527">
        <w:rPr>
          <w:i w:val="0"/>
          <w:color w:val="auto"/>
          <w:sz w:val="24"/>
          <w:szCs w:val="24"/>
        </w:rPr>
        <w:t xml:space="preserve">, benefits values are rounded to the nearest $100). </w:t>
      </w:r>
    </w:p>
    <w:p w14:paraId="4194BF5D" w14:textId="03F5B312" w:rsidR="009E53A4" w:rsidRPr="00A95204" w:rsidRDefault="00F8453C">
      <w:pPr>
        <w:rPr>
          <w:sz w:val="24"/>
          <w:szCs w:val="24"/>
        </w:rPr>
      </w:pPr>
      <w:r w:rsidRPr="00A95204">
        <w:rPr>
          <w:b/>
          <w:bCs/>
          <w:sz w:val="24"/>
          <w:szCs w:val="24"/>
        </w:rPr>
        <w:t>L</w:t>
      </w:r>
      <w:r w:rsidR="00F019D0" w:rsidRPr="00A95204">
        <w:rPr>
          <w:b/>
          <w:bCs/>
          <w:sz w:val="24"/>
          <w:szCs w:val="24"/>
        </w:rPr>
        <w:t>ong</w:t>
      </w:r>
      <w:r w:rsidR="004825CA" w:rsidRPr="00A95204">
        <w:rPr>
          <w:b/>
          <w:bCs/>
          <w:sz w:val="24"/>
          <w:szCs w:val="24"/>
        </w:rPr>
        <w:t>-</w:t>
      </w:r>
      <w:r w:rsidR="00F019D0" w:rsidRPr="00A95204">
        <w:rPr>
          <w:b/>
          <w:bCs/>
          <w:sz w:val="24"/>
          <w:szCs w:val="24"/>
        </w:rPr>
        <w:t xml:space="preserve">term </w:t>
      </w:r>
      <w:r w:rsidR="00FF0371" w:rsidRPr="00A95204">
        <w:rPr>
          <w:b/>
          <w:bCs/>
          <w:sz w:val="24"/>
          <w:szCs w:val="24"/>
        </w:rPr>
        <w:t>social</w:t>
      </w:r>
      <w:r w:rsidR="00364ADA" w:rsidRPr="00A95204">
        <w:rPr>
          <w:b/>
          <w:bCs/>
          <w:sz w:val="24"/>
          <w:szCs w:val="24"/>
        </w:rPr>
        <w:t>/economic</w:t>
      </w:r>
      <w:r w:rsidR="00FF0371" w:rsidRPr="00A95204">
        <w:rPr>
          <w:b/>
          <w:bCs/>
          <w:sz w:val="24"/>
          <w:szCs w:val="24"/>
        </w:rPr>
        <w:t xml:space="preserve"> benefits</w:t>
      </w:r>
      <w:r w:rsidRPr="00A95204">
        <w:rPr>
          <w:b/>
          <w:bCs/>
          <w:sz w:val="24"/>
          <w:szCs w:val="24"/>
        </w:rPr>
        <w:t>:</w:t>
      </w:r>
      <w:r w:rsidR="00F019D0" w:rsidRPr="00A95204">
        <w:rPr>
          <w:sz w:val="24"/>
          <w:szCs w:val="24"/>
        </w:rPr>
        <w:t xml:space="preserve"> </w:t>
      </w:r>
      <w:r w:rsidR="0047136B" w:rsidRPr="00A95204">
        <w:rPr>
          <w:sz w:val="24"/>
          <w:szCs w:val="24"/>
        </w:rPr>
        <w:t>Ticket to Work increase</w:t>
      </w:r>
      <w:r w:rsidR="0082698E" w:rsidRPr="00A95204">
        <w:rPr>
          <w:sz w:val="24"/>
          <w:szCs w:val="24"/>
        </w:rPr>
        <w:t>s</w:t>
      </w:r>
      <w:r w:rsidR="0047136B" w:rsidRPr="00A95204">
        <w:rPr>
          <w:sz w:val="24"/>
          <w:szCs w:val="24"/>
        </w:rPr>
        <w:t xml:space="preserve"> incomes</w:t>
      </w:r>
      <w:r w:rsidR="00983991" w:rsidRPr="00A95204">
        <w:rPr>
          <w:sz w:val="24"/>
          <w:szCs w:val="24"/>
        </w:rPr>
        <w:t xml:space="preserve"> for people with disability and their carers</w:t>
      </w:r>
      <w:r w:rsidR="004825CA" w:rsidRPr="00A95204">
        <w:rPr>
          <w:sz w:val="24"/>
          <w:szCs w:val="24"/>
        </w:rPr>
        <w:t xml:space="preserve">. </w:t>
      </w:r>
      <w:r w:rsidRPr="00A95204">
        <w:rPr>
          <w:sz w:val="24"/>
          <w:szCs w:val="24"/>
        </w:rPr>
        <w:t>P</w:t>
      </w:r>
      <w:r w:rsidR="004825CA" w:rsidRPr="00A95204">
        <w:rPr>
          <w:sz w:val="24"/>
          <w:szCs w:val="24"/>
        </w:rPr>
        <w:t>eople with disability</w:t>
      </w:r>
      <w:r w:rsidR="005D00C8" w:rsidRPr="00A95204">
        <w:rPr>
          <w:sz w:val="24"/>
          <w:szCs w:val="24"/>
        </w:rPr>
        <w:t xml:space="preserve"> </w:t>
      </w:r>
      <w:r w:rsidR="009A5632" w:rsidRPr="00A95204">
        <w:rPr>
          <w:sz w:val="24"/>
          <w:szCs w:val="24"/>
        </w:rPr>
        <w:t xml:space="preserve">earn higher incomes because they </w:t>
      </w:r>
      <w:r w:rsidRPr="00A95204">
        <w:rPr>
          <w:sz w:val="24"/>
          <w:szCs w:val="24"/>
        </w:rPr>
        <w:t>are</w:t>
      </w:r>
      <w:r w:rsidR="00983991" w:rsidRPr="00A95204">
        <w:rPr>
          <w:sz w:val="24"/>
          <w:szCs w:val="24"/>
        </w:rPr>
        <w:t xml:space="preserve"> twice as likely </w:t>
      </w:r>
      <w:r w:rsidR="005D00C8" w:rsidRPr="00A95204">
        <w:rPr>
          <w:sz w:val="24"/>
          <w:szCs w:val="24"/>
        </w:rPr>
        <w:t xml:space="preserve">to </w:t>
      </w:r>
      <w:r w:rsidR="00DC088C" w:rsidRPr="00A95204">
        <w:rPr>
          <w:sz w:val="24"/>
          <w:szCs w:val="24"/>
        </w:rPr>
        <w:t>work</w:t>
      </w:r>
      <w:r w:rsidR="00E97803" w:rsidRPr="00A95204">
        <w:rPr>
          <w:sz w:val="24"/>
          <w:szCs w:val="24"/>
        </w:rPr>
        <w:t xml:space="preserve"> in a paid job</w:t>
      </w:r>
      <w:r w:rsidRPr="00A95204">
        <w:rPr>
          <w:sz w:val="24"/>
          <w:szCs w:val="24"/>
        </w:rPr>
        <w:t xml:space="preserve">, and </w:t>
      </w:r>
      <w:r w:rsidR="00D03F10">
        <w:rPr>
          <w:sz w:val="24"/>
          <w:szCs w:val="24"/>
        </w:rPr>
        <w:t>three times</w:t>
      </w:r>
      <w:r w:rsidR="00C7310A" w:rsidRPr="00A95204">
        <w:rPr>
          <w:sz w:val="24"/>
          <w:szCs w:val="24"/>
        </w:rPr>
        <w:t xml:space="preserve"> as likely to </w:t>
      </w:r>
      <w:r w:rsidRPr="00A95204">
        <w:rPr>
          <w:sz w:val="24"/>
          <w:szCs w:val="24"/>
        </w:rPr>
        <w:t xml:space="preserve">work in open employment (where wages are </w:t>
      </w:r>
      <w:r w:rsidR="00364ADA" w:rsidRPr="00A95204">
        <w:rPr>
          <w:sz w:val="24"/>
          <w:szCs w:val="24"/>
        </w:rPr>
        <w:t xml:space="preserve">generally </w:t>
      </w:r>
      <w:r w:rsidR="00100264" w:rsidRPr="00A95204">
        <w:rPr>
          <w:sz w:val="24"/>
          <w:szCs w:val="24"/>
        </w:rPr>
        <w:t>triple those</w:t>
      </w:r>
      <w:r w:rsidRPr="00A95204">
        <w:rPr>
          <w:sz w:val="24"/>
          <w:szCs w:val="24"/>
        </w:rPr>
        <w:t xml:space="preserve"> in </w:t>
      </w:r>
      <w:r w:rsidR="0082698E" w:rsidRPr="00A95204">
        <w:rPr>
          <w:sz w:val="24"/>
          <w:szCs w:val="24"/>
        </w:rPr>
        <w:t>Australian Disability Enterprise</w:t>
      </w:r>
      <w:r w:rsidR="00A92594" w:rsidRPr="00A95204">
        <w:rPr>
          <w:sz w:val="24"/>
          <w:szCs w:val="24"/>
        </w:rPr>
        <w:t>s</w:t>
      </w:r>
      <w:r w:rsidR="00100264" w:rsidRPr="00A95204">
        <w:rPr>
          <w:sz w:val="24"/>
          <w:szCs w:val="24"/>
        </w:rPr>
        <w:t>)</w:t>
      </w:r>
      <w:r w:rsidRPr="00A95204">
        <w:rPr>
          <w:sz w:val="24"/>
          <w:szCs w:val="24"/>
        </w:rPr>
        <w:t xml:space="preserve">. </w:t>
      </w:r>
      <w:r w:rsidR="006E23E0" w:rsidRPr="00A95204">
        <w:rPr>
          <w:sz w:val="24"/>
          <w:szCs w:val="24"/>
        </w:rPr>
        <w:t xml:space="preserve">Similarly, </w:t>
      </w:r>
      <w:r w:rsidR="00693A74" w:rsidRPr="00A95204">
        <w:rPr>
          <w:sz w:val="24"/>
          <w:szCs w:val="24"/>
        </w:rPr>
        <w:t>carers</w:t>
      </w:r>
      <w:r w:rsidR="009A5632" w:rsidRPr="00A95204">
        <w:rPr>
          <w:sz w:val="24"/>
          <w:szCs w:val="24"/>
        </w:rPr>
        <w:t xml:space="preserve"> of Ticket to Work participants a</w:t>
      </w:r>
      <w:r w:rsidR="00D63088" w:rsidRPr="00A95204">
        <w:rPr>
          <w:sz w:val="24"/>
          <w:szCs w:val="24"/>
        </w:rPr>
        <w:t xml:space="preserve">re able to increase their work hours </w:t>
      </w:r>
      <w:r w:rsidR="00EE7514" w:rsidRPr="00A95204">
        <w:rPr>
          <w:sz w:val="24"/>
          <w:szCs w:val="24"/>
        </w:rPr>
        <w:t xml:space="preserve">when the person they care for is </w:t>
      </w:r>
      <w:r w:rsidR="009E53A4" w:rsidRPr="00A95204">
        <w:rPr>
          <w:sz w:val="24"/>
          <w:szCs w:val="24"/>
        </w:rPr>
        <w:t xml:space="preserve">at work. </w:t>
      </w:r>
    </w:p>
    <w:p w14:paraId="027E2D61" w14:textId="77777777" w:rsidR="00C7657A" w:rsidRPr="00A95204" w:rsidRDefault="00357EC3">
      <w:pPr>
        <w:rPr>
          <w:sz w:val="24"/>
          <w:szCs w:val="24"/>
        </w:rPr>
      </w:pPr>
      <w:r w:rsidRPr="00A95204">
        <w:rPr>
          <w:b/>
          <w:bCs/>
          <w:sz w:val="24"/>
          <w:szCs w:val="24"/>
        </w:rPr>
        <w:t>Long-term fiscal benefits</w:t>
      </w:r>
      <w:r w:rsidR="007F5454" w:rsidRPr="00A95204">
        <w:rPr>
          <w:b/>
          <w:bCs/>
          <w:sz w:val="24"/>
          <w:szCs w:val="24"/>
        </w:rPr>
        <w:t xml:space="preserve">: </w:t>
      </w:r>
      <w:r w:rsidR="00387182" w:rsidRPr="00A95204">
        <w:rPr>
          <w:sz w:val="24"/>
          <w:szCs w:val="24"/>
        </w:rPr>
        <w:t>Ticket to Work participants</w:t>
      </w:r>
      <w:r w:rsidR="00F73D61" w:rsidRPr="00A95204">
        <w:rPr>
          <w:sz w:val="24"/>
          <w:szCs w:val="24"/>
        </w:rPr>
        <w:t xml:space="preserve"> and their carers</w:t>
      </w:r>
      <w:r w:rsidR="00387182" w:rsidRPr="00A95204">
        <w:rPr>
          <w:sz w:val="24"/>
          <w:szCs w:val="24"/>
        </w:rPr>
        <w:t xml:space="preserve"> </w:t>
      </w:r>
      <w:r w:rsidR="00084203" w:rsidRPr="00A95204">
        <w:rPr>
          <w:sz w:val="24"/>
          <w:szCs w:val="24"/>
        </w:rPr>
        <w:t>earn higher wages</w:t>
      </w:r>
      <w:r w:rsidR="00234419" w:rsidRPr="00A95204">
        <w:rPr>
          <w:sz w:val="24"/>
          <w:szCs w:val="24"/>
        </w:rPr>
        <w:t>, so</w:t>
      </w:r>
      <w:r w:rsidR="00F73D61" w:rsidRPr="00A95204">
        <w:rPr>
          <w:sz w:val="24"/>
          <w:szCs w:val="24"/>
        </w:rPr>
        <w:t xml:space="preserve"> government collects more in income tax revenue, and pays less in </w:t>
      </w:r>
      <w:r w:rsidR="00F73D61" w:rsidRPr="00A95204">
        <w:rPr>
          <w:sz w:val="24"/>
          <w:szCs w:val="24"/>
        </w:rPr>
        <w:lastRenderedPageBreak/>
        <w:t>Disability Support Pension and Youth Allowance.</w:t>
      </w:r>
      <w:r w:rsidR="008C2934" w:rsidRPr="00A95204">
        <w:rPr>
          <w:sz w:val="24"/>
          <w:szCs w:val="24"/>
        </w:rPr>
        <w:t xml:space="preserve"> </w:t>
      </w:r>
      <w:r w:rsidR="00BD00F4" w:rsidRPr="00A95204">
        <w:rPr>
          <w:sz w:val="24"/>
          <w:szCs w:val="24"/>
        </w:rPr>
        <w:t>F</w:t>
      </w:r>
      <w:r w:rsidR="008C2934" w:rsidRPr="00A95204">
        <w:rPr>
          <w:sz w:val="24"/>
          <w:szCs w:val="24"/>
        </w:rPr>
        <w:t xml:space="preserve">ewer Ticket to Work </w:t>
      </w:r>
      <w:r w:rsidR="001B0762" w:rsidRPr="00A95204">
        <w:rPr>
          <w:sz w:val="24"/>
          <w:szCs w:val="24"/>
        </w:rPr>
        <w:t xml:space="preserve">participants work in supported employment at an Australian Disability Enterprise, </w:t>
      </w:r>
      <w:r w:rsidR="00BD00F4" w:rsidRPr="00A95204">
        <w:rPr>
          <w:sz w:val="24"/>
          <w:szCs w:val="24"/>
        </w:rPr>
        <w:t>reducing</w:t>
      </w:r>
      <w:r w:rsidR="00307FCC" w:rsidRPr="00A95204">
        <w:rPr>
          <w:sz w:val="24"/>
          <w:szCs w:val="24"/>
        </w:rPr>
        <w:t xml:space="preserve"> </w:t>
      </w:r>
      <w:r w:rsidR="003331AF" w:rsidRPr="00A95204">
        <w:rPr>
          <w:sz w:val="24"/>
          <w:szCs w:val="24"/>
        </w:rPr>
        <w:t>Disability Employment Assistance grants.</w:t>
      </w:r>
      <w:r w:rsidR="00DC628E" w:rsidRPr="00A95204">
        <w:rPr>
          <w:sz w:val="24"/>
          <w:szCs w:val="24"/>
        </w:rPr>
        <w:t xml:space="preserve"> T</w:t>
      </w:r>
      <w:r w:rsidR="00F51FD7" w:rsidRPr="00A95204">
        <w:rPr>
          <w:sz w:val="24"/>
          <w:szCs w:val="24"/>
        </w:rPr>
        <w:t xml:space="preserve">his saving is offset by increased expenditure on Disability Employment Support, as those </w:t>
      </w:r>
      <w:r w:rsidR="007F0A5A" w:rsidRPr="00A95204">
        <w:rPr>
          <w:sz w:val="24"/>
          <w:szCs w:val="24"/>
        </w:rPr>
        <w:t xml:space="preserve">people who would otherwise </w:t>
      </w:r>
      <w:r w:rsidR="00E66CCC" w:rsidRPr="00A95204">
        <w:rPr>
          <w:sz w:val="24"/>
          <w:szCs w:val="24"/>
        </w:rPr>
        <w:t xml:space="preserve">be out of the workforce or working in an Australian Disability Enterprise </w:t>
      </w:r>
      <w:r w:rsidR="00260159" w:rsidRPr="00A95204">
        <w:rPr>
          <w:sz w:val="24"/>
          <w:szCs w:val="24"/>
        </w:rPr>
        <w:t>are supported to find and keep jobs in the open</w:t>
      </w:r>
      <w:r w:rsidR="00A92594" w:rsidRPr="00A95204">
        <w:rPr>
          <w:sz w:val="24"/>
          <w:szCs w:val="24"/>
        </w:rPr>
        <w:t xml:space="preserve"> job</w:t>
      </w:r>
      <w:r w:rsidR="00260159" w:rsidRPr="00A95204">
        <w:rPr>
          <w:sz w:val="24"/>
          <w:szCs w:val="24"/>
        </w:rPr>
        <w:t xml:space="preserve"> market. </w:t>
      </w:r>
      <w:r w:rsidR="00B0117E" w:rsidRPr="00A95204">
        <w:rPr>
          <w:sz w:val="24"/>
          <w:szCs w:val="24"/>
        </w:rPr>
        <w:t xml:space="preserve">There </w:t>
      </w:r>
      <w:r w:rsidR="001F6E63" w:rsidRPr="00A95204">
        <w:rPr>
          <w:sz w:val="24"/>
          <w:szCs w:val="24"/>
        </w:rPr>
        <w:t xml:space="preserve">may also be </w:t>
      </w:r>
      <w:r w:rsidR="00B0117E" w:rsidRPr="00A95204">
        <w:rPr>
          <w:sz w:val="24"/>
          <w:szCs w:val="24"/>
        </w:rPr>
        <w:t xml:space="preserve">reductions in NDIS support to </w:t>
      </w:r>
      <w:r w:rsidR="005F445E" w:rsidRPr="00A95204">
        <w:rPr>
          <w:sz w:val="24"/>
          <w:szCs w:val="24"/>
        </w:rPr>
        <w:t>participants</w:t>
      </w:r>
      <w:r w:rsidR="00D74786" w:rsidRPr="00A95204">
        <w:rPr>
          <w:sz w:val="24"/>
          <w:szCs w:val="24"/>
        </w:rPr>
        <w:t xml:space="preserve"> if they </w:t>
      </w:r>
      <w:r w:rsidR="00BF3B28" w:rsidRPr="00A95204">
        <w:rPr>
          <w:sz w:val="24"/>
          <w:szCs w:val="24"/>
        </w:rPr>
        <w:t>require</w:t>
      </w:r>
      <w:r w:rsidR="00F72231" w:rsidRPr="00A95204">
        <w:rPr>
          <w:sz w:val="24"/>
          <w:szCs w:val="24"/>
        </w:rPr>
        <w:t xml:space="preserve"> </w:t>
      </w:r>
      <w:r w:rsidR="00D74786" w:rsidRPr="00A95204">
        <w:rPr>
          <w:sz w:val="24"/>
          <w:szCs w:val="24"/>
        </w:rPr>
        <w:t xml:space="preserve">fewer </w:t>
      </w:r>
      <w:r w:rsidR="00F72231" w:rsidRPr="00A95204">
        <w:rPr>
          <w:sz w:val="24"/>
          <w:szCs w:val="24"/>
        </w:rPr>
        <w:t>supports</w:t>
      </w:r>
      <w:r w:rsidR="00A92594" w:rsidRPr="00A95204">
        <w:rPr>
          <w:sz w:val="24"/>
          <w:szCs w:val="24"/>
        </w:rPr>
        <w:t xml:space="preserve"> to participate in social and community events as a result of higher levels of independence and community participation</w:t>
      </w:r>
      <w:r w:rsidR="00F72231" w:rsidRPr="00A95204">
        <w:rPr>
          <w:sz w:val="24"/>
          <w:szCs w:val="24"/>
        </w:rPr>
        <w:t xml:space="preserve">. </w:t>
      </w:r>
    </w:p>
    <w:p w14:paraId="3D9F8681" w14:textId="77777777" w:rsidR="000B74D8" w:rsidRPr="00A95204" w:rsidRDefault="00F31666">
      <w:pPr>
        <w:rPr>
          <w:sz w:val="24"/>
          <w:szCs w:val="24"/>
        </w:rPr>
      </w:pPr>
      <w:r w:rsidRPr="00A95204">
        <w:rPr>
          <w:sz w:val="24"/>
          <w:szCs w:val="24"/>
        </w:rPr>
        <w:t>This report has taken a conservative approach to estimating these costs and benefits</w:t>
      </w:r>
      <w:r w:rsidR="00E926DC" w:rsidRPr="00A95204">
        <w:rPr>
          <w:sz w:val="24"/>
          <w:szCs w:val="24"/>
        </w:rPr>
        <w:t xml:space="preserve"> throughout, </w:t>
      </w:r>
      <w:r w:rsidR="0086046F" w:rsidRPr="00A95204">
        <w:rPr>
          <w:sz w:val="24"/>
          <w:szCs w:val="24"/>
        </w:rPr>
        <w:t xml:space="preserve">to </w:t>
      </w:r>
      <w:r w:rsidR="001016E6" w:rsidRPr="00A95204">
        <w:rPr>
          <w:sz w:val="24"/>
          <w:szCs w:val="24"/>
        </w:rPr>
        <w:t>avoid overstating</w:t>
      </w:r>
      <w:r w:rsidR="00E926DC" w:rsidRPr="00A95204">
        <w:rPr>
          <w:sz w:val="24"/>
          <w:szCs w:val="24"/>
        </w:rPr>
        <w:t xml:space="preserve"> the benefits of the</w:t>
      </w:r>
      <w:r w:rsidR="00DC703A" w:rsidRPr="00A95204">
        <w:rPr>
          <w:sz w:val="24"/>
          <w:szCs w:val="24"/>
        </w:rPr>
        <w:t xml:space="preserve"> Ticket to Work</w:t>
      </w:r>
      <w:r w:rsidR="00E926DC" w:rsidRPr="00A95204">
        <w:rPr>
          <w:sz w:val="24"/>
          <w:szCs w:val="24"/>
        </w:rPr>
        <w:t xml:space="preserve"> </w:t>
      </w:r>
      <w:r w:rsidR="00BC2C6E" w:rsidRPr="00A95204">
        <w:rPr>
          <w:sz w:val="24"/>
          <w:szCs w:val="24"/>
        </w:rPr>
        <w:t>m</w:t>
      </w:r>
      <w:r w:rsidR="00DC703A" w:rsidRPr="00A95204">
        <w:rPr>
          <w:sz w:val="24"/>
          <w:szCs w:val="24"/>
        </w:rPr>
        <w:t>odel</w:t>
      </w:r>
      <w:r w:rsidR="00E926DC" w:rsidRPr="00A95204">
        <w:rPr>
          <w:sz w:val="24"/>
          <w:szCs w:val="24"/>
        </w:rPr>
        <w:t xml:space="preserve">. </w:t>
      </w:r>
      <w:r w:rsidR="00641753" w:rsidRPr="00A95204">
        <w:rPr>
          <w:sz w:val="24"/>
          <w:szCs w:val="24"/>
        </w:rPr>
        <w:t>In line with its conservative approach, it does not seek to value the non-financial impacts, such as increases in wellbeing</w:t>
      </w:r>
      <w:r w:rsidR="00166B94" w:rsidRPr="00A95204">
        <w:rPr>
          <w:sz w:val="24"/>
          <w:szCs w:val="24"/>
        </w:rPr>
        <w:t>, though we note that these effects are likely to be substantial</w:t>
      </w:r>
      <w:r w:rsidR="00641753" w:rsidRPr="00A95204">
        <w:rPr>
          <w:sz w:val="24"/>
          <w:szCs w:val="24"/>
        </w:rPr>
        <w:t>.</w:t>
      </w:r>
      <w:r w:rsidR="00732C0F" w:rsidRPr="00A95204">
        <w:rPr>
          <w:sz w:val="24"/>
          <w:szCs w:val="24"/>
        </w:rPr>
        <w:t xml:space="preserve"> </w:t>
      </w:r>
      <w:r w:rsidR="00FC0BBF" w:rsidRPr="00A95204">
        <w:rPr>
          <w:sz w:val="24"/>
          <w:szCs w:val="24"/>
        </w:rPr>
        <w:t>However, t</w:t>
      </w:r>
      <w:r w:rsidR="00EE64D8" w:rsidRPr="00A95204">
        <w:rPr>
          <w:sz w:val="24"/>
          <w:szCs w:val="24"/>
        </w:rPr>
        <w:t xml:space="preserve">he estimated values </w:t>
      </w:r>
      <w:r w:rsidR="002B1CA5" w:rsidRPr="00A95204">
        <w:rPr>
          <w:sz w:val="24"/>
          <w:szCs w:val="24"/>
        </w:rPr>
        <w:t>rely</w:t>
      </w:r>
      <w:r w:rsidR="00EE64D8" w:rsidRPr="00A95204">
        <w:rPr>
          <w:sz w:val="24"/>
          <w:szCs w:val="24"/>
        </w:rPr>
        <w:t xml:space="preserve"> on data from a survey of 57 program participants</w:t>
      </w:r>
      <w:r w:rsidR="002B1CA5" w:rsidRPr="00A95204">
        <w:rPr>
          <w:sz w:val="24"/>
          <w:szCs w:val="24"/>
        </w:rPr>
        <w:t xml:space="preserve"> and a range of assumptions that are outlined in detail through this report.</w:t>
      </w:r>
      <w:r w:rsidR="00FC0BBF" w:rsidRPr="00A95204">
        <w:rPr>
          <w:sz w:val="24"/>
          <w:szCs w:val="24"/>
        </w:rPr>
        <w:t xml:space="preserve"> </w:t>
      </w:r>
      <w:r w:rsidR="001029BB" w:rsidRPr="00A95204">
        <w:rPr>
          <w:sz w:val="24"/>
          <w:szCs w:val="24"/>
        </w:rPr>
        <w:t xml:space="preserve">This data represents a snapshot of the outcomes for these respondents at one point in time. </w:t>
      </w:r>
      <w:r w:rsidR="0060502F" w:rsidRPr="00A95204">
        <w:rPr>
          <w:sz w:val="24"/>
          <w:szCs w:val="24"/>
        </w:rPr>
        <w:t xml:space="preserve">Given the long-term impact of many of the changes identified in this report, more data collected over a longer time period would improve the accuracy of these estimates. </w:t>
      </w:r>
    </w:p>
    <w:p w14:paraId="2BF7D969" w14:textId="77777777" w:rsidR="000B74D8" w:rsidRDefault="000B74D8">
      <w:r>
        <w:br w:type="page"/>
      </w:r>
    </w:p>
    <w:p w14:paraId="5E5C53C1" w14:textId="77777777" w:rsidR="00974A34" w:rsidRDefault="00974A34"/>
    <w:sdt>
      <w:sdtPr>
        <w:rPr>
          <w:rFonts w:ascii="Arial" w:eastAsiaTheme="minorHAnsi" w:hAnsi="Arial" w:cstheme="minorBidi"/>
          <w:color w:val="auto"/>
          <w:sz w:val="20"/>
          <w:szCs w:val="22"/>
          <w:lang w:val="en-AU"/>
        </w:rPr>
        <w:id w:val="-1014380540"/>
        <w:docPartObj>
          <w:docPartGallery w:val="Table of Contents"/>
          <w:docPartUnique/>
        </w:docPartObj>
      </w:sdtPr>
      <w:sdtEndPr>
        <w:rPr>
          <w:b/>
          <w:bCs/>
          <w:noProof/>
        </w:rPr>
      </w:sdtEndPr>
      <w:sdtContent>
        <w:p w14:paraId="1705FF50" w14:textId="77777777" w:rsidR="004016C2" w:rsidRPr="00A95204" w:rsidRDefault="004016C2">
          <w:pPr>
            <w:pStyle w:val="TOCHeading"/>
            <w:rPr>
              <w:rStyle w:val="Heading3Char"/>
              <w:color w:val="auto"/>
            </w:rPr>
          </w:pPr>
          <w:r w:rsidRPr="00A95204">
            <w:rPr>
              <w:rStyle w:val="Heading3Char"/>
              <w:color w:val="auto"/>
            </w:rPr>
            <w:t>Contents</w:t>
          </w:r>
        </w:p>
        <w:p w14:paraId="5C205EA0" w14:textId="77777777" w:rsidR="00526080" w:rsidRPr="00A95204" w:rsidRDefault="004016C2" w:rsidP="00526080">
          <w:pPr>
            <w:pStyle w:val="TOC1"/>
            <w:tabs>
              <w:tab w:val="right" w:leader="dot" w:pos="9016"/>
            </w:tabs>
            <w:rPr>
              <w:rFonts w:asciiTheme="minorHAnsi" w:eastAsiaTheme="minorEastAsia" w:hAnsiTheme="minorHAnsi"/>
              <w:noProof/>
              <w:sz w:val="24"/>
              <w:szCs w:val="24"/>
              <w:lang w:eastAsia="en-AU"/>
            </w:rPr>
          </w:pPr>
          <w:r>
            <w:fldChar w:fldCharType="begin"/>
          </w:r>
          <w:r>
            <w:instrText xml:space="preserve"> TOC \o "1-3" \h \z \u </w:instrText>
          </w:r>
          <w:r>
            <w:fldChar w:fldCharType="separate"/>
          </w:r>
        </w:p>
        <w:p w14:paraId="60DB13AA" w14:textId="77777777" w:rsidR="00526080" w:rsidRPr="00A95204" w:rsidRDefault="00176E6A">
          <w:pPr>
            <w:pStyle w:val="TOC3"/>
            <w:tabs>
              <w:tab w:val="left" w:pos="880"/>
              <w:tab w:val="right" w:leader="dot" w:pos="9016"/>
            </w:tabs>
            <w:rPr>
              <w:rFonts w:asciiTheme="minorHAnsi" w:eastAsiaTheme="minorEastAsia" w:hAnsiTheme="minorHAnsi"/>
              <w:noProof/>
              <w:sz w:val="24"/>
              <w:szCs w:val="24"/>
              <w:lang w:eastAsia="en-AU"/>
            </w:rPr>
          </w:pPr>
          <w:hyperlink w:anchor="_Toc20652505" w:history="1">
            <w:r w:rsidR="00526080" w:rsidRPr="00A95204">
              <w:rPr>
                <w:rStyle w:val="Hyperlink"/>
                <w:noProof/>
                <w:sz w:val="24"/>
                <w:szCs w:val="24"/>
              </w:rPr>
              <w:t>1.</w:t>
            </w:r>
            <w:r w:rsidR="00526080" w:rsidRPr="00A95204">
              <w:rPr>
                <w:rFonts w:asciiTheme="minorHAnsi" w:eastAsiaTheme="minorEastAsia" w:hAnsiTheme="minorHAnsi"/>
                <w:noProof/>
                <w:sz w:val="24"/>
                <w:szCs w:val="24"/>
                <w:lang w:eastAsia="en-AU"/>
              </w:rPr>
              <w:tab/>
            </w:r>
            <w:r w:rsidR="00526080" w:rsidRPr="00A95204">
              <w:rPr>
                <w:rStyle w:val="Hyperlink"/>
                <w:noProof/>
                <w:sz w:val="24"/>
                <w:szCs w:val="24"/>
              </w:rPr>
              <w:t>Executive summary</w:t>
            </w:r>
            <w:r w:rsidR="00526080" w:rsidRPr="00A95204">
              <w:rPr>
                <w:noProof/>
                <w:webHidden/>
                <w:sz w:val="24"/>
                <w:szCs w:val="24"/>
              </w:rPr>
              <w:tab/>
            </w:r>
            <w:r w:rsidR="00526080" w:rsidRPr="00A95204">
              <w:rPr>
                <w:noProof/>
                <w:webHidden/>
                <w:sz w:val="24"/>
                <w:szCs w:val="24"/>
              </w:rPr>
              <w:fldChar w:fldCharType="begin"/>
            </w:r>
            <w:r w:rsidR="00526080" w:rsidRPr="00A95204">
              <w:rPr>
                <w:noProof/>
                <w:webHidden/>
                <w:sz w:val="24"/>
                <w:szCs w:val="24"/>
              </w:rPr>
              <w:instrText xml:space="preserve"> PAGEREF _Toc20652505 \h </w:instrText>
            </w:r>
            <w:r w:rsidR="00526080" w:rsidRPr="00A95204">
              <w:rPr>
                <w:noProof/>
                <w:webHidden/>
                <w:sz w:val="24"/>
                <w:szCs w:val="24"/>
              </w:rPr>
            </w:r>
            <w:r w:rsidR="00526080" w:rsidRPr="00A95204">
              <w:rPr>
                <w:noProof/>
                <w:webHidden/>
                <w:sz w:val="24"/>
                <w:szCs w:val="24"/>
              </w:rPr>
              <w:fldChar w:fldCharType="separate"/>
            </w:r>
            <w:r w:rsidR="00FF2C03" w:rsidRPr="00A95204">
              <w:rPr>
                <w:noProof/>
                <w:webHidden/>
                <w:sz w:val="24"/>
                <w:szCs w:val="24"/>
              </w:rPr>
              <w:t>1</w:t>
            </w:r>
            <w:r w:rsidR="00526080" w:rsidRPr="00A95204">
              <w:rPr>
                <w:noProof/>
                <w:webHidden/>
                <w:sz w:val="24"/>
                <w:szCs w:val="24"/>
              </w:rPr>
              <w:fldChar w:fldCharType="end"/>
            </w:r>
          </w:hyperlink>
        </w:p>
        <w:p w14:paraId="4F8E3E0B" w14:textId="77777777" w:rsidR="00526080" w:rsidRPr="00A95204" w:rsidRDefault="00176E6A">
          <w:pPr>
            <w:pStyle w:val="TOC3"/>
            <w:tabs>
              <w:tab w:val="left" w:pos="880"/>
              <w:tab w:val="right" w:leader="dot" w:pos="9016"/>
            </w:tabs>
            <w:rPr>
              <w:rFonts w:asciiTheme="minorHAnsi" w:eastAsiaTheme="minorEastAsia" w:hAnsiTheme="minorHAnsi"/>
              <w:noProof/>
              <w:sz w:val="24"/>
              <w:szCs w:val="24"/>
              <w:lang w:eastAsia="en-AU"/>
            </w:rPr>
          </w:pPr>
          <w:hyperlink w:anchor="_Toc20652506" w:history="1">
            <w:r w:rsidR="00526080" w:rsidRPr="00A95204">
              <w:rPr>
                <w:rStyle w:val="Hyperlink"/>
                <w:noProof/>
                <w:sz w:val="24"/>
                <w:szCs w:val="24"/>
              </w:rPr>
              <w:t>2.</w:t>
            </w:r>
            <w:r w:rsidR="00526080" w:rsidRPr="00A95204">
              <w:rPr>
                <w:rFonts w:asciiTheme="minorHAnsi" w:eastAsiaTheme="minorEastAsia" w:hAnsiTheme="minorHAnsi"/>
                <w:noProof/>
                <w:sz w:val="24"/>
                <w:szCs w:val="24"/>
                <w:lang w:eastAsia="en-AU"/>
              </w:rPr>
              <w:tab/>
            </w:r>
            <w:r w:rsidR="00526080" w:rsidRPr="00A95204">
              <w:rPr>
                <w:rStyle w:val="Hyperlink"/>
                <w:noProof/>
                <w:sz w:val="24"/>
                <w:szCs w:val="24"/>
              </w:rPr>
              <w:t>Definitions and Abbreviations</w:t>
            </w:r>
            <w:r w:rsidR="00526080" w:rsidRPr="00A95204">
              <w:rPr>
                <w:noProof/>
                <w:webHidden/>
                <w:sz w:val="24"/>
                <w:szCs w:val="24"/>
              </w:rPr>
              <w:tab/>
            </w:r>
            <w:r w:rsidR="00526080" w:rsidRPr="00A95204">
              <w:rPr>
                <w:noProof/>
                <w:webHidden/>
                <w:sz w:val="24"/>
                <w:szCs w:val="24"/>
              </w:rPr>
              <w:fldChar w:fldCharType="begin"/>
            </w:r>
            <w:r w:rsidR="00526080" w:rsidRPr="00A95204">
              <w:rPr>
                <w:noProof/>
                <w:webHidden/>
                <w:sz w:val="24"/>
                <w:szCs w:val="24"/>
              </w:rPr>
              <w:instrText xml:space="preserve"> PAGEREF _Toc20652506 \h </w:instrText>
            </w:r>
            <w:r w:rsidR="00526080" w:rsidRPr="00A95204">
              <w:rPr>
                <w:noProof/>
                <w:webHidden/>
                <w:sz w:val="24"/>
                <w:szCs w:val="24"/>
              </w:rPr>
            </w:r>
            <w:r w:rsidR="00526080" w:rsidRPr="00A95204">
              <w:rPr>
                <w:noProof/>
                <w:webHidden/>
                <w:sz w:val="24"/>
                <w:szCs w:val="24"/>
              </w:rPr>
              <w:fldChar w:fldCharType="separate"/>
            </w:r>
            <w:r w:rsidR="00FF2C03" w:rsidRPr="00A95204">
              <w:rPr>
                <w:noProof/>
                <w:webHidden/>
                <w:sz w:val="24"/>
                <w:szCs w:val="24"/>
              </w:rPr>
              <w:t>3</w:t>
            </w:r>
            <w:r w:rsidR="00526080" w:rsidRPr="00A95204">
              <w:rPr>
                <w:noProof/>
                <w:webHidden/>
                <w:sz w:val="24"/>
                <w:szCs w:val="24"/>
              </w:rPr>
              <w:fldChar w:fldCharType="end"/>
            </w:r>
          </w:hyperlink>
        </w:p>
        <w:p w14:paraId="1EEF0B4F" w14:textId="77777777" w:rsidR="00526080" w:rsidRPr="00A95204" w:rsidRDefault="00176E6A">
          <w:pPr>
            <w:pStyle w:val="TOC3"/>
            <w:tabs>
              <w:tab w:val="left" w:pos="880"/>
              <w:tab w:val="right" w:leader="dot" w:pos="9016"/>
            </w:tabs>
            <w:rPr>
              <w:rFonts w:asciiTheme="minorHAnsi" w:eastAsiaTheme="minorEastAsia" w:hAnsiTheme="minorHAnsi"/>
              <w:noProof/>
              <w:sz w:val="24"/>
              <w:szCs w:val="24"/>
              <w:lang w:eastAsia="en-AU"/>
            </w:rPr>
          </w:pPr>
          <w:hyperlink w:anchor="_Toc20652507" w:history="1">
            <w:r w:rsidR="00526080" w:rsidRPr="00A95204">
              <w:rPr>
                <w:rStyle w:val="Hyperlink"/>
                <w:noProof/>
                <w:sz w:val="24"/>
                <w:szCs w:val="24"/>
              </w:rPr>
              <w:t>3.</w:t>
            </w:r>
            <w:r w:rsidR="00526080" w:rsidRPr="00A95204">
              <w:rPr>
                <w:rFonts w:asciiTheme="minorHAnsi" w:eastAsiaTheme="minorEastAsia" w:hAnsiTheme="minorHAnsi"/>
                <w:noProof/>
                <w:sz w:val="24"/>
                <w:szCs w:val="24"/>
                <w:lang w:eastAsia="en-AU"/>
              </w:rPr>
              <w:tab/>
            </w:r>
            <w:r w:rsidR="00526080" w:rsidRPr="00A95204">
              <w:rPr>
                <w:rStyle w:val="Hyperlink"/>
                <w:noProof/>
                <w:sz w:val="24"/>
                <w:szCs w:val="24"/>
              </w:rPr>
              <w:t>Overview of Ticket to Work</w:t>
            </w:r>
            <w:r w:rsidR="00526080" w:rsidRPr="00A95204">
              <w:rPr>
                <w:noProof/>
                <w:webHidden/>
                <w:sz w:val="24"/>
                <w:szCs w:val="24"/>
              </w:rPr>
              <w:tab/>
            </w:r>
            <w:r w:rsidR="00526080" w:rsidRPr="00A95204">
              <w:rPr>
                <w:noProof/>
                <w:webHidden/>
                <w:sz w:val="24"/>
                <w:szCs w:val="24"/>
              </w:rPr>
              <w:fldChar w:fldCharType="begin"/>
            </w:r>
            <w:r w:rsidR="00526080" w:rsidRPr="00A95204">
              <w:rPr>
                <w:noProof/>
                <w:webHidden/>
                <w:sz w:val="24"/>
                <w:szCs w:val="24"/>
              </w:rPr>
              <w:instrText xml:space="preserve"> PAGEREF _Toc20652507 \h </w:instrText>
            </w:r>
            <w:r w:rsidR="00526080" w:rsidRPr="00A95204">
              <w:rPr>
                <w:noProof/>
                <w:webHidden/>
                <w:sz w:val="24"/>
                <w:szCs w:val="24"/>
              </w:rPr>
            </w:r>
            <w:r w:rsidR="00526080" w:rsidRPr="00A95204">
              <w:rPr>
                <w:noProof/>
                <w:webHidden/>
                <w:sz w:val="24"/>
                <w:szCs w:val="24"/>
              </w:rPr>
              <w:fldChar w:fldCharType="separate"/>
            </w:r>
            <w:r w:rsidR="00FF2C03" w:rsidRPr="00A95204">
              <w:rPr>
                <w:noProof/>
                <w:webHidden/>
                <w:sz w:val="24"/>
                <w:szCs w:val="24"/>
              </w:rPr>
              <w:t>4</w:t>
            </w:r>
            <w:r w:rsidR="00526080" w:rsidRPr="00A95204">
              <w:rPr>
                <w:noProof/>
                <w:webHidden/>
                <w:sz w:val="24"/>
                <w:szCs w:val="24"/>
              </w:rPr>
              <w:fldChar w:fldCharType="end"/>
            </w:r>
          </w:hyperlink>
        </w:p>
        <w:p w14:paraId="53918AF9" w14:textId="77777777" w:rsidR="00526080" w:rsidRPr="00A95204" w:rsidRDefault="00176E6A">
          <w:pPr>
            <w:pStyle w:val="TOC3"/>
            <w:tabs>
              <w:tab w:val="left" w:pos="880"/>
              <w:tab w:val="right" w:leader="dot" w:pos="9016"/>
            </w:tabs>
            <w:rPr>
              <w:rFonts w:asciiTheme="minorHAnsi" w:eastAsiaTheme="minorEastAsia" w:hAnsiTheme="minorHAnsi"/>
              <w:noProof/>
              <w:sz w:val="24"/>
              <w:szCs w:val="24"/>
              <w:lang w:eastAsia="en-AU"/>
            </w:rPr>
          </w:pPr>
          <w:hyperlink w:anchor="_Toc20652508" w:history="1">
            <w:r w:rsidR="00526080" w:rsidRPr="00A95204">
              <w:rPr>
                <w:rStyle w:val="Hyperlink"/>
                <w:noProof/>
                <w:sz w:val="24"/>
                <w:szCs w:val="24"/>
              </w:rPr>
              <w:t>4.</w:t>
            </w:r>
            <w:r w:rsidR="00526080" w:rsidRPr="00A95204">
              <w:rPr>
                <w:rFonts w:asciiTheme="minorHAnsi" w:eastAsiaTheme="minorEastAsia" w:hAnsiTheme="minorHAnsi"/>
                <w:noProof/>
                <w:sz w:val="24"/>
                <w:szCs w:val="24"/>
                <w:lang w:eastAsia="en-AU"/>
              </w:rPr>
              <w:tab/>
            </w:r>
            <w:r w:rsidR="00526080" w:rsidRPr="00A95204">
              <w:rPr>
                <w:rStyle w:val="Hyperlink"/>
                <w:noProof/>
                <w:sz w:val="24"/>
                <w:szCs w:val="24"/>
              </w:rPr>
              <w:t>Methodology</w:t>
            </w:r>
            <w:r w:rsidR="00526080" w:rsidRPr="00A95204">
              <w:rPr>
                <w:noProof/>
                <w:webHidden/>
                <w:sz w:val="24"/>
                <w:szCs w:val="24"/>
              </w:rPr>
              <w:tab/>
            </w:r>
            <w:r w:rsidR="00526080" w:rsidRPr="00A95204">
              <w:rPr>
                <w:noProof/>
                <w:webHidden/>
                <w:sz w:val="24"/>
                <w:szCs w:val="24"/>
              </w:rPr>
              <w:fldChar w:fldCharType="begin"/>
            </w:r>
            <w:r w:rsidR="00526080" w:rsidRPr="00A95204">
              <w:rPr>
                <w:noProof/>
                <w:webHidden/>
                <w:sz w:val="24"/>
                <w:szCs w:val="24"/>
              </w:rPr>
              <w:instrText xml:space="preserve"> PAGEREF _Toc20652508 \h </w:instrText>
            </w:r>
            <w:r w:rsidR="00526080" w:rsidRPr="00A95204">
              <w:rPr>
                <w:noProof/>
                <w:webHidden/>
                <w:sz w:val="24"/>
                <w:szCs w:val="24"/>
              </w:rPr>
            </w:r>
            <w:r w:rsidR="00526080" w:rsidRPr="00A95204">
              <w:rPr>
                <w:noProof/>
                <w:webHidden/>
                <w:sz w:val="24"/>
                <w:szCs w:val="24"/>
              </w:rPr>
              <w:fldChar w:fldCharType="separate"/>
            </w:r>
            <w:r w:rsidR="00FF2C03" w:rsidRPr="00A95204">
              <w:rPr>
                <w:noProof/>
                <w:webHidden/>
                <w:sz w:val="24"/>
                <w:szCs w:val="24"/>
              </w:rPr>
              <w:t>7</w:t>
            </w:r>
            <w:r w:rsidR="00526080" w:rsidRPr="00A95204">
              <w:rPr>
                <w:noProof/>
                <w:webHidden/>
                <w:sz w:val="24"/>
                <w:szCs w:val="24"/>
              </w:rPr>
              <w:fldChar w:fldCharType="end"/>
            </w:r>
          </w:hyperlink>
        </w:p>
        <w:p w14:paraId="118D51EB" w14:textId="77777777" w:rsidR="00526080" w:rsidRPr="00A95204" w:rsidRDefault="00176E6A">
          <w:pPr>
            <w:pStyle w:val="TOC3"/>
            <w:tabs>
              <w:tab w:val="left" w:pos="880"/>
              <w:tab w:val="right" w:leader="dot" w:pos="9016"/>
            </w:tabs>
            <w:rPr>
              <w:rFonts w:asciiTheme="minorHAnsi" w:eastAsiaTheme="minorEastAsia" w:hAnsiTheme="minorHAnsi"/>
              <w:noProof/>
              <w:sz w:val="24"/>
              <w:szCs w:val="24"/>
              <w:lang w:eastAsia="en-AU"/>
            </w:rPr>
          </w:pPr>
          <w:hyperlink w:anchor="_Toc20652509" w:history="1">
            <w:r w:rsidR="00526080" w:rsidRPr="00A95204">
              <w:rPr>
                <w:rStyle w:val="Hyperlink"/>
                <w:noProof/>
                <w:sz w:val="24"/>
                <w:szCs w:val="24"/>
              </w:rPr>
              <w:t>5.</w:t>
            </w:r>
            <w:r w:rsidR="00526080" w:rsidRPr="00A95204">
              <w:rPr>
                <w:rFonts w:asciiTheme="minorHAnsi" w:eastAsiaTheme="minorEastAsia" w:hAnsiTheme="minorHAnsi"/>
                <w:noProof/>
                <w:sz w:val="24"/>
                <w:szCs w:val="24"/>
                <w:lang w:eastAsia="en-AU"/>
              </w:rPr>
              <w:tab/>
            </w:r>
            <w:r w:rsidR="00526080" w:rsidRPr="00A95204">
              <w:rPr>
                <w:rStyle w:val="Hyperlink"/>
                <w:noProof/>
                <w:sz w:val="24"/>
                <w:szCs w:val="24"/>
              </w:rPr>
              <w:t>Summary of outcome valuations</w:t>
            </w:r>
            <w:r w:rsidR="00526080" w:rsidRPr="00A95204">
              <w:rPr>
                <w:noProof/>
                <w:webHidden/>
                <w:sz w:val="24"/>
                <w:szCs w:val="24"/>
              </w:rPr>
              <w:tab/>
            </w:r>
            <w:r w:rsidR="00526080" w:rsidRPr="00A95204">
              <w:rPr>
                <w:noProof/>
                <w:webHidden/>
                <w:sz w:val="24"/>
                <w:szCs w:val="24"/>
              </w:rPr>
              <w:fldChar w:fldCharType="begin"/>
            </w:r>
            <w:r w:rsidR="00526080" w:rsidRPr="00A95204">
              <w:rPr>
                <w:noProof/>
                <w:webHidden/>
                <w:sz w:val="24"/>
                <w:szCs w:val="24"/>
              </w:rPr>
              <w:instrText xml:space="preserve"> PAGEREF _Toc20652509 \h </w:instrText>
            </w:r>
            <w:r w:rsidR="00526080" w:rsidRPr="00A95204">
              <w:rPr>
                <w:noProof/>
                <w:webHidden/>
                <w:sz w:val="24"/>
                <w:szCs w:val="24"/>
              </w:rPr>
            </w:r>
            <w:r w:rsidR="00526080" w:rsidRPr="00A95204">
              <w:rPr>
                <w:noProof/>
                <w:webHidden/>
                <w:sz w:val="24"/>
                <w:szCs w:val="24"/>
              </w:rPr>
              <w:fldChar w:fldCharType="separate"/>
            </w:r>
            <w:r w:rsidR="00FF2C03" w:rsidRPr="00A95204">
              <w:rPr>
                <w:noProof/>
                <w:webHidden/>
                <w:sz w:val="24"/>
                <w:szCs w:val="24"/>
              </w:rPr>
              <w:t>13</w:t>
            </w:r>
            <w:r w:rsidR="00526080" w:rsidRPr="00A95204">
              <w:rPr>
                <w:noProof/>
                <w:webHidden/>
                <w:sz w:val="24"/>
                <w:szCs w:val="24"/>
              </w:rPr>
              <w:fldChar w:fldCharType="end"/>
            </w:r>
          </w:hyperlink>
        </w:p>
        <w:p w14:paraId="758C6794" w14:textId="77777777" w:rsidR="00526080" w:rsidRPr="00A95204" w:rsidRDefault="00176E6A">
          <w:pPr>
            <w:pStyle w:val="TOC3"/>
            <w:tabs>
              <w:tab w:val="left" w:pos="880"/>
              <w:tab w:val="right" w:leader="dot" w:pos="9016"/>
            </w:tabs>
            <w:rPr>
              <w:rFonts w:asciiTheme="minorHAnsi" w:eastAsiaTheme="minorEastAsia" w:hAnsiTheme="minorHAnsi"/>
              <w:noProof/>
              <w:sz w:val="24"/>
              <w:szCs w:val="24"/>
              <w:lang w:eastAsia="en-AU"/>
            </w:rPr>
          </w:pPr>
          <w:hyperlink w:anchor="_Toc20652510" w:history="1">
            <w:r w:rsidR="00526080" w:rsidRPr="00A95204">
              <w:rPr>
                <w:rStyle w:val="Hyperlink"/>
                <w:noProof/>
                <w:sz w:val="24"/>
                <w:szCs w:val="24"/>
              </w:rPr>
              <w:t>6.</w:t>
            </w:r>
            <w:r w:rsidR="00526080" w:rsidRPr="00A95204">
              <w:rPr>
                <w:rFonts w:asciiTheme="minorHAnsi" w:eastAsiaTheme="minorEastAsia" w:hAnsiTheme="minorHAnsi"/>
                <w:noProof/>
                <w:sz w:val="24"/>
                <w:szCs w:val="24"/>
                <w:lang w:eastAsia="en-AU"/>
              </w:rPr>
              <w:tab/>
            </w:r>
            <w:r w:rsidR="00526080" w:rsidRPr="00A95204">
              <w:rPr>
                <w:rStyle w:val="Hyperlink"/>
                <w:noProof/>
                <w:sz w:val="24"/>
                <w:szCs w:val="24"/>
              </w:rPr>
              <w:t>Conclusion</w:t>
            </w:r>
            <w:r w:rsidR="00526080" w:rsidRPr="00A95204">
              <w:rPr>
                <w:noProof/>
                <w:webHidden/>
                <w:sz w:val="24"/>
                <w:szCs w:val="24"/>
              </w:rPr>
              <w:tab/>
            </w:r>
            <w:r w:rsidR="00526080" w:rsidRPr="00A95204">
              <w:rPr>
                <w:noProof/>
                <w:webHidden/>
                <w:sz w:val="24"/>
                <w:szCs w:val="24"/>
              </w:rPr>
              <w:fldChar w:fldCharType="begin"/>
            </w:r>
            <w:r w:rsidR="00526080" w:rsidRPr="00A95204">
              <w:rPr>
                <w:noProof/>
                <w:webHidden/>
                <w:sz w:val="24"/>
                <w:szCs w:val="24"/>
              </w:rPr>
              <w:instrText xml:space="preserve"> PAGEREF _Toc20652510 \h </w:instrText>
            </w:r>
            <w:r w:rsidR="00526080" w:rsidRPr="00A95204">
              <w:rPr>
                <w:noProof/>
                <w:webHidden/>
                <w:sz w:val="24"/>
                <w:szCs w:val="24"/>
              </w:rPr>
            </w:r>
            <w:r w:rsidR="00526080" w:rsidRPr="00A95204">
              <w:rPr>
                <w:noProof/>
                <w:webHidden/>
                <w:sz w:val="24"/>
                <w:szCs w:val="24"/>
              </w:rPr>
              <w:fldChar w:fldCharType="separate"/>
            </w:r>
            <w:r w:rsidR="00FF2C03" w:rsidRPr="00A95204">
              <w:rPr>
                <w:noProof/>
                <w:webHidden/>
                <w:sz w:val="24"/>
                <w:szCs w:val="24"/>
              </w:rPr>
              <w:t>17</w:t>
            </w:r>
            <w:r w:rsidR="00526080" w:rsidRPr="00A95204">
              <w:rPr>
                <w:noProof/>
                <w:webHidden/>
                <w:sz w:val="24"/>
                <w:szCs w:val="24"/>
              </w:rPr>
              <w:fldChar w:fldCharType="end"/>
            </w:r>
          </w:hyperlink>
        </w:p>
        <w:p w14:paraId="266E9659" w14:textId="77777777" w:rsidR="00526080" w:rsidRPr="00A95204" w:rsidRDefault="00176E6A">
          <w:pPr>
            <w:pStyle w:val="TOC3"/>
            <w:tabs>
              <w:tab w:val="right" w:leader="dot" w:pos="9016"/>
            </w:tabs>
            <w:rPr>
              <w:rFonts w:asciiTheme="minorHAnsi" w:eastAsiaTheme="minorEastAsia" w:hAnsiTheme="minorHAnsi"/>
              <w:noProof/>
              <w:sz w:val="24"/>
              <w:szCs w:val="24"/>
              <w:lang w:eastAsia="en-AU"/>
            </w:rPr>
          </w:pPr>
          <w:hyperlink w:anchor="_Toc20652511" w:history="1">
            <w:r w:rsidR="00526080" w:rsidRPr="00A95204">
              <w:rPr>
                <w:rStyle w:val="Hyperlink"/>
                <w:noProof/>
                <w:sz w:val="24"/>
                <w:szCs w:val="24"/>
              </w:rPr>
              <w:t>Appendix: Calculations</w:t>
            </w:r>
            <w:r w:rsidR="00526080" w:rsidRPr="00A95204">
              <w:rPr>
                <w:noProof/>
                <w:webHidden/>
                <w:sz w:val="24"/>
                <w:szCs w:val="24"/>
              </w:rPr>
              <w:tab/>
            </w:r>
            <w:r w:rsidR="00526080" w:rsidRPr="00A95204">
              <w:rPr>
                <w:noProof/>
                <w:webHidden/>
                <w:sz w:val="24"/>
                <w:szCs w:val="24"/>
              </w:rPr>
              <w:fldChar w:fldCharType="begin"/>
            </w:r>
            <w:r w:rsidR="00526080" w:rsidRPr="00A95204">
              <w:rPr>
                <w:noProof/>
                <w:webHidden/>
                <w:sz w:val="24"/>
                <w:szCs w:val="24"/>
              </w:rPr>
              <w:instrText xml:space="preserve"> PAGEREF _Toc20652511 \h </w:instrText>
            </w:r>
            <w:r w:rsidR="00526080" w:rsidRPr="00A95204">
              <w:rPr>
                <w:noProof/>
                <w:webHidden/>
                <w:sz w:val="24"/>
                <w:szCs w:val="24"/>
              </w:rPr>
            </w:r>
            <w:r w:rsidR="00526080" w:rsidRPr="00A95204">
              <w:rPr>
                <w:noProof/>
                <w:webHidden/>
                <w:sz w:val="24"/>
                <w:szCs w:val="24"/>
              </w:rPr>
              <w:fldChar w:fldCharType="separate"/>
            </w:r>
            <w:r w:rsidR="00FF2C03" w:rsidRPr="00A95204">
              <w:rPr>
                <w:noProof/>
                <w:webHidden/>
                <w:sz w:val="24"/>
                <w:szCs w:val="24"/>
              </w:rPr>
              <w:t>18</w:t>
            </w:r>
            <w:r w:rsidR="00526080" w:rsidRPr="00A95204">
              <w:rPr>
                <w:noProof/>
                <w:webHidden/>
                <w:sz w:val="24"/>
                <w:szCs w:val="24"/>
              </w:rPr>
              <w:fldChar w:fldCharType="end"/>
            </w:r>
          </w:hyperlink>
        </w:p>
        <w:p w14:paraId="7B8A984A" w14:textId="77777777" w:rsidR="00526080" w:rsidRPr="00A95204" w:rsidRDefault="00176E6A">
          <w:pPr>
            <w:pStyle w:val="TOC3"/>
            <w:tabs>
              <w:tab w:val="right" w:leader="dot" w:pos="9016"/>
            </w:tabs>
            <w:rPr>
              <w:rFonts w:asciiTheme="minorHAnsi" w:eastAsiaTheme="minorEastAsia" w:hAnsiTheme="minorHAnsi"/>
              <w:noProof/>
              <w:sz w:val="24"/>
              <w:szCs w:val="24"/>
              <w:lang w:eastAsia="en-AU"/>
            </w:rPr>
          </w:pPr>
          <w:hyperlink w:anchor="_Toc20652512" w:history="1">
            <w:r w:rsidR="00526080" w:rsidRPr="00A95204">
              <w:rPr>
                <w:rStyle w:val="Hyperlink"/>
                <w:noProof/>
                <w:sz w:val="24"/>
                <w:szCs w:val="24"/>
              </w:rPr>
              <w:t>Bibliography</w:t>
            </w:r>
            <w:r w:rsidR="00526080" w:rsidRPr="00A95204">
              <w:rPr>
                <w:noProof/>
                <w:webHidden/>
                <w:sz w:val="24"/>
                <w:szCs w:val="24"/>
              </w:rPr>
              <w:tab/>
            </w:r>
            <w:r w:rsidR="00526080" w:rsidRPr="00A95204">
              <w:rPr>
                <w:noProof/>
                <w:webHidden/>
                <w:sz w:val="24"/>
                <w:szCs w:val="24"/>
              </w:rPr>
              <w:fldChar w:fldCharType="begin"/>
            </w:r>
            <w:r w:rsidR="00526080" w:rsidRPr="00A95204">
              <w:rPr>
                <w:noProof/>
                <w:webHidden/>
                <w:sz w:val="24"/>
                <w:szCs w:val="24"/>
              </w:rPr>
              <w:instrText xml:space="preserve"> PAGEREF _Toc20652512 \h </w:instrText>
            </w:r>
            <w:r w:rsidR="00526080" w:rsidRPr="00A95204">
              <w:rPr>
                <w:noProof/>
                <w:webHidden/>
                <w:sz w:val="24"/>
                <w:szCs w:val="24"/>
              </w:rPr>
            </w:r>
            <w:r w:rsidR="00526080" w:rsidRPr="00A95204">
              <w:rPr>
                <w:noProof/>
                <w:webHidden/>
                <w:sz w:val="24"/>
                <w:szCs w:val="24"/>
              </w:rPr>
              <w:fldChar w:fldCharType="separate"/>
            </w:r>
            <w:r w:rsidR="00FF2C03" w:rsidRPr="00A95204">
              <w:rPr>
                <w:noProof/>
                <w:webHidden/>
                <w:sz w:val="24"/>
                <w:szCs w:val="24"/>
              </w:rPr>
              <w:t>38</w:t>
            </w:r>
            <w:r w:rsidR="00526080" w:rsidRPr="00A95204">
              <w:rPr>
                <w:noProof/>
                <w:webHidden/>
                <w:sz w:val="24"/>
                <w:szCs w:val="24"/>
              </w:rPr>
              <w:fldChar w:fldCharType="end"/>
            </w:r>
          </w:hyperlink>
        </w:p>
        <w:p w14:paraId="0F01456C" w14:textId="77777777" w:rsidR="004016C2" w:rsidRDefault="004016C2">
          <w:r>
            <w:rPr>
              <w:b/>
              <w:bCs/>
              <w:noProof/>
            </w:rPr>
            <w:fldChar w:fldCharType="end"/>
          </w:r>
        </w:p>
      </w:sdtContent>
    </w:sdt>
    <w:p w14:paraId="3ED1017F" w14:textId="77777777" w:rsidR="00BA6603" w:rsidRDefault="00BA6603" w:rsidP="00CD1D16">
      <w:pPr>
        <w:pStyle w:val="Heading3"/>
      </w:pPr>
      <w:bookmarkStart w:id="2" w:name="_Toc20652506"/>
      <w:r>
        <w:t>Definitions and Abbreviations</w:t>
      </w:r>
      <w:bookmarkEnd w:id="2"/>
    </w:p>
    <w:tbl>
      <w:tblPr>
        <w:tblStyle w:val="ListTable3-Accent2"/>
        <w:tblW w:w="10081" w:type="dxa"/>
        <w:tblLook w:val="04A0" w:firstRow="1" w:lastRow="0" w:firstColumn="1" w:lastColumn="0" w:noHBand="0" w:noVBand="1"/>
        <w:tblCaption w:val="definitions and abbreviations"/>
        <w:tblDescription w:val="This table contains Term and there Abbreviation and Definition&#10;Australian Disability Enterprise ADE Not-for-profit organisations providing supported employment opportunities to people with disability. &#10;Disability Employment Assistance grants DEA Commonwealth grants to Australian Disability Enterprises for each person with disability who is employed in a supported position.&#10;Disability Employment Services DES Commonwealth funds service providers to support people with disability to find work or participate in work-related training.&#10;National Disability Insurance Agency NDIA The Commonwealth agency that administers the NDIS.&#10;National Disability Insurance Scheme NDIS Insurance scheme that provides support to people with disability, their families, and carers.&#10;Open employment  Employment of people with disability in the general labour market. Wages paid to people with disability in open employment may be lower than those paid to people without disability through the supported wage system. &#10;Supported Employment Employment of people with disability in an Australian Disability Enterprise where that job is only open to people with disability. Wages paid to people in supported employment are typically much lower than those paid to people in open employment. &#10;Supported Wage System SWS A process that allows employers to pay a productivity-based wage for people with disability that matches an independently assessed productivity rate.&#10;"/>
      </w:tblPr>
      <w:tblGrid>
        <w:gridCol w:w="2263"/>
        <w:gridCol w:w="1843"/>
        <w:gridCol w:w="5975"/>
      </w:tblGrid>
      <w:tr w:rsidR="00C61CC2" w:rsidRPr="00C61CC2" w14:paraId="20572C0D" w14:textId="77777777" w:rsidTr="0054160A">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100" w:firstRow="0" w:lastRow="0" w:firstColumn="1" w:lastColumn="0" w:oddVBand="0" w:evenVBand="0" w:oddHBand="0" w:evenHBand="0" w:firstRowFirstColumn="1" w:firstRowLastColumn="0" w:lastRowFirstColumn="0" w:lastRowLastColumn="0"/>
            <w:tcW w:w="2263" w:type="dxa"/>
            <w:noWrap/>
            <w:hideMark/>
          </w:tcPr>
          <w:p w14:paraId="733346FE" w14:textId="77777777" w:rsidR="00C61CC2" w:rsidRPr="00A95204" w:rsidRDefault="00C61CC2">
            <w:pPr>
              <w:rPr>
                <w:sz w:val="24"/>
                <w:szCs w:val="24"/>
              </w:rPr>
            </w:pPr>
            <w:r w:rsidRPr="00A95204">
              <w:rPr>
                <w:sz w:val="24"/>
                <w:szCs w:val="24"/>
              </w:rPr>
              <w:t>Term</w:t>
            </w:r>
          </w:p>
        </w:tc>
        <w:tc>
          <w:tcPr>
            <w:tcW w:w="1843" w:type="dxa"/>
            <w:noWrap/>
            <w:hideMark/>
          </w:tcPr>
          <w:p w14:paraId="113760A8" w14:textId="77777777" w:rsidR="00C61CC2" w:rsidRPr="00A95204" w:rsidRDefault="00C61CC2" w:rsidP="00C61CC2">
            <w:pPr>
              <w:jc w:val="center"/>
              <w:cnfStyle w:val="100000000000" w:firstRow="1" w:lastRow="0" w:firstColumn="0" w:lastColumn="0" w:oddVBand="0" w:evenVBand="0" w:oddHBand="0" w:evenHBand="0" w:firstRowFirstColumn="0" w:firstRowLastColumn="0" w:lastRowFirstColumn="0" w:lastRowLastColumn="0"/>
              <w:rPr>
                <w:sz w:val="24"/>
                <w:szCs w:val="24"/>
              </w:rPr>
            </w:pPr>
            <w:r w:rsidRPr="00A95204">
              <w:rPr>
                <w:sz w:val="24"/>
                <w:szCs w:val="24"/>
              </w:rPr>
              <w:t>Abbreviation</w:t>
            </w:r>
          </w:p>
        </w:tc>
        <w:tc>
          <w:tcPr>
            <w:tcW w:w="5975" w:type="dxa"/>
            <w:noWrap/>
            <w:hideMark/>
          </w:tcPr>
          <w:p w14:paraId="1483D38B" w14:textId="77777777" w:rsidR="00C61CC2" w:rsidRPr="00A95204" w:rsidRDefault="00C61CC2">
            <w:pPr>
              <w:cnfStyle w:val="100000000000" w:firstRow="1" w:lastRow="0" w:firstColumn="0" w:lastColumn="0" w:oddVBand="0" w:evenVBand="0" w:oddHBand="0" w:evenHBand="0" w:firstRowFirstColumn="0" w:firstRowLastColumn="0" w:lastRowFirstColumn="0" w:lastRowLastColumn="0"/>
              <w:rPr>
                <w:sz w:val="24"/>
                <w:szCs w:val="24"/>
              </w:rPr>
            </w:pPr>
            <w:r w:rsidRPr="00A95204">
              <w:rPr>
                <w:sz w:val="24"/>
                <w:szCs w:val="24"/>
              </w:rPr>
              <w:t>Definition</w:t>
            </w:r>
          </w:p>
        </w:tc>
      </w:tr>
      <w:tr w:rsidR="00C61CC2" w:rsidRPr="00C61CC2" w14:paraId="4C870797" w14:textId="77777777" w:rsidTr="00303A7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4B41BD2C" w14:textId="77777777" w:rsidR="00C61CC2" w:rsidRPr="00A95204" w:rsidRDefault="00C61CC2">
            <w:pPr>
              <w:rPr>
                <w:b w:val="0"/>
                <w:sz w:val="24"/>
                <w:szCs w:val="24"/>
              </w:rPr>
            </w:pPr>
            <w:r w:rsidRPr="00A95204">
              <w:rPr>
                <w:b w:val="0"/>
                <w:sz w:val="24"/>
                <w:szCs w:val="24"/>
              </w:rPr>
              <w:t>Australian Disability Enterprise</w:t>
            </w:r>
          </w:p>
        </w:tc>
        <w:tc>
          <w:tcPr>
            <w:tcW w:w="1843" w:type="dxa"/>
            <w:noWrap/>
            <w:hideMark/>
          </w:tcPr>
          <w:p w14:paraId="340321A5" w14:textId="77777777" w:rsidR="00C61CC2" w:rsidRPr="00A95204" w:rsidRDefault="00C61CC2" w:rsidP="00C61CC2">
            <w:pPr>
              <w:jc w:val="center"/>
              <w:cnfStyle w:val="000000100000" w:firstRow="0" w:lastRow="0" w:firstColumn="0" w:lastColumn="0" w:oddVBand="0" w:evenVBand="0" w:oddHBand="1" w:evenHBand="0" w:firstRowFirstColumn="0" w:firstRowLastColumn="0" w:lastRowFirstColumn="0" w:lastRowLastColumn="0"/>
              <w:rPr>
                <w:sz w:val="24"/>
                <w:szCs w:val="24"/>
              </w:rPr>
            </w:pPr>
            <w:r w:rsidRPr="00A95204">
              <w:rPr>
                <w:sz w:val="24"/>
                <w:szCs w:val="24"/>
              </w:rPr>
              <w:t>ADE</w:t>
            </w:r>
          </w:p>
        </w:tc>
        <w:tc>
          <w:tcPr>
            <w:tcW w:w="5975" w:type="dxa"/>
            <w:noWrap/>
            <w:hideMark/>
          </w:tcPr>
          <w:p w14:paraId="772E768D" w14:textId="77777777" w:rsidR="00C61CC2" w:rsidRPr="00A95204" w:rsidRDefault="00C61CC2">
            <w:pPr>
              <w:cnfStyle w:val="000000100000" w:firstRow="0" w:lastRow="0" w:firstColumn="0" w:lastColumn="0" w:oddVBand="0" w:evenVBand="0" w:oddHBand="1" w:evenHBand="0" w:firstRowFirstColumn="0" w:firstRowLastColumn="0" w:lastRowFirstColumn="0" w:lastRowLastColumn="0"/>
              <w:rPr>
                <w:sz w:val="24"/>
                <w:szCs w:val="24"/>
              </w:rPr>
            </w:pPr>
            <w:r w:rsidRPr="00A95204">
              <w:rPr>
                <w:sz w:val="24"/>
                <w:szCs w:val="24"/>
              </w:rPr>
              <w:t xml:space="preserve">Not-for-profit organisations providing supported employment opportunities to people with disability. </w:t>
            </w:r>
          </w:p>
        </w:tc>
      </w:tr>
      <w:tr w:rsidR="00C61CC2" w:rsidRPr="00C61CC2" w14:paraId="19F124A7" w14:textId="77777777" w:rsidTr="00303A70">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733B1C2C" w14:textId="77777777" w:rsidR="00C61CC2" w:rsidRPr="00A95204" w:rsidRDefault="00C61CC2">
            <w:pPr>
              <w:rPr>
                <w:b w:val="0"/>
                <w:sz w:val="24"/>
                <w:szCs w:val="24"/>
              </w:rPr>
            </w:pPr>
            <w:r w:rsidRPr="00A95204">
              <w:rPr>
                <w:b w:val="0"/>
                <w:sz w:val="24"/>
                <w:szCs w:val="24"/>
              </w:rPr>
              <w:t>Disability Employment Assistance</w:t>
            </w:r>
            <w:r w:rsidR="00106FDE" w:rsidRPr="00A95204">
              <w:rPr>
                <w:b w:val="0"/>
                <w:sz w:val="24"/>
                <w:szCs w:val="24"/>
              </w:rPr>
              <w:t xml:space="preserve"> grants</w:t>
            </w:r>
          </w:p>
        </w:tc>
        <w:tc>
          <w:tcPr>
            <w:tcW w:w="1843" w:type="dxa"/>
            <w:noWrap/>
            <w:hideMark/>
          </w:tcPr>
          <w:p w14:paraId="3DB4A88A" w14:textId="77777777" w:rsidR="00C61CC2" w:rsidRPr="00A95204" w:rsidRDefault="00C61CC2" w:rsidP="00C61CC2">
            <w:pPr>
              <w:jc w:val="center"/>
              <w:cnfStyle w:val="000000000000" w:firstRow="0" w:lastRow="0" w:firstColumn="0" w:lastColumn="0" w:oddVBand="0" w:evenVBand="0" w:oddHBand="0" w:evenHBand="0" w:firstRowFirstColumn="0" w:firstRowLastColumn="0" w:lastRowFirstColumn="0" w:lastRowLastColumn="0"/>
              <w:rPr>
                <w:sz w:val="24"/>
                <w:szCs w:val="24"/>
              </w:rPr>
            </w:pPr>
            <w:r w:rsidRPr="00A95204">
              <w:rPr>
                <w:sz w:val="24"/>
                <w:szCs w:val="24"/>
              </w:rPr>
              <w:t>DEA</w:t>
            </w:r>
          </w:p>
        </w:tc>
        <w:tc>
          <w:tcPr>
            <w:tcW w:w="5975" w:type="dxa"/>
            <w:noWrap/>
            <w:hideMark/>
          </w:tcPr>
          <w:p w14:paraId="56B286FB" w14:textId="77777777" w:rsidR="00C61CC2" w:rsidRPr="00A95204" w:rsidRDefault="00C61CC2">
            <w:pPr>
              <w:cnfStyle w:val="000000000000" w:firstRow="0" w:lastRow="0" w:firstColumn="0" w:lastColumn="0" w:oddVBand="0" w:evenVBand="0" w:oddHBand="0" w:evenHBand="0" w:firstRowFirstColumn="0" w:firstRowLastColumn="0" w:lastRowFirstColumn="0" w:lastRowLastColumn="0"/>
              <w:rPr>
                <w:sz w:val="24"/>
                <w:szCs w:val="24"/>
              </w:rPr>
            </w:pPr>
            <w:r w:rsidRPr="00A95204">
              <w:rPr>
                <w:sz w:val="24"/>
                <w:szCs w:val="24"/>
              </w:rPr>
              <w:t>Commonwealth grants to Australian Disability Enterprises</w:t>
            </w:r>
            <w:r w:rsidR="00106FDE" w:rsidRPr="00A95204">
              <w:rPr>
                <w:sz w:val="24"/>
                <w:szCs w:val="24"/>
              </w:rPr>
              <w:t xml:space="preserve"> for each person with disability who is employed in a supported position</w:t>
            </w:r>
            <w:r w:rsidR="00254281" w:rsidRPr="00A95204">
              <w:rPr>
                <w:sz w:val="24"/>
                <w:szCs w:val="24"/>
              </w:rPr>
              <w:t>.</w:t>
            </w:r>
          </w:p>
        </w:tc>
      </w:tr>
      <w:tr w:rsidR="00C61CC2" w:rsidRPr="00C61CC2" w14:paraId="66B4BDC0" w14:textId="77777777" w:rsidTr="00303A7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5317C97F" w14:textId="77777777" w:rsidR="00C61CC2" w:rsidRPr="00A95204" w:rsidRDefault="00C61CC2">
            <w:pPr>
              <w:rPr>
                <w:b w:val="0"/>
                <w:sz w:val="24"/>
                <w:szCs w:val="24"/>
              </w:rPr>
            </w:pPr>
            <w:r w:rsidRPr="00A95204">
              <w:rPr>
                <w:b w:val="0"/>
                <w:sz w:val="24"/>
                <w:szCs w:val="24"/>
              </w:rPr>
              <w:t>Disability Employment Services</w:t>
            </w:r>
          </w:p>
        </w:tc>
        <w:tc>
          <w:tcPr>
            <w:tcW w:w="1843" w:type="dxa"/>
            <w:noWrap/>
            <w:hideMark/>
          </w:tcPr>
          <w:p w14:paraId="5299FB21" w14:textId="77777777" w:rsidR="00C61CC2" w:rsidRPr="00A95204" w:rsidRDefault="00C61CC2" w:rsidP="00C61CC2">
            <w:pPr>
              <w:jc w:val="center"/>
              <w:cnfStyle w:val="000000100000" w:firstRow="0" w:lastRow="0" w:firstColumn="0" w:lastColumn="0" w:oddVBand="0" w:evenVBand="0" w:oddHBand="1" w:evenHBand="0" w:firstRowFirstColumn="0" w:firstRowLastColumn="0" w:lastRowFirstColumn="0" w:lastRowLastColumn="0"/>
              <w:rPr>
                <w:sz w:val="24"/>
                <w:szCs w:val="24"/>
              </w:rPr>
            </w:pPr>
            <w:r w:rsidRPr="00A95204">
              <w:rPr>
                <w:sz w:val="24"/>
                <w:szCs w:val="24"/>
              </w:rPr>
              <w:t>DES</w:t>
            </w:r>
          </w:p>
        </w:tc>
        <w:tc>
          <w:tcPr>
            <w:tcW w:w="5975" w:type="dxa"/>
            <w:noWrap/>
            <w:hideMark/>
          </w:tcPr>
          <w:p w14:paraId="784413B3" w14:textId="77777777" w:rsidR="00C61CC2" w:rsidRPr="00A95204" w:rsidRDefault="00C61CC2">
            <w:pPr>
              <w:cnfStyle w:val="000000100000" w:firstRow="0" w:lastRow="0" w:firstColumn="0" w:lastColumn="0" w:oddVBand="0" w:evenVBand="0" w:oddHBand="1" w:evenHBand="0" w:firstRowFirstColumn="0" w:firstRowLastColumn="0" w:lastRowFirstColumn="0" w:lastRowLastColumn="0"/>
              <w:rPr>
                <w:sz w:val="24"/>
                <w:szCs w:val="24"/>
              </w:rPr>
            </w:pPr>
            <w:r w:rsidRPr="00A95204">
              <w:rPr>
                <w:sz w:val="24"/>
                <w:szCs w:val="24"/>
              </w:rPr>
              <w:t xml:space="preserve">Commonwealth funds service providers to support people with disability to </w:t>
            </w:r>
            <w:r w:rsidR="00106FDE" w:rsidRPr="00A95204">
              <w:rPr>
                <w:sz w:val="24"/>
                <w:szCs w:val="24"/>
              </w:rPr>
              <w:t>find work</w:t>
            </w:r>
            <w:r w:rsidR="00664630" w:rsidRPr="00A95204">
              <w:rPr>
                <w:sz w:val="24"/>
                <w:szCs w:val="24"/>
              </w:rPr>
              <w:t xml:space="preserve"> or participate in work-related </w:t>
            </w:r>
            <w:r w:rsidRPr="00A95204">
              <w:rPr>
                <w:sz w:val="24"/>
                <w:szCs w:val="24"/>
              </w:rPr>
              <w:t>training</w:t>
            </w:r>
            <w:r w:rsidR="00254281" w:rsidRPr="00A95204">
              <w:rPr>
                <w:sz w:val="24"/>
                <w:szCs w:val="24"/>
              </w:rPr>
              <w:t>.</w:t>
            </w:r>
          </w:p>
        </w:tc>
      </w:tr>
      <w:tr w:rsidR="00C61CC2" w:rsidRPr="00C61CC2" w14:paraId="5BCE409D" w14:textId="77777777" w:rsidTr="00303A70">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EE0552D" w14:textId="77777777" w:rsidR="00C61CC2" w:rsidRPr="00A95204" w:rsidRDefault="00C61CC2">
            <w:pPr>
              <w:rPr>
                <w:b w:val="0"/>
                <w:sz w:val="24"/>
                <w:szCs w:val="24"/>
              </w:rPr>
            </w:pPr>
            <w:r w:rsidRPr="00A95204">
              <w:rPr>
                <w:b w:val="0"/>
                <w:sz w:val="24"/>
                <w:szCs w:val="24"/>
              </w:rPr>
              <w:t>National Disability Insurance Agency</w:t>
            </w:r>
          </w:p>
        </w:tc>
        <w:tc>
          <w:tcPr>
            <w:tcW w:w="1843" w:type="dxa"/>
            <w:noWrap/>
            <w:hideMark/>
          </w:tcPr>
          <w:p w14:paraId="3F3084CD" w14:textId="77777777" w:rsidR="00C61CC2" w:rsidRPr="00A95204" w:rsidRDefault="00C61CC2" w:rsidP="00C61CC2">
            <w:pPr>
              <w:jc w:val="center"/>
              <w:cnfStyle w:val="000000000000" w:firstRow="0" w:lastRow="0" w:firstColumn="0" w:lastColumn="0" w:oddVBand="0" w:evenVBand="0" w:oddHBand="0" w:evenHBand="0" w:firstRowFirstColumn="0" w:firstRowLastColumn="0" w:lastRowFirstColumn="0" w:lastRowLastColumn="0"/>
              <w:rPr>
                <w:sz w:val="24"/>
                <w:szCs w:val="24"/>
              </w:rPr>
            </w:pPr>
            <w:r w:rsidRPr="00A95204">
              <w:rPr>
                <w:sz w:val="24"/>
                <w:szCs w:val="24"/>
              </w:rPr>
              <w:t>NDIA</w:t>
            </w:r>
          </w:p>
        </w:tc>
        <w:tc>
          <w:tcPr>
            <w:tcW w:w="5975" w:type="dxa"/>
            <w:noWrap/>
            <w:hideMark/>
          </w:tcPr>
          <w:p w14:paraId="43638410" w14:textId="77777777" w:rsidR="00C61CC2" w:rsidRPr="00A95204" w:rsidRDefault="00C61CC2">
            <w:pPr>
              <w:cnfStyle w:val="000000000000" w:firstRow="0" w:lastRow="0" w:firstColumn="0" w:lastColumn="0" w:oddVBand="0" w:evenVBand="0" w:oddHBand="0" w:evenHBand="0" w:firstRowFirstColumn="0" w:firstRowLastColumn="0" w:lastRowFirstColumn="0" w:lastRowLastColumn="0"/>
              <w:rPr>
                <w:sz w:val="24"/>
                <w:szCs w:val="24"/>
              </w:rPr>
            </w:pPr>
            <w:r w:rsidRPr="00A95204">
              <w:rPr>
                <w:sz w:val="24"/>
                <w:szCs w:val="24"/>
              </w:rPr>
              <w:t xml:space="preserve">The Commonwealth </w:t>
            </w:r>
            <w:r w:rsidR="00664630" w:rsidRPr="00A95204">
              <w:rPr>
                <w:sz w:val="24"/>
                <w:szCs w:val="24"/>
              </w:rPr>
              <w:t xml:space="preserve">agency </w:t>
            </w:r>
            <w:r w:rsidRPr="00A95204">
              <w:rPr>
                <w:sz w:val="24"/>
                <w:szCs w:val="24"/>
              </w:rPr>
              <w:t>that administers the NDIS</w:t>
            </w:r>
            <w:r w:rsidR="00254281" w:rsidRPr="00A95204">
              <w:rPr>
                <w:sz w:val="24"/>
                <w:szCs w:val="24"/>
              </w:rPr>
              <w:t>.</w:t>
            </w:r>
          </w:p>
        </w:tc>
      </w:tr>
      <w:tr w:rsidR="00C61CC2" w:rsidRPr="00C61CC2" w14:paraId="758635F2" w14:textId="77777777" w:rsidTr="00303A7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291A8F8" w14:textId="77777777" w:rsidR="00C61CC2" w:rsidRPr="00A95204" w:rsidRDefault="00C61CC2">
            <w:pPr>
              <w:rPr>
                <w:b w:val="0"/>
                <w:sz w:val="24"/>
                <w:szCs w:val="24"/>
              </w:rPr>
            </w:pPr>
            <w:r w:rsidRPr="00A95204">
              <w:rPr>
                <w:b w:val="0"/>
                <w:sz w:val="24"/>
                <w:szCs w:val="24"/>
              </w:rPr>
              <w:t>National Disability Insurance Scheme</w:t>
            </w:r>
          </w:p>
        </w:tc>
        <w:tc>
          <w:tcPr>
            <w:tcW w:w="1843" w:type="dxa"/>
            <w:noWrap/>
            <w:hideMark/>
          </w:tcPr>
          <w:p w14:paraId="790BF514" w14:textId="77777777" w:rsidR="00C61CC2" w:rsidRPr="00A95204" w:rsidRDefault="00C61CC2" w:rsidP="00C61CC2">
            <w:pPr>
              <w:jc w:val="center"/>
              <w:cnfStyle w:val="000000100000" w:firstRow="0" w:lastRow="0" w:firstColumn="0" w:lastColumn="0" w:oddVBand="0" w:evenVBand="0" w:oddHBand="1" w:evenHBand="0" w:firstRowFirstColumn="0" w:firstRowLastColumn="0" w:lastRowFirstColumn="0" w:lastRowLastColumn="0"/>
              <w:rPr>
                <w:sz w:val="24"/>
                <w:szCs w:val="24"/>
              </w:rPr>
            </w:pPr>
            <w:r w:rsidRPr="00A95204">
              <w:rPr>
                <w:sz w:val="24"/>
                <w:szCs w:val="24"/>
              </w:rPr>
              <w:t>NDIS</w:t>
            </w:r>
          </w:p>
        </w:tc>
        <w:tc>
          <w:tcPr>
            <w:tcW w:w="5975" w:type="dxa"/>
            <w:noWrap/>
            <w:hideMark/>
          </w:tcPr>
          <w:p w14:paraId="5AC5E8F0" w14:textId="77777777" w:rsidR="00C61CC2" w:rsidRPr="00A95204" w:rsidRDefault="00C61CC2">
            <w:pPr>
              <w:cnfStyle w:val="000000100000" w:firstRow="0" w:lastRow="0" w:firstColumn="0" w:lastColumn="0" w:oddVBand="0" w:evenVBand="0" w:oddHBand="1" w:evenHBand="0" w:firstRowFirstColumn="0" w:firstRowLastColumn="0" w:lastRowFirstColumn="0" w:lastRowLastColumn="0"/>
              <w:rPr>
                <w:sz w:val="24"/>
                <w:szCs w:val="24"/>
              </w:rPr>
            </w:pPr>
            <w:r w:rsidRPr="00A95204">
              <w:rPr>
                <w:sz w:val="24"/>
                <w:szCs w:val="24"/>
              </w:rPr>
              <w:t>Insurance scheme that provides support to people with disability, their families, and carers</w:t>
            </w:r>
            <w:r w:rsidR="00254281" w:rsidRPr="00A95204">
              <w:rPr>
                <w:sz w:val="24"/>
                <w:szCs w:val="24"/>
              </w:rPr>
              <w:t>.</w:t>
            </w:r>
          </w:p>
        </w:tc>
      </w:tr>
      <w:tr w:rsidR="00C61CC2" w:rsidRPr="00C61CC2" w14:paraId="51C54AD8" w14:textId="77777777" w:rsidTr="00303A70">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8D0814C" w14:textId="77777777" w:rsidR="00C61CC2" w:rsidRPr="00A95204" w:rsidRDefault="00C61CC2">
            <w:pPr>
              <w:rPr>
                <w:b w:val="0"/>
                <w:sz w:val="24"/>
                <w:szCs w:val="24"/>
              </w:rPr>
            </w:pPr>
            <w:r w:rsidRPr="00A95204">
              <w:rPr>
                <w:b w:val="0"/>
                <w:sz w:val="24"/>
                <w:szCs w:val="24"/>
              </w:rPr>
              <w:t>Open employment</w:t>
            </w:r>
          </w:p>
        </w:tc>
        <w:tc>
          <w:tcPr>
            <w:tcW w:w="1843" w:type="dxa"/>
            <w:noWrap/>
            <w:hideMark/>
          </w:tcPr>
          <w:p w14:paraId="31FD082B" w14:textId="77777777" w:rsidR="00C61CC2" w:rsidRPr="00A95204" w:rsidRDefault="00C61CC2" w:rsidP="00C61CC2">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975" w:type="dxa"/>
            <w:noWrap/>
            <w:hideMark/>
          </w:tcPr>
          <w:p w14:paraId="532F1F01" w14:textId="77777777" w:rsidR="00C61CC2" w:rsidRPr="00A95204" w:rsidRDefault="00C61CC2">
            <w:pPr>
              <w:cnfStyle w:val="000000000000" w:firstRow="0" w:lastRow="0" w:firstColumn="0" w:lastColumn="0" w:oddVBand="0" w:evenVBand="0" w:oddHBand="0" w:evenHBand="0" w:firstRowFirstColumn="0" w:firstRowLastColumn="0" w:lastRowFirstColumn="0" w:lastRowLastColumn="0"/>
              <w:rPr>
                <w:sz w:val="24"/>
                <w:szCs w:val="24"/>
              </w:rPr>
            </w:pPr>
            <w:r w:rsidRPr="00A95204">
              <w:rPr>
                <w:sz w:val="24"/>
                <w:szCs w:val="24"/>
              </w:rPr>
              <w:t xml:space="preserve">Employment of people with disability in the general labour market. Wages paid to people with disability in open employment may be lower than those paid to people without disability through the supported wage system. </w:t>
            </w:r>
          </w:p>
        </w:tc>
      </w:tr>
      <w:tr w:rsidR="00C61CC2" w:rsidRPr="00C61CC2" w14:paraId="44FFE7CA" w14:textId="77777777" w:rsidTr="00303A7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8D52660" w14:textId="77777777" w:rsidR="00C61CC2" w:rsidRPr="00A95204" w:rsidRDefault="00C61CC2">
            <w:pPr>
              <w:rPr>
                <w:b w:val="0"/>
                <w:sz w:val="24"/>
                <w:szCs w:val="24"/>
              </w:rPr>
            </w:pPr>
            <w:r w:rsidRPr="00A95204">
              <w:rPr>
                <w:b w:val="0"/>
                <w:sz w:val="24"/>
                <w:szCs w:val="24"/>
              </w:rPr>
              <w:t>Supported Employment</w:t>
            </w:r>
          </w:p>
        </w:tc>
        <w:tc>
          <w:tcPr>
            <w:tcW w:w="1843" w:type="dxa"/>
            <w:noWrap/>
            <w:hideMark/>
          </w:tcPr>
          <w:p w14:paraId="442DE58D" w14:textId="77777777" w:rsidR="00C61CC2" w:rsidRPr="00A95204" w:rsidRDefault="00C61CC2" w:rsidP="00C61CC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5975" w:type="dxa"/>
            <w:noWrap/>
            <w:hideMark/>
          </w:tcPr>
          <w:p w14:paraId="2FCC204D" w14:textId="77777777" w:rsidR="00C61CC2" w:rsidRPr="00A95204" w:rsidRDefault="00C61CC2">
            <w:pPr>
              <w:cnfStyle w:val="000000100000" w:firstRow="0" w:lastRow="0" w:firstColumn="0" w:lastColumn="0" w:oddVBand="0" w:evenVBand="0" w:oddHBand="1" w:evenHBand="0" w:firstRowFirstColumn="0" w:firstRowLastColumn="0" w:lastRowFirstColumn="0" w:lastRowLastColumn="0"/>
              <w:rPr>
                <w:sz w:val="24"/>
                <w:szCs w:val="24"/>
              </w:rPr>
            </w:pPr>
            <w:r w:rsidRPr="00A95204">
              <w:rPr>
                <w:sz w:val="24"/>
                <w:szCs w:val="24"/>
              </w:rPr>
              <w:t>Employment of people with disability in an Australian Disability Enterprise where that job is only open to people with disability</w:t>
            </w:r>
            <w:r w:rsidR="006D2E89" w:rsidRPr="00A95204">
              <w:rPr>
                <w:sz w:val="24"/>
                <w:szCs w:val="24"/>
              </w:rPr>
              <w:t xml:space="preserve">. Wages paid to people in supported employment are typically much lower than those paid to people in open employment. </w:t>
            </w:r>
          </w:p>
        </w:tc>
      </w:tr>
      <w:tr w:rsidR="00C61CC2" w:rsidRPr="00C61CC2" w14:paraId="29E57782" w14:textId="77777777" w:rsidTr="00303A70">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286C049B" w14:textId="77777777" w:rsidR="00C61CC2" w:rsidRPr="00A95204" w:rsidRDefault="00C61CC2">
            <w:pPr>
              <w:rPr>
                <w:b w:val="0"/>
                <w:sz w:val="24"/>
                <w:szCs w:val="24"/>
              </w:rPr>
            </w:pPr>
            <w:r w:rsidRPr="00A95204">
              <w:rPr>
                <w:b w:val="0"/>
                <w:sz w:val="24"/>
                <w:szCs w:val="24"/>
              </w:rPr>
              <w:t>Supported Wage System</w:t>
            </w:r>
          </w:p>
        </w:tc>
        <w:tc>
          <w:tcPr>
            <w:tcW w:w="1843" w:type="dxa"/>
            <w:noWrap/>
            <w:hideMark/>
          </w:tcPr>
          <w:p w14:paraId="52F96814" w14:textId="77777777" w:rsidR="00C61CC2" w:rsidRPr="00A95204" w:rsidRDefault="00C61CC2" w:rsidP="00C61CC2">
            <w:pPr>
              <w:jc w:val="center"/>
              <w:cnfStyle w:val="000000000000" w:firstRow="0" w:lastRow="0" w:firstColumn="0" w:lastColumn="0" w:oddVBand="0" w:evenVBand="0" w:oddHBand="0" w:evenHBand="0" w:firstRowFirstColumn="0" w:firstRowLastColumn="0" w:lastRowFirstColumn="0" w:lastRowLastColumn="0"/>
              <w:rPr>
                <w:sz w:val="24"/>
                <w:szCs w:val="24"/>
              </w:rPr>
            </w:pPr>
            <w:r w:rsidRPr="00A95204">
              <w:rPr>
                <w:sz w:val="24"/>
                <w:szCs w:val="24"/>
              </w:rPr>
              <w:t>SWS</w:t>
            </w:r>
          </w:p>
        </w:tc>
        <w:tc>
          <w:tcPr>
            <w:tcW w:w="5975" w:type="dxa"/>
            <w:noWrap/>
            <w:hideMark/>
          </w:tcPr>
          <w:p w14:paraId="451AA2D4" w14:textId="77777777" w:rsidR="00C61CC2" w:rsidRPr="00A95204" w:rsidRDefault="00C61CC2">
            <w:pPr>
              <w:cnfStyle w:val="000000000000" w:firstRow="0" w:lastRow="0" w:firstColumn="0" w:lastColumn="0" w:oddVBand="0" w:evenVBand="0" w:oddHBand="0" w:evenHBand="0" w:firstRowFirstColumn="0" w:firstRowLastColumn="0" w:lastRowFirstColumn="0" w:lastRowLastColumn="0"/>
              <w:rPr>
                <w:sz w:val="24"/>
                <w:szCs w:val="24"/>
              </w:rPr>
            </w:pPr>
            <w:r w:rsidRPr="00A95204">
              <w:rPr>
                <w:sz w:val="24"/>
                <w:szCs w:val="24"/>
              </w:rPr>
              <w:t>A process that allows employers to pay a productivity-based wage for people with disability that matches an independently assessed productivity rate.</w:t>
            </w:r>
          </w:p>
        </w:tc>
      </w:tr>
    </w:tbl>
    <w:p w14:paraId="63267D8E" w14:textId="77777777" w:rsidR="000B74D8" w:rsidRDefault="000B74D8">
      <w:r>
        <w:br w:type="page"/>
      </w:r>
    </w:p>
    <w:p w14:paraId="56ABADCA" w14:textId="77777777" w:rsidR="001E6771" w:rsidRPr="00A95204" w:rsidRDefault="001B3FFF" w:rsidP="00CD1D16">
      <w:pPr>
        <w:pStyle w:val="Heading3"/>
      </w:pPr>
      <w:bookmarkStart w:id="3" w:name="_Toc20652507"/>
      <w:r w:rsidRPr="00A95204">
        <w:lastRenderedPageBreak/>
        <w:t>Overview of Ticket to Work</w:t>
      </w:r>
      <w:bookmarkEnd w:id="3"/>
    </w:p>
    <w:p w14:paraId="13370C3B" w14:textId="77777777" w:rsidR="001B3FFF" w:rsidRPr="0060666C" w:rsidRDefault="002B3B69" w:rsidP="0060666C">
      <w:pPr>
        <w:pStyle w:val="NoSpacing"/>
        <w:rPr>
          <w:rFonts w:cstheme="minorBidi"/>
          <w:b/>
          <w:sz w:val="24"/>
          <w:szCs w:val="24"/>
        </w:rPr>
      </w:pPr>
      <w:r w:rsidRPr="0060666C">
        <w:rPr>
          <w:rFonts w:cstheme="minorBidi"/>
          <w:b/>
          <w:sz w:val="24"/>
          <w:szCs w:val="24"/>
        </w:rPr>
        <w:t xml:space="preserve">Ticket to Work seeks to connect young people </w:t>
      </w:r>
      <w:r w:rsidR="00837970" w:rsidRPr="0060666C">
        <w:rPr>
          <w:rFonts w:cstheme="minorBidi"/>
          <w:b/>
          <w:sz w:val="24"/>
          <w:szCs w:val="24"/>
        </w:rPr>
        <w:t xml:space="preserve">with disability </w:t>
      </w:r>
      <w:r w:rsidRPr="0060666C">
        <w:rPr>
          <w:rFonts w:cstheme="minorBidi"/>
          <w:b/>
          <w:sz w:val="24"/>
          <w:szCs w:val="24"/>
        </w:rPr>
        <w:t>with the world of work before they leave school</w:t>
      </w:r>
    </w:p>
    <w:p w14:paraId="41DCF1D9" w14:textId="77777777" w:rsidR="00BD266C" w:rsidRPr="00A95204" w:rsidRDefault="00BD266C" w:rsidP="00BD266C">
      <w:pPr>
        <w:rPr>
          <w:sz w:val="24"/>
          <w:szCs w:val="24"/>
        </w:rPr>
      </w:pPr>
      <w:r w:rsidRPr="00A95204">
        <w:rPr>
          <w:sz w:val="24"/>
          <w:szCs w:val="24"/>
        </w:rPr>
        <w:t xml:space="preserve">Australia has one of the lowest rates of employment for people with disability in the OECD. </w:t>
      </w:r>
      <w:r w:rsidR="00A1190A" w:rsidRPr="00A95204">
        <w:rPr>
          <w:sz w:val="24"/>
          <w:szCs w:val="24"/>
        </w:rPr>
        <w:t xml:space="preserve">53% of </w:t>
      </w:r>
      <w:r w:rsidRPr="00A95204">
        <w:rPr>
          <w:sz w:val="24"/>
          <w:szCs w:val="24"/>
        </w:rPr>
        <w:t>Australians with disability are employed</w:t>
      </w:r>
      <w:r w:rsidR="0053758F" w:rsidRPr="00A95204">
        <w:rPr>
          <w:sz w:val="24"/>
          <w:szCs w:val="24"/>
        </w:rPr>
        <w:t xml:space="preserve">, which is much lower than the </w:t>
      </w:r>
      <w:r w:rsidRPr="00A95204">
        <w:rPr>
          <w:sz w:val="24"/>
          <w:szCs w:val="24"/>
        </w:rPr>
        <w:t xml:space="preserve">general population </w:t>
      </w:r>
      <w:r w:rsidR="0053758F" w:rsidRPr="00A95204">
        <w:rPr>
          <w:sz w:val="24"/>
          <w:szCs w:val="24"/>
        </w:rPr>
        <w:t xml:space="preserve">at </w:t>
      </w:r>
      <w:r w:rsidRPr="00A95204">
        <w:rPr>
          <w:sz w:val="24"/>
          <w:szCs w:val="24"/>
        </w:rPr>
        <w:t xml:space="preserve">83%, increasing the cost to the state of welfare and reducing economic productivity </w:t>
      </w:r>
      <w:r w:rsidR="00C62536" w:rsidRPr="00A95204">
        <w:rPr>
          <w:rFonts w:cs="Arial"/>
          <w:sz w:val="24"/>
          <w:szCs w:val="24"/>
        </w:rPr>
        <w:t>(OECD 2010)</w:t>
      </w:r>
      <w:r w:rsidRPr="00A95204">
        <w:rPr>
          <w:sz w:val="24"/>
          <w:szCs w:val="24"/>
        </w:rPr>
        <w:t xml:space="preserve">. At the same time, the absence of these workers from Australia’s workplaces reduces the presence and visibility of people with disability in the community. </w:t>
      </w:r>
    </w:p>
    <w:p w14:paraId="5436F76F" w14:textId="77777777" w:rsidR="0044591A" w:rsidRPr="00A95204" w:rsidRDefault="001B6BDE" w:rsidP="00403540">
      <w:pPr>
        <w:pStyle w:val="NoSpacing"/>
        <w:rPr>
          <w:sz w:val="24"/>
          <w:szCs w:val="24"/>
        </w:rPr>
      </w:pPr>
      <w:r w:rsidRPr="00A95204">
        <w:rPr>
          <w:sz w:val="24"/>
          <w:szCs w:val="24"/>
        </w:rPr>
        <w:t xml:space="preserve">Many of the drivers of low labour force participation rates start at school. People with disability are significantly less likely than their peers to complete </w:t>
      </w:r>
      <w:r w:rsidR="00B83C03" w:rsidRPr="00A95204">
        <w:rPr>
          <w:sz w:val="24"/>
          <w:szCs w:val="24"/>
        </w:rPr>
        <w:t>Y</w:t>
      </w:r>
      <w:r w:rsidRPr="00A95204">
        <w:rPr>
          <w:sz w:val="24"/>
          <w:szCs w:val="24"/>
        </w:rPr>
        <w:t xml:space="preserve">ear 12, </w:t>
      </w:r>
      <w:r w:rsidR="00D61528" w:rsidRPr="00A95204">
        <w:rPr>
          <w:sz w:val="24"/>
          <w:szCs w:val="24"/>
        </w:rPr>
        <w:t>less likely to participate in work experience</w:t>
      </w:r>
      <w:r w:rsidR="005E2F63" w:rsidRPr="00A95204">
        <w:rPr>
          <w:sz w:val="24"/>
          <w:szCs w:val="24"/>
        </w:rPr>
        <w:t>, and have lower aspiratio</w:t>
      </w:r>
      <w:r w:rsidR="00100B6B" w:rsidRPr="00A95204">
        <w:rPr>
          <w:sz w:val="24"/>
          <w:szCs w:val="24"/>
        </w:rPr>
        <w:t>ns for post-school work (</w:t>
      </w:r>
      <w:r w:rsidR="00F54A38" w:rsidRPr="00A95204">
        <w:rPr>
          <w:sz w:val="24"/>
          <w:szCs w:val="24"/>
        </w:rPr>
        <w:t>Athena</w:t>
      </w:r>
      <w:r w:rsidR="00B66105" w:rsidRPr="00A95204">
        <w:rPr>
          <w:sz w:val="24"/>
          <w:szCs w:val="24"/>
        </w:rPr>
        <w:t>s</w:t>
      </w:r>
      <w:r w:rsidR="00CD7E86" w:rsidRPr="00A95204">
        <w:rPr>
          <w:sz w:val="24"/>
          <w:szCs w:val="24"/>
        </w:rPr>
        <w:t>o</w:t>
      </w:r>
      <w:r w:rsidR="00B66105" w:rsidRPr="00A95204">
        <w:rPr>
          <w:sz w:val="24"/>
          <w:szCs w:val="24"/>
        </w:rPr>
        <w:t>u et al. 2019)</w:t>
      </w:r>
      <w:r w:rsidR="00100B6B" w:rsidRPr="00A95204">
        <w:rPr>
          <w:sz w:val="24"/>
          <w:szCs w:val="24"/>
        </w:rPr>
        <w:t>. The e</w:t>
      </w:r>
      <w:r w:rsidR="0044591A" w:rsidRPr="00A95204">
        <w:rPr>
          <w:sz w:val="24"/>
          <w:szCs w:val="24"/>
        </w:rPr>
        <w:t xml:space="preserve">ducation, skills and attitudes </w:t>
      </w:r>
      <w:r w:rsidR="00100B6B" w:rsidRPr="00A95204">
        <w:rPr>
          <w:sz w:val="24"/>
          <w:szCs w:val="24"/>
        </w:rPr>
        <w:t xml:space="preserve">developed through school are </w:t>
      </w:r>
      <w:r w:rsidR="0044591A" w:rsidRPr="00A95204">
        <w:rPr>
          <w:sz w:val="24"/>
          <w:szCs w:val="24"/>
        </w:rPr>
        <w:t>closely linked to subsequent participation in post-school work or training. In turn, those who participate in work or training are</w:t>
      </w:r>
      <w:r w:rsidR="00100B6B" w:rsidRPr="00A95204">
        <w:rPr>
          <w:sz w:val="24"/>
          <w:szCs w:val="24"/>
        </w:rPr>
        <w:t xml:space="preserve"> more</w:t>
      </w:r>
      <w:r w:rsidR="0044591A" w:rsidRPr="00A95204">
        <w:rPr>
          <w:sz w:val="24"/>
          <w:szCs w:val="24"/>
        </w:rPr>
        <w:t xml:space="preserve"> likely to work, earn more, have more active social lives, and feel more independent</w:t>
      </w:r>
      <w:r w:rsidR="00100B6B" w:rsidRPr="00A95204">
        <w:rPr>
          <w:sz w:val="24"/>
          <w:szCs w:val="24"/>
        </w:rPr>
        <w:t xml:space="preserve"> than those who are disengaged from work, education, and training</w:t>
      </w:r>
      <w:r w:rsidR="0044591A" w:rsidRPr="00A95204">
        <w:rPr>
          <w:sz w:val="24"/>
          <w:szCs w:val="24"/>
        </w:rPr>
        <w:t xml:space="preserve">. </w:t>
      </w:r>
    </w:p>
    <w:p w14:paraId="5BBF42DA" w14:textId="77777777" w:rsidR="007A3169" w:rsidRPr="00A95204" w:rsidRDefault="001B3FFF" w:rsidP="00A4378E">
      <w:pPr>
        <w:pStyle w:val="NoSpacing"/>
        <w:rPr>
          <w:sz w:val="24"/>
          <w:szCs w:val="24"/>
        </w:rPr>
      </w:pPr>
      <w:r w:rsidRPr="00A95204">
        <w:rPr>
          <w:sz w:val="24"/>
          <w:szCs w:val="24"/>
        </w:rPr>
        <w:t>Ticket to Work is an initiative of National Disability Services</w:t>
      </w:r>
      <w:r w:rsidR="000F73E3" w:rsidRPr="00A95204">
        <w:rPr>
          <w:sz w:val="24"/>
          <w:szCs w:val="24"/>
        </w:rPr>
        <w:t>. Ticket to Work</w:t>
      </w:r>
      <w:r w:rsidR="009B75B3" w:rsidRPr="00A95204">
        <w:rPr>
          <w:sz w:val="24"/>
          <w:szCs w:val="24"/>
        </w:rPr>
        <w:t>’s</w:t>
      </w:r>
      <w:r w:rsidR="000F73E3" w:rsidRPr="00A95204">
        <w:rPr>
          <w:sz w:val="24"/>
          <w:szCs w:val="24"/>
        </w:rPr>
        <w:t xml:space="preserve"> theory of change is</w:t>
      </w:r>
      <w:r w:rsidR="007A3169" w:rsidRPr="00A95204">
        <w:rPr>
          <w:sz w:val="24"/>
          <w:szCs w:val="24"/>
        </w:rPr>
        <w:t>:</w:t>
      </w:r>
    </w:p>
    <w:p w14:paraId="537483C1" w14:textId="77777777" w:rsidR="007A3169" w:rsidRPr="00A95204" w:rsidRDefault="000F73E3" w:rsidP="00A95204">
      <w:pPr>
        <w:pStyle w:val="NoSpacing"/>
        <w:jc w:val="both"/>
        <w:rPr>
          <w:sz w:val="24"/>
          <w:szCs w:val="24"/>
        </w:rPr>
      </w:pPr>
      <w:r w:rsidRPr="00A95204">
        <w:rPr>
          <w:sz w:val="24"/>
          <w:szCs w:val="24"/>
        </w:rPr>
        <w:t>‘</w:t>
      </w:r>
      <w:r w:rsidR="00A14F01" w:rsidRPr="00A95204">
        <w:rPr>
          <w:iCs/>
          <w:sz w:val="24"/>
          <w:szCs w:val="24"/>
        </w:rPr>
        <w:t>c</w:t>
      </w:r>
      <w:r w:rsidRPr="00A95204">
        <w:rPr>
          <w:iCs/>
          <w:sz w:val="24"/>
          <w:szCs w:val="24"/>
        </w:rPr>
        <w:t>onnecting a student with disability with the world of work before they leave school through a coordinated approach, greatly improves their chances of securing ongoing open employment and creates better economic and social outcomes</w:t>
      </w:r>
      <w:r w:rsidRPr="00A95204">
        <w:rPr>
          <w:sz w:val="24"/>
          <w:szCs w:val="24"/>
        </w:rPr>
        <w:t xml:space="preserve">.’  </w:t>
      </w:r>
    </w:p>
    <w:p w14:paraId="37EF65CB" w14:textId="77777777" w:rsidR="00A4378E" w:rsidRPr="00A95204" w:rsidRDefault="00A14F01" w:rsidP="00A4378E">
      <w:pPr>
        <w:pStyle w:val="NoSpacing"/>
        <w:rPr>
          <w:sz w:val="24"/>
          <w:szCs w:val="24"/>
        </w:rPr>
      </w:pPr>
      <w:r w:rsidRPr="00A95204">
        <w:rPr>
          <w:sz w:val="24"/>
          <w:szCs w:val="24"/>
        </w:rPr>
        <w:t>Ticket to Work</w:t>
      </w:r>
      <w:r w:rsidR="001B3FFF" w:rsidRPr="00A95204">
        <w:rPr>
          <w:sz w:val="24"/>
          <w:szCs w:val="24"/>
        </w:rPr>
        <w:t xml:space="preserve"> seeks to </w:t>
      </w:r>
      <w:r w:rsidR="006E0DE5" w:rsidRPr="00A95204">
        <w:rPr>
          <w:sz w:val="24"/>
          <w:szCs w:val="24"/>
        </w:rPr>
        <w:t>address the causes of low</w:t>
      </w:r>
      <w:r w:rsidR="0053390B" w:rsidRPr="00A95204">
        <w:rPr>
          <w:sz w:val="24"/>
          <w:szCs w:val="24"/>
        </w:rPr>
        <w:t>er</w:t>
      </w:r>
      <w:r w:rsidR="006E0DE5" w:rsidRPr="00A95204">
        <w:rPr>
          <w:sz w:val="24"/>
          <w:szCs w:val="24"/>
        </w:rPr>
        <w:t xml:space="preserve"> labour force participation </w:t>
      </w:r>
      <w:r w:rsidR="00CE1C52" w:rsidRPr="00A95204">
        <w:rPr>
          <w:sz w:val="24"/>
          <w:szCs w:val="24"/>
        </w:rPr>
        <w:t xml:space="preserve">by focusing on </w:t>
      </w:r>
      <w:r w:rsidR="006E0DE5" w:rsidRPr="00A95204">
        <w:rPr>
          <w:sz w:val="24"/>
          <w:szCs w:val="24"/>
        </w:rPr>
        <w:t xml:space="preserve">young people with disability </w:t>
      </w:r>
      <w:r w:rsidR="00CE1C52" w:rsidRPr="00A95204">
        <w:rPr>
          <w:sz w:val="24"/>
          <w:szCs w:val="24"/>
        </w:rPr>
        <w:t xml:space="preserve">who </w:t>
      </w:r>
      <w:r w:rsidR="006E0DE5" w:rsidRPr="00A95204">
        <w:rPr>
          <w:sz w:val="24"/>
          <w:szCs w:val="24"/>
        </w:rPr>
        <w:t>are still at school.</w:t>
      </w:r>
      <w:r w:rsidR="007A3169" w:rsidRPr="00A95204">
        <w:rPr>
          <w:sz w:val="24"/>
          <w:szCs w:val="24"/>
        </w:rPr>
        <w:t xml:space="preserve"> </w:t>
      </w:r>
      <w:r w:rsidR="001510CB" w:rsidRPr="00A95204">
        <w:rPr>
          <w:sz w:val="24"/>
          <w:szCs w:val="24"/>
        </w:rPr>
        <w:t xml:space="preserve">It does this through </w:t>
      </w:r>
      <w:r w:rsidR="002B3B69" w:rsidRPr="00A95204">
        <w:rPr>
          <w:sz w:val="24"/>
          <w:szCs w:val="24"/>
        </w:rPr>
        <w:t xml:space="preserve">a combination of </w:t>
      </w:r>
      <w:r w:rsidR="00AA0308" w:rsidRPr="00A95204">
        <w:rPr>
          <w:sz w:val="24"/>
          <w:szCs w:val="24"/>
        </w:rPr>
        <w:t xml:space="preserve">school-based </w:t>
      </w:r>
      <w:r w:rsidR="002B3B69" w:rsidRPr="00A95204">
        <w:rPr>
          <w:sz w:val="24"/>
          <w:szCs w:val="24"/>
        </w:rPr>
        <w:t>vocational</w:t>
      </w:r>
      <w:r w:rsidR="001510CB" w:rsidRPr="00A95204">
        <w:rPr>
          <w:sz w:val="24"/>
          <w:szCs w:val="24"/>
        </w:rPr>
        <w:t xml:space="preserve"> and </w:t>
      </w:r>
      <w:r w:rsidR="002B3B69" w:rsidRPr="00A95204">
        <w:rPr>
          <w:sz w:val="24"/>
          <w:szCs w:val="24"/>
        </w:rPr>
        <w:t>career development</w:t>
      </w:r>
      <w:r w:rsidR="001510CB" w:rsidRPr="00A95204">
        <w:rPr>
          <w:sz w:val="24"/>
          <w:szCs w:val="24"/>
        </w:rPr>
        <w:t xml:space="preserve">, as well as </w:t>
      </w:r>
      <w:r w:rsidR="002B3B69" w:rsidRPr="00A95204">
        <w:rPr>
          <w:sz w:val="24"/>
          <w:szCs w:val="24"/>
        </w:rPr>
        <w:t>early contact with work environments.</w:t>
      </w:r>
      <w:r w:rsidR="00A4378E" w:rsidRPr="00A95204">
        <w:rPr>
          <w:sz w:val="24"/>
          <w:szCs w:val="24"/>
        </w:rPr>
        <w:t xml:space="preserve"> Operating since 2014, T</w:t>
      </w:r>
      <w:r w:rsidRPr="00A95204">
        <w:rPr>
          <w:sz w:val="24"/>
          <w:szCs w:val="24"/>
        </w:rPr>
        <w:t>icket to Work</w:t>
      </w:r>
      <w:r w:rsidR="00A4378E" w:rsidRPr="00A95204">
        <w:rPr>
          <w:sz w:val="24"/>
          <w:szCs w:val="24"/>
        </w:rPr>
        <w:t xml:space="preserve"> has provided</w:t>
      </w:r>
      <w:r w:rsidR="003F4389" w:rsidRPr="00A95204">
        <w:rPr>
          <w:sz w:val="24"/>
          <w:szCs w:val="24"/>
        </w:rPr>
        <w:t xml:space="preserve"> about 3</w:t>
      </w:r>
      <w:r w:rsidR="00A4378E" w:rsidRPr="00A95204">
        <w:rPr>
          <w:sz w:val="24"/>
          <w:szCs w:val="24"/>
        </w:rPr>
        <w:t>20</w:t>
      </w:r>
      <w:r w:rsidR="003F4389" w:rsidRPr="00A95204">
        <w:rPr>
          <w:sz w:val="24"/>
          <w:szCs w:val="24"/>
        </w:rPr>
        <w:t>0</w:t>
      </w:r>
      <w:r w:rsidR="00A4378E" w:rsidRPr="00A95204">
        <w:rPr>
          <w:sz w:val="24"/>
          <w:szCs w:val="24"/>
        </w:rPr>
        <w:t xml:space="preserve"> young people with </w:t>
      </w:r>
      <w:r w:rsidR="003F4389" w:rsidRPr="00A95204">
        <w:rPr>
          <w:sz w:val="24"/>
          <w:szCs w:val="24"/>
        </w:rPr>
        <w:t xml:space="preserve">support for </w:t>
      </w:r>
      <w:r w:rsidR="00A4378E" w:rsidRPr="00A95204">
        <w:rPr>
          <w:sz w:val="24"/>
          <w:szCs w:val="24"/>
        </w:rPr>
        <w:t>career development and work preparation activities</w:t>
      </w:r>
    </w:p>
    <w:p w14:paraId="7620FF0D" w14:textId="77777777" w:rsidR="00394F77" w:rsidRPr="00A95204" w:rsidRDefault="001510CB" w:rsidP="002B3B69">
      <w:pPr>
        <w:pStyle w:val="NoSpacing"/>
        <w:rPr>
          <w:sz w:val="24"/>
          <w:szCs w:val="24"/>
        </w:rPr>
      </w:pPr>
      <w:r w:rsidRPr="00A95204">
        <w:rPr>
          <w:sz w:val="24"/>
          <w:szCs w:val="24"/>
        </w:rPr>
        <w:t xml:space="preserve">The </w:t>
      </w:r>
      <w:r w:rsidR="00DC703A" w:rsidRPr="00A95204">
        <w:rPr>
          <w:sz w:val="24"/>
          <w:szCs w:val="24"/>
        </w:rPr>
        <w:t>model</w:t>
      </w:r>
      <w:r w:rsidR="000D749A" w:rsidRPr="00A95204">
        <w:rPr>
          <w:sz w:val="24"/>
          <w:szCs w:val="24"/>
        </w:rPr>
        <w:t xml:space="preserve"> </w:t>
      </w:r>
      <w:r w:rsidRPr="00A95204">
        <w:rPr>
          <w:sz w:val="24"/>
          <w:szCs w:val="24"/>
        </w:rPr>
        <w:t>is delivered through</w:t>
      </w:r>
      <w:r w:rsidR="003F4389" w:rsidRPr="00A95204">
        <w:rPr>
          <w:sz w:val="24"/>
          <w:szCs w:val="24"/>
        </w:rPr>
        <w:t xml:space="preserve"> 31</w:t>
      </w:r>
      <w:r w:rsidR="002B3B69" w:rsidRPr="00A95204">
        <w:rPr>
          <w:sz w:val="24"/>
          <w:szCs w:val="24"/>
        </w:rPr>
        <w:t xml:space="preserve"> </w:t>
      </w:r>
      <w:r w:rsidRPr="00A95204">
        <w:rPr>
          <w:sz w:val="24"/>
          <w:szCs w:val="24"/>
        </w:rPr>
        <w:t>l</w:t>
      </w:r>
      <w:r w:rsidR="002B3B69" w:rsidRPr="00A95204">
        <w:rPr>
          <w:sz w:val="24"/>
          <w:szCs w:val="24"/>
        </w:rPr>
        <w:t>ocal Ticket to Work networks</w:t>
      </w:r>
      <w:r w:rsidRPr="00A95204">
        <w:rPr>
          <w:sz w:val="24"/>
          <w:szCs w:val="24"/>
        </w:rPr>
        <w:t>, which typically</w:t>
      </w:r>
      <w:r w:rsidR="002B3B69" w:rsidRPr="00A95204">
        <w:rPr>
          <w:sz w:val="24"/>
          <w:szCs w:val="24"/>
        </w:rPr>
        <w:t xml:space="preserve"> includ</w:t>
      </w:r>
      <w:r w:rsidRPr="00A95204">
        <w:rPr>
          <w:sz w:val="24"/>
          <w:szCs w:val="24"/>
        </w:rPr>
        <w:t>e</w:t>
      </w:r>
      <w:r w:rsidR="002B3B69" w:rsidRPr="00A95204">
        <w:rPr>
          <w:sz w:val="24"/>
          <w:szCs w:val="24"/>
        </w:rPr>
        <w:t xml:space="preserve"> schools, employment services, post</w:t>
      </w:r>
      <w:r w:rsidR="002A3264" w:rsidRPr="00A95204">
        <w:rPr>
          <w:sz w:val="24"/>
          <w:szCs w:val="24"/>
        </w:rPr>
        <w:t>-</w:t>
      </w:r>
      <w:r w:rsidR="002B3B69" w:rsidRPr="00A95204">
        <w:rPr>
          <w:sz w:val="24"/>
          <w:szCs w:val="24"/>
        </w:rPr>
        <w:t xml:space="preserve">school </w:t>
      </w:r>
      <w:r w:rsidR="00620D91" w:rsidRPr="00A95204">
        <w:rPr>
          <w:sz w:val="24"/>
          <w:szCs w:val="24"/>
        </w:rPr>
        <w:t xml:space="preserve">service </w:t>
      </w:r>
      <w:r w:rsidR="002B3B69" w:rsidRPr="00A95204">
        <w:rPr>
          <w:sz w:val="24"/>
          <w:szCs w:val="24"/>
        </w:rPr>
        <w:t>providers and employers.</w:t>
      </w:r>
      <w:r w:rsidR="004D668E" w:rsidRPr="00A95204">
        <w:rPr>
          <w:sz w:val="24"/>
          <w:szCs w:val="24"/>
        </w:rPr>
        <w:t xml:space="preserve"> </w:t>
      </w:r>
      <w:r w:rsidR="005416B8" w:rsidRPr="00A95204">
        <w:rPr>
          <w:sz w:val="24"/>
          <w:szCs w:val="24"/>
        </w:rPr>
        <w:t>In total t</w:t>
      </w:r>
      <w:r w:rsidR="004D668E" w:rsidRPr="00A95204">
        <w:rPr>
          <w:sz w:val="24"/>
          <w:szCs w:val="24"/>
        </w:rPr>
        <w:t>here are about 370 network members</w:t>
      </w:r>
      <w:r w:rsidR="00CF64FF" w:rsidRPr="00A95204">
        <w:rPr>
          <w:sz w:val="24"/>
          <w:szCs w:val="24"/>
        </w:rPr>
        <w:t xml:space="preserve">, </w:t>
      </w:r>
      <w:r w:rsidR="005416B8" w:rsidRPr="00A95204">
        <w:rPr>
          <w:sz w:val="24"/>
          <w:szCs w:val="24"/>
        </w:rPr>
        <w:t xml:space="preserve">1900 employers, </w:t>
      </w:r>
      <w:r w:rsidR="004D668E" w:rsidRPr="00A95204">
        <w:rPr>
          <w:sz w:val="24"/>
          <w:szCs w:val="24"/>
        </w:rPr>
        <w:t xml:space="preserve">and 261 schools across those 31 local networks. </w:t>
      </w:r>
      <w:r w:rsidR="00F3443F" w:rsidRPr="00A95204">
        <w:rPr>
          <w:sz w:val="24"/>
          <w:szCs w:val="24"/>
        </w:rPr>
        <w:t>With an emphasis on evidence-based</w:t>
      </w:r>
      <w:r w:rsidR="006F6C77" w:rsidRPr="00A95204">
        <w:rPr>
          <w:sz w:val="24"/>
          <w:szCs w:val="24"/>
        </w:rPr>
        <w:t xml:space="preserve"> </w:t>
      </w:r>
      <w:r w:rsidR="00F3443F" w:rsidRPr="00A95204">
        <w:rPr>
          <w:sz w:val="24"/>
          <w:szCs w:val="24"/>
        </w:rPr>
        <w:t xml:space="preserve">practice, these </w:t>
      </w:r>
      <w:r w:rsidR="00394F77" w:rsidRPr="00A95204">
        <w:rPr>
          <w:sz w:val="24"/>
          <w:szCs w:val="24"/>
        </w:rPr>
        <w:t>networks bring</w:t>
      </w:r>
      <w:r w:rsidR="002B3B69" w:rsidRPr="00A95204">
        <w:rPr>
          <w:sz w:val="24"/>
          <w:szCs w:val="24"/>
        </w:rPr>
        <w:t xml:space="preserve"> disability-specific and mainstream representatives from a variety of sectors </w:t>
      </w:r>
      <w:r w:rsidR="00394F77" w:rsidRPr="00A95204">
        <w:rPr>
          <w:sz w:val="24"/>
          <w:szCs w:val="24"/>
        </w:rPr>
        <w:t xml:space="preserve">to </w:t>
      </w:r>
      <w:r w:rsidR="002B3B69" w:rsidRPr="00A95204">
        <w:rPr>
          <w:sz w:val="24"/>
          <w:szCs w:val="24"/>
        </w:rPr>
        <w:t>support young people to gain access to early experiences that</w:t>
      </w:r>
      <w:r w:rsidR="00394F77" w:rsidRPr="00A95204">
        <w:rPr>
          <w:sz w:val="24"/>
          <w:szCs w:val="24"/>
        </w:rPr>
        <w:t>:</w:t>
      </w:r>
    </w:p>
    <w:p w14:paraId="6AE57B8C" w14:textId="77777777" w:rsidR="00394F77" w:rsidRPr="00A95204" w:rsidRDefault="002B3B69" w:rsidP="00A95204">
      <w:pPr>
        <w:pStyle w:val="Bulletlist"/>
        <w:ind w:left="360"/>
        <w:rPr>
          <w:sz w:val="24"/>
          <w:szCs w:val="24"/>
        </w:rPr>
      </w:pPr>
      <w:r w:rsidRPr="00A95204">
        <w:rPr>
          <w:sz w:val="24"/>
          <w:szCs w:val="24"/>
        </w:rPr>
        <w:t>positively influence their views of themselves as workers</w:t>
      </w:r>
    </w:p>
    <w:p w14:paraId="00C1A45F" w14:textId="77777777" w:rsidR="00394F77" w:rsidRPr="00A95204" w:rsidRDefault="002B3B69" w:rsidP="00A95204">
      <w:pPr>
        <w:pStyle w:val="Bulletlist"/>
        <w:ind w:left="360"/>
        <w:rPr>
          <w:sz w:val="24"/>
          <w:szCs w:val="24"/>
        </w:rPr>
      </w:pPr>
      <w:r w:rsidRPr="00A95204">
        <w:rPr>
          <w:sz w:val="24"/>
          <w:szCs w:val="24"/>
        </w:rPr>
        <w:t xml:space="preserve">prepare </w:t>
      </w:r>
      <w:r w:rsidR="00484F4C" w:rsidRPr="00A95204">
        <w:rPr>
          <w:sz w:val="24"/>
          <w:szCs w:val="24"/>
        </w:rPr>
        <w:t>them</w:t>
      </w:r>
      <w:r w:rsidRPr="00A95204">
        <w:rPr>
          <w:sz w:val="24"/>
          <w:szCs w:val="24"/>
        </w:rPr>
        <w:t xml:space="preserve"> for the workplace</w:t>
      </w:r>
    </w:p>
    <w:p w14:paraId="1FCB8364" w14:textId="77777777" w:rsidR="00394F77" w:rsidRPr="00A95204" w:rsidRDefault="002B3B69" w:rsidP="00A95204">
      <w:pPr>
        <w:pStyle w:val="Bulletlist"/>
        <w:ind w:left="360"/>
        <w:rPr>
          <w:sz w:val="24"/>
          <w:szCs w:val="24"/>
        </w:rPr>
      </w:pPr>
      <w:r w:rsidRPr="00A95204">
        <w:rPr>
          <w:sz w:val="24"/>
          <w:szCs w:val="24"/>
        </w:rPr>
        <w:t>give them an employment pathway that is typical of other young adults</w:t>
      </w:r>
    </w:p>
    <w:p w14:paraId="5D7C539E" w14:textId="77777777" w:rsidR="002B3B69" w:rsidRPr="00A95204" w:rsidRDefault="002B3B69" w:rsidP="00A95204">
      <w:pPr>
        <w:pStyle w:val="Bulletlist"/>
        <w:ind w:left="450"/>
        <w:rPr>
          <w:sz w:val="24"/>
          <w:szCs w:val="24"/>
        </w:rPr>
      </w:pPr>
      <w:r w:rsidRPr="00A95204">
        <w:rPr>
          <w:sz w:val="24"/>
          <w:szCs w:val="24"/>
        </w:rPr>
        <w:lastRenderedPageBreak/>
        <w:t>increase opportunities for meaningful work experience and learning prior to exiting school</w:t>
      </w:r>
    </w:p>
    <w:p w14:paraId="05A0B3E6" w14:textId="77777777" w:rsidR="00F24076" w:rsidRPr="00A95204" w:rsidRDefault="00394F77" w:rsidP="00F24076">
      <w:pPr>
        <w:pStyle w:val="NoSpacing"/>
        <w:rPr>
          <w:sz w:val="24"/>
          <w:szCs w:val="24"/>
        </w:rPr>
      </w:pPr>
      <w:r w:rsidRPr="00A95204">
        <w:rPr>
          <w:sz w:val="24"/>
          <w:szCs w:val="24"/>
        </w:rPr>
        <w:t xml:space="preserve">Each </w:t>
      </w:r>
      <w:r w:rsidR="0053390B" w:rsidRPr="00A95204">
        <w:rPr>
          <w:sz w:val="24"/>
          <w:szCs w:val="24"/>
        </w:rPr>
        <w:t>T</w:t>
      </w:r>
      <w:r w:rsidRPr="00A95204">
        <w:rPr>
          <w:sz w:val="24"/>
          <w:szCs w:val="24"/>
        </w:rPr>
        <w:t xml:space="preserve">icket to </w:t>
      </w:r>
      <w:r w:rsidR="0053390B" w:rsidRPr="00A95204">
        <w:rPr>
          <w:sz w:val="24"/>
          <w:szCs w:val="24"/>
        </w:rPr>
        <w:t>W</w:t>
      </w:r>
      <w:r w:rsidRPr="00A95204">
        <w:rPr>
          <w:sz w:val="24"/>
          <w:szCs w:val="24"/>
        </w:rPr>
        <w:t>ork participant takes part in a range of activities that are tailored to their needs. Those activities include</w:t>
      </w:r>
      <w:r w:rsidR="00F24076" w:rsidRPr="00A95204">
        <w:rPr>
          <w:sz w:val="24"/>
          <w:szCs w:val="24"/>
        </w:rPr>
        <w:t>:</w:t>
      </w:r>
    </w:p>
    <w:p w14:paraId="0122321C" w14:textId="77777777" w:rsidR="00F24076" w:rsidRPr="00A95204" w:rsidRDefault="00F24076" w:rsidP="00A95204">
      <w:pPr>
        <w:pStyle w:val="Bulletlist"/>
        <w:ind w:left="450"/>
        <w:rPr>
          <w:sz w:val="24"/>
          <w:szCs w:val="24"/>
        </w:rPr>
      </w:pPr>
      <w:r w:rsidRPr="00A95204">
        <w:rPr>
          <w:sz w:val="24"/>
          <w:szCs w:val="24"/>
        </w:rPr>
        <w:t>Vocational Education and Training at secondary school</w:t>
      </w:r>
    </w:p>
    <w:p w14:paraId="17E90E74" w14:textId="77777777" w:rsidR="00F24076" w:rsidRPr="00A95204" w:rsidRDefault="00F24076" w:rsidP="00A95204">
      <w:pPr>
        <w:pStyle w:val="Bulletlist"/>
        <w:ind w:left="450"/>
        <w:rPr>
          <w:sz w:val="24"/>
          <w:szCs w:val="24"/>
        </w:rPr>
      </w:pPr>
      <w:r w:rsidRPr="00A95204">
        <w:rPr>
          <w:sz w:val="24"/>
          <w:szCs w:val="24"/>
        </w:rPr>
        <w:t>Australian School based Apprenticeships and Traineeships (ASbAT)</w:t>
      </w:r>
    </w:p>
    <w:p w14:paraId="62DC270C" w14:textId="77777777" w:rsidR="00F24076" w:rsidRPr="00A95204" w:rsidRDefault="00F24076" w:rsidP="00A95204">
      <w:pPr>
        <w:pStyle w:val="Bulletlist"/>
        <w:ind w:left="450"/>
        <w:rPr>
          <w:sz w:val="24"/>
          <w:szCs w:val="24"/>
        </w:rPr>
      </w:pPr>
      <w:r w:rsidRPr="00A95204">
        <w:rPr>
          <w:sz w:val="24"/>
          <w:szCs w:val="24"/>
        </w:rPr>
        <w:t>Work experience/ placement</w:t>
      </w:r>
    </w:p>
    <w:p w14:paraId="32D2D176" w14:textId="77777777" w:rsidR="00F24076" w:rsidRPr="00A95204" w:rsidRDefault="00F24076" w:rsidP="00A95204">
      <w:pPr>
        <w:pStyle w:val="Bulletlist"/>
        <w:ind w:left="450"/>
        <w:rPr>
          <w:sz w:val="24"/>
          <w:szCs w:val="24"/>
        </w:rPr>
      </w:pPr>
      <w:r w:rsidRPr="00A95204">
        <w:rPr>
          <w:sz w:val="24"/>
          <w:szCs w:val="24"/>
        </w:rPr>
        <w:t>Career development through customised employment techniques</w:t>
      </w:r>
    </w:p>
    <w:p w14:paraId="5CBA72C8" w14:textId="77777777" w:rsidR="00F24076" w:rsidRPr="00A95204" w:rsidRDefault="00F24076" w:rsidP="00A95204">
      <w:pPr>
        <w:pStyle w:val="Bulletlist"/>
        <w:ind w:left="450"/>
        <w:rPr>
          <w:sz w:val="24"/>
          <w:szCs w:val="24"/>
        </w:rPr>
      </w:pPr>
      <w:r w:rsidRPr="00A95204">
        <w:rPr>
          <w:sz w:val="24"/>
          <w:szCs w:val="24"/>
        </w:rPr>
        <w:t>After</w:t>
      </w:r>
      <w:r w:rsidR="009829EE" w:rsidRPr="00A95204">
        <w:rPr>
          <w:sz w:val="24"/>
          <w:szCs w:val="24"/>
        </w:rPr>
        <w:t>-</w:t>
      </w:r>
      <w:r w:rsidRPr="00A95204">
        <w:rPr>
          <w:sz w:val="24"/>
          <w:szCs w:val="24"/>
        </w:rPr>
        <w:t>school work</w:t>
      </w:r>
    </w:p>
    <w:p w14:paraId="77D25777" w14:textId="77777777" w:rsidR="00937D83" w:rsidRPr="00A95204" w:rsidRDefault="00F24076" w:rsidP="00A95204">
      <w:pPr>
        <w:pStyle w:val="Bulletlist"/>
        <w:ind w:left="450"/>
        <w:rPr>
          <w:sz w:val="24"/>
          <w:szCs w:val="24"/>
        </w:rPr>
      </w:pPr>
      <w:r w:rsidRPr="00A95204">
        <w:rPr>
          <w:sz w:val="24"/>
          <w:szCs w:val="24"/>
        </w:rPr>
        <w:t>Self-employment during secondary school (microbusiness).</w:t>
      </w:r>
    </w:p>
    <w:p w14:paraId="5B727740" w14:textId="46A59334" w:rsidR="009B5E16" w:rsidRPr="00A95204" w:rsidRDefault="006D44C2" w:rsidP="00630036">
      <w:pPr>
        <w:pStyle w:val="NoSpacing"/>
        <w:rPr>
          <w:sz w:val="24"/>
          <w:szCs w:val="24"/>
        </w:rPr>
      </w:pPr>
      <w:bookmarkStart w:id="4" w:name="_GoBack"/>
      <w:bookmarkEnd w:id="4"/>
      <w:r w:rsidRPr="00A95204">
        <w:rPr>
          <w:sz w:val="24"/>
          <w:szCs w:val="24"/>
        </w:rPr>
        <w:t xml:space="preserve">The outcomes and impact that these activities are intended to have on the lives of participants </w:t>
      </w:r>
      <w:r w:rsidR="00EB5334" w:rsidRPr="00A95204">
        <w:rPr>
          <w:sz w:val="24"/>
          <w:szCs w:val="24"/>
        </w:rPr>
        <w:t>are</w:t>
      </w:r>
      <w:r w:rsidRPr="00A95204">
        <w:rPr>
          <w:sz w:val="24"/>
          <w:szCs w:val="24"/>
        </w:rPr>
        <w:t xml:space="preserve"> described</w:t>
      </w:r>
      <w:r w:rsidR="0085365F" w:rsidRPr="00A95204">
        <w:rPr>
          <w:sz w:val="24"/>
          <w:szCs w:val="24"/>
        </w:rPr>
        <w:t xml:space="preserve"> in Section </w:t>
      </w:r>
      <w:r w:rsidR="0085365F" w:rsidRPr="00A95204">
        <w:rPr>
          <w:sz w:val="24"/>
          <w:szCs w:val="24"/>
        </w:rPr>
        <w:fldChar w:fldCharType="begin"/>
      </w:r>
      <w:r w:rsidR="0085365F" w:rsidRPr="00A95204">
        <w:rPr>
          <w:sz w:val="24"/>
          <w:szCs w:val="24"/>
        </w:rPr>
        <w:instrText xml:space="preserve"> REF _Ref22879188 \r \h </w:instrText>
      </w:r>
      <w:r w:rsidR="00A95204">
        <w:rPr>
          <w:sz w:val="24"/>
          <w:szCs w:val="24"/>
        </w:rPr>
        <w:instrText xml:space="preserve"> \* MERGEFORMAT </w:instrText>
      </w:r>
      <w:r w:rsidR="0085365F" w:rsidRPr="00A95204">
        <w:rPr>
          <w:sz w:val="24"/>
          <w:szCs w:val="24"/>
        </w:rPr>
      </w:r>
      <w:r w:rsidR="0085365F" w:rsidRPr="00A95204">
        <w:rPr>
          <w:sz w:val="24"/>
          <w:szCs w:val="24"/>
        </w:rPr>
        <w:fldChar w:fldCharType="separate"/>
      </w:r>
      <w:r w:rsidR="00641753" w:rsidRPr="00A95204">
        <w:rPr>
          <w:sz w:val="24"/>
          <w:szCs w:val="24"/>
        </w:rPr>
        <w:t>5</w:t>
      </w:r>
      <w:r w:rsidR="0085365F" w:rsidRPr="00A95204">
        <w:rPr>
          <w:sz w:val="24"/>
          <w:szCs w:val="24"/>
        </w:rPr>
        <w:fldChar w:fldCharType="end"/>
      </w:r>
      <w:r w:rsidR="002B6963" w:rsidRPr="00A95204">
        <w:rPr>
          <w:sz w:val="24"/>
          <w:szCs w:val="24"/>
        </w:rPr>
        <w:t>. Together, these activities</w:t>
      </w:r>
      <w:r w:rsidRPr="00A95204">
        <w:rPr>
          <w:sz w:val="24"/>
          <w:szCs w:val="24"/>
        </w:rPr>
        <w:t xml:space="preserve"> </w:t>
      </w:r>
      <w:r w:rsidR="006355D6" w:rsidRPr="00A95204">
        <w:rPr>
          <w:sz w:val="24"/>
          <w:szCs w:val="24"/>
        </w:rPr>
        <w:t xml:space="preserve">are intended to </w:t>
      </w:r>
      <w:r w:rsidR="002B6963" w:rsidRPr="00A95204">
        <w:rPr>
          <w:sz w:val="24"/>
          <w:szCs w:val="24"/>
        </w:rPr>
        <w:t>build the career aspiration</w:t>
      </w:r>
      <w:r w:rsidR="00845A00" w:rsidRPr="00A95204">
        <w:rPr>
          <w:sz w:val="24"/>
          <w:szCs w:val="24"/>
        </w:rPr>
        <w:t>s, confidence, and skills of participants</w:t>
      </w:r>
      <w:r w:rsidR="003F1EB7" w:rsidRPr="00A95204">
        <w:rPr>
          <w:sz w:val="24"/>
          <w:szCs w:val="24"/>
        </w:rPr>
        <w:t>.</w:t>
      </w:r>
      <w:r w:rsidR="006355D6" w:rsidRPr="00A95204">
        <w:rPr>
          <w:sz w:val="24"/>
          <w:szCs w:val="24"/>
        </w:rPr>
        <w:t xml:space="preserve"> </w:t>
      </w:r>
    </w:p>
    <w:p w14:paraId="5155B860" w14:textId="77777777" w:rsidR="0053390B" w:rsidRDefault="00D64E22" w:rsidP="00403540">
      <w:pPr>
        <w:pStyle w:val="NoSpacing"/>
        <w:keepNext/>
      </w:pPr>
      <w:r>
        <w:rPr>
          <w:noProof/>
          <w:lang w:eastAsia="en-AU"/>
        </w:rPr>
        <w:drawing>
          <wp:inline distT="0" distB="0" distL="0" distR="0" wp14:anchorId="5C304209" wp14:editId="37B71648">
            <wp:extent cx="5731510" cy="3183560"/>
            <wp:effectExtent l="0" t="0" r="2540" b="0"/>
            <wp:docPr id="4" name="Picture 4" descr="Ticket to Work Activities: Vocational outcomes, Micro-business,Career development, School based apprenticeships, After school work, Work experience placements.&#10;Participants more likely to finish year 12, particpants build career aspirations, particiapnts develop in demand work skills/experience, particpants develop personal skills and confidence. &#10;&#10;Short-medium term outcomes: participants likley to be disengaged from work/study, particpants more likley to go to further study/training, particpants more likley to be in employment, those employed more likley to be in open employment. &#10;&#10;carers have more time for work/recreation.&#10;&#10;long term social outcomes: Participants feel more independent,Participants increase social participation,  Carers earn increased incomes, Participants earn increased income, People with disability are present in the community.&#10;&#10;long term fiscal outcomes: Reduction in NDIS support requirements, Increase in Disability Employment Services usage, Reduction in disability and carer welfare payments, Increase in tax revenue, Reduction in DEA grants for supported employ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183560"/>
                    </a:xfrm>
                    <a:prstGeom prst="rect">
                      <a:avLst/>
                    </a:prstGeom>
                  </pic:spPr>
                </pic:pic>
              </a:graphicData>
            </a:graphic>
          </wp:inline>
        </w:drawing>
      </w:r>
    </w:p>
    <w:p w14:paraId="608F2AD1" w14:textId="77777777" w:rsidR="00570CC5" w:rsidRPr="00A95204" w:rsidRDefault="0053390B" w:rsidP="00403540">
      <w:pPr>
        <w:pStyle w:val="Caption"/>
        <w:rPr>
          <w:i w:val="0"/>
          <w:color w:val="auto"/>
          <w:sz w:val="24"/>
          <w:szCs w:val="24"/>
        </w:rPr>
      </w:pPr>
      <w:r w:rsidRPr="00A95204">
        <w:rPr>
          <w:i w:val="0"/>
          <w:color w:val="auto"/>
          <w:sz w:val="24"/>
          <w:szCs w:val="24"/>
        </w:rPr>
        <w:t xml:space="preserve">Figure </w:t>
      </w:r>
      <w:r w:rsidR="00A37DAD" w:rsidRPr="00A95204">
        <w:rPr>
          <w:i w:val="0"/>
          <w:color w:val="auto"/>
          <w:sz w:val="24"/>
          <w:szCs w:val="24"/>
        </w:rPr>
        <w:fldChar w:fldCharType="begin"/>
      </w:r>
      <w:r w:rsidR="00A37DAD" w:rsidRPr="00A95204">
        <w:rPr>
          <w:i w:val="0"/>
          <w:color w:val="auto"/>
          <w:sz w:val="24"/>
          <w:szCs w:val="24"/>
        </w:rPr>
        <w:instrText xml:space="preserve"> SEQ Figure \* ARABIC </w:instrText>
      </w:r>
      <w:r w:rsidR="00A37DAD" w:rsidRPr="00A95204">
        <w:rPr>
          <w:i w:val="0"/>
          <w:color w:val="auto"/>
          <w:sz w:val="24"/>
          <w:szCs w:val="24"/>
        </w:rPr>
        <w:fldChar w:fldCharType="separate"/>
      </w:r>
      <w:r w:rsidR="004912C4" w:rsidRPr="00A95204">
        <w:rPr>
          <w:i w:val="0"/>
          <w:noProof/>
          <w:color w:val="auto"/>
          <w:sz w:val="24"/>
          <w:szCs w:val="24"/>
        </w:rPr>
        <w:t>3</w:t>
      </w:r>
      <w:r w:rsidR="00A37DAD" w:rsidRPr="00A95204">
        <w:rPr>
          <w:i w:val="0"/>
          <w:noProof/>
          <w:color w:val="auto"/>
          <w:sz w:val="24"/>
          <w:szCs w:val="24"/>
        </w:rPr>
        <w:fldChar w:fldCharType="end"/>
      </w:r>
      <w:r w:rsidRPr="00A95204">
        <w:rPr>
          <w:i w:val="0"/>
          <w:color w:val="auto"/>
          <w:sz w:val="24"/>
          <w:szCs w:val="24"/>
        </w:rPr>
        <w:t xml:space="preserve">: Ticket to Work </w:t>
      </w:r>
      <w:r w:rsidR="000C4CA3" w:rsidRPr="00A95204">
        <w:rPr>
          <w:i w:val="0"/>
          <w:color w:val="auto"/>
          <w:sz w:val="24"/>
          <w:szCs w:val="24"/>
        </w:rPr>
        <w:t>logic model</w:t>
      </w:r>
    </w:p>
    <w:p w14:paraId="6F6A7C00" w14:textId="77777777" w:rsidR="00174CFE" w:rsidRPr="00A95204" w:rsidRDefault="00F35CE7" w:rsidP="00174CFE">
      <w:pPr>
        <w:pStyle w:val="NoSpacing"/>
        <w:rPr>
          <w:sz w:val="24"/>
          <w:szCs w:val="24"/>
        </w:rPr>
      </w:pPr>
      <w:r w:rsidRPr="00A95204">
        <w:rPr>
          <w:sz w:val="24"/>
          <w:szCs w:val="24"/>
        </w:rPr>
        <w:t>Some of the o</w:t>
      </w:r>
      <w:r w:rsidR="000C4CA3" w:rsidRPr="00A95204">
        <w:rPr>
          <w:sz w:val="24"/>
          <w:szCs w:val="24"/>
        </w:rPr>
        <w:t>utcomes identified in this logic model were</w:t>
      </w:r>
      <w:r w:rsidR="00155B73" w:rsidRPr="00A95204">
        <w:rPr>
          <w:sz w:val="24"/>
          <w:szCs w:val="24"/>
        </w:rPr>
        <w:t xml:space="preserve"> tested through a quasi-experimental study of a sample of </w:t>
      </w:r>
      <w:r w:rsidR="000D749A" w:rsidRPr="00A95204">
        <w:rPr>
          <w:sz w:val="24"/>
          <w:szCs w:val="24"/>
        </w:rPr>
        <w:t>Ticket to Work</w:t>
      </w:r>
      <w:r w:rsidR="00155B73" w:rsidRPr="00A95204">
        <w:rPr>
          <w:sz w:val="24"/>
          <w:szCs w:val="24"/>
        </w:rPr>
        <w:t xml:space="preserve"> participants conducted by ARTD in 2019. </w:t>
      </w:r>
      <w:r w:rsidR="00174CFE" w:rsidRPr="00A95204">
        <w:rPr>
          <w:sz w:val="24"/>
          <w:szCs w:val="24"/>
        </w:rPr>
        <w:t xml:space="preserve">The 2019 Evaluation, along with a more detailed description of the </w:t>
      </w:r>
      <w:r w:rsidR="00DC703A" w:rsidRPr="00A95204">
        <w:rPr>
          <w:sz w:val="24"/>
          <w:szCs w:val="24"/>
        </w:rPr>
        <w:t>model</w:t>
      </w:r>
      <w:r w:rsidR="000D749A" w:rsidRPr="00A95204">
        <w:rPr>
          <w:sz w:val="24"/>
          <w:szCs w:val="24"/>
        </w:rPr>
        <w:t xml:space="preserve"> </w:t>
      </w:r>
      <w:r w:rsidR="00174CFE" w:rsidRPr="00A95204">
        <w:rPr>
          <w:sz w:val="24"/>
          <w:szCs w:val="24"/>
        </w:rPr>
        <w:t xml:space="preserve">is available on the </w:t>
      </w:r>
      <w:r w:rsidR="000D749A" w:rsidRPr="00A95204">
        <w:rPr>
          <w:sz w:val="24"/>
          <w:szCs w:val="24"/>
        </w:rPr>
        <w:t xml:space="preserve">Ticket to Work </w:t>
      </w:r>
      <w:r w:rsidR="00174CFE" w:rsidRPr="00A95204">
        <w:rPr>
          <w:sz w:val="24"/>
          <w:szCs w:val="24"/>
        </w:rPr>
        <w:t xml:space="preserve">website: </w:t>
      </w:r>
      <w:hyperlink r:id="rId16" w:history="1">
        <w:r w:rsidR="00174CFE" w:rsidRPr="00A95204">
          <w:rPr>
            <w:rStyle w:val="Hyperlink"/>
            <w:sz w:val="24"/>
            <w:szCs w:val="24"/>
          </w:rPr>
          <w:t>tickettowork.org.au</w:t>
        </w:r>
      </w:hyperlink>
      <w:r w:rsidR="00174CFE" w:rsidRPr="00A95204">
        <w:rPr>
          <w:sz w:val="24"/>
          <w:szCs w:val="24"/>
        </w:rPr>
        <w:t xml:space="preserve">. </w:t>
      </w:r>
      <w:r w:rsidR="00B23261" w:rsidRPr="00A95204">
        <w:rPr>
          <w:sz w:val="24"/>
          <w:szCs w:val="24"/>
        </w:rPr>
        <w:t>A</w:t>
      </w:r>
      <w:r w:rsidR="00174CFE" w:rsidRPr="00A95204">
        <w:rPr>
          <w:sz w:val="24"/>
          <w:szCs w:val="24"/>
        </w:rPr>
        <w:t>n overview of the key findin</w:t>
      </w:r>
      <w:r w:rsidR="00234846">
        <w:rPr>
          <w:sz w:val="24"/>
          <w:szCs w:val="24"/>
        </w:rPr>
        <w:t xml:space="preserve">gs of that study </w:t>
      </w:r>
      <w:r w:rsidR="00174CFE" w:rsidRPr="00A95204">
        <w:rPr>
          <w:sz w:val="24"/>
          <w:szCs w:val="24"/>
        </w:rPr>
        <w:t>shows that Ticket to Work participants were:</w:t>
      </w:r>
    </w:p>
    <w:p w14:paraId="6323F14D" w14:textId="77777777" w:rsidR="00174CFE" w:rsidRPr="00A95204" w:rsidRDefault="00174CFE" w:rsidP="00A95204">
      <w:pPr>
        <w:pStyle w:val="NoSpacing"/>
        <w:numPr>
          <w:ilvl w:val="0"/>
          <w:numId w:val="6"/>
        </w:numPr>
        <w:ind w:left="360"/>
        <w:rPr>
          <w:sz w:val="24"/>
          <w:szCs w:val="24"/>
        </w:rPr>
      </w:pPr>
      <w:r w:rsidRPr="00A95204">
        <w:rPr>
          <w:sz w:val="24"/>
          <w:szCs w:val="24"/>
        </w:rPr>
        <w:t>Twice as likely to finish school</w:t>
      </w:r>
    </w:p>
    <w:p w14:paraId="74ED06FD" w14:textId="10C1158A" w:rsidR="00174CFE" w:rsidRPr="00A95204" w:rsidRDefault="00D03F10" w:rsidP="00A95204">
      <w:pPr>
        <w:pStyle w:val="NoSpacing"/>
        <w:numPr>
          <w:ilvl w:val="0"/>
          <w:numId w:val="6"/>
        </w:numPr>
        <w:ind w:left="360"/>
        <w:rPr>
          <w:sz w:val="24"/>
          <w:szCs w:val="24"/>
        </w:rPr>
      </w:pPr>
      <w:r>
        <w:rPr>
          <w:sz w:val="24"/>
          <w:szCs w:val="24"/>
        </w:rPr>
        <w:lastRenderedPageBreak/>
        <w:t>Three</w:t>
      </w:r>
      <w:r w:rsidR="00174CFE" w:rsidRPr="00A95204">
        <w:rPr>
          <w:sz w:val="24"/>
          <w:szCs w:val="24"/>
        </w:rPr>
        <w:t xml:space="preserve"> times as likely to be in open employment</w:t>
      </w:r>
    </w:p>
    <w:p w14:paraId="443206F4" w14:textId="77777777" w:rsidR="00224D7D" w:rsidRPr="00A95204" w:rsidRDefault="005607B1" w:rsidP="00A95204">
      <w:pPr>
        <w:pStyle w:val="NoSpacing"/>
        <w:numPr>
          <w:ilvl w:val="0"/>
          <w:numId w:val="6"/>
        </w:numPr>
        <w:ind w:left="360"/>
        <w:rPr>
          <w:sz w:val="24"/>
          <w:szCs w:val="24"/>
        </w:rPr>
      </w:pPr>
      <w:r w:rsidRPr="00A95204">
        <w:rPr>
          <w:sz w:val="24"/>
          <w:szCs w:val="24"/>
        </w:rPr>
        <w:t>50% more likely to participate in the workforce, and t</w:t>
      </w:r>
      <w:r w:rsidR="00174CFE" w:rsidRPr="00A95204">
        <w:rPr>
          <w:sz w:val="24"/>
          <w:szCs w:val="24"/>
        </w:rPr>
        <w:t>wice as likely to be employed</w:t>
      </w:r>
    </w:p>
    <w:p w14:paraId="4E419FF9" w14:textId="77777777" w:rsidR="00174CFE" w:rsidRPr="00A95204" w:rsidRDefault="00174CFE" w:rsidP="00A95204">
      <w:pPr>
        <w:pStyle w:val="NoSpacing"/>
        <w:numPr>
          <w:ilvl w:val="0"/>
          <w:numId w:val="6"/>
        </w:numPr>
        <w:ind w:left="360"/>
        <w:rPr>
          <w:sz w:val="24"/>
          <w:szCs w:val="24"/>
        </w:rPr>
      </w:pPr>
      <w:r w:rsidRPr="00A95204">
        <w:rPr>
          <w:sz w:val="24"/>
          <w:szCs w:val="24"/>
        </w:rPr>
        <w:t>Twice as likely to feel they have ‘about the right level of independence’</w:t>
      </w:r>
    </w:p>
    <w:p w14:paraId="46A2EB6C" w14:textId="77777777" w:rsidR="00174CFE" w:rsidRPr="00A95204" w:rsidRDefault="00174CFE" w:rsidP="00A95204">
      <w:pPr>
        <w:pStyle w:val="NoSpacing"/>
        <w:numPr>
          <w:ilvl w:val="0"/>
          <w:numId w:val="6"/>
        </w:numPr>
        <w:ind w:left="360"/>
        <w:rPr>
          <w:sz w:val="24"/>
          <w:szCs w:val="24"/>
        </w:rPr>
      </w:pPr>
      <w:r w:rsidRPr="00A95204">
        <w:rPr>
          <w:sz w:val="24"/>
          <w:szCs w:val="24"/>
        </w:rPr>
        <w:t>Half as likely to be disengaged from work or study</w:t>
      </w:r>
    </w:p>
    <w:p w14:paraId="732E7183" w14:textId="77777777" w:rsidR="00F24076" w:rsidRDefault="00F24076" w:rsidP="00F24076"/>
    <w:p w14:paraId="57C5A247" w14:textId="77777777" w:rsidR="001B3FFF" w:rsidRDefault="001B3FFF" w:rsidP="00CD1D16">
      <w:pPr>
        <w:pStyle w:val="Heading3"/>
      </w:pPr>
      <w:bookmarkStart w:id="5" w:name="_Toc20652508"/>
      <w:r>
        <w:t>Methodology</w:t>
      </w:r>
      <w:bookmarkEnd w:id="5"/>
    </w:p>
    <w:p w14:paraId="53EF6904" w14:textId="77777777" w:rsidR="00EB0A67" w:rsidRPr="0060666C" w:rsidRDefault="00EB0A67" w:rsidP="0060666C">
      <w:pPr>
        <w:pStyle w:val="NoSpacing"/>
        <w:rPr>
          <w:b/>
          <w:sz w:val="24"/>
          <w:szCs w:val="24"/>
        </w:rPr>
      </w:pPr>
      <w:r w:rsidRPr="0060666C">
        <w:rPr>
          <w:b/>
          <w:sz w:val="24"/>
          <w:szCs w:val="24"/>
        </w:rPr>
        <w:t xml:space="preserve">This </w:t>
      </w:r>
      <w:r w:rsidR="00DA1235" w:rsidRPr="0060666C">
        <w:rPr>
          <w:b/>
          <w:sz w:val="24"/>
          <w:szCs w:val="24"/>
        </w:rPr>
        <w:t>paper</w:t>
      </w:r>
      <w:r w:rsidRPr="0060666C">
        <w:rPr>
          <w:b/>
          <w:sz w:val="24"/>
          <w:szCs w:val="24"/>
        </w:rPr>
        <w:t xml:space="preserve"> seeks to </w:t>
      </w:r>
      <w:r w:rsidR="006C6668" w:rsidRPr="0060666C">
        <w:rPr>
          <w:b/>
          <w:sz w:val="24"/>
          <w:szCs w:val="24"/>
        </w:rPr>
        <w:t xml:space="preserve">understand the financial impact that </w:t>
      </w:r>
      <w:r w:rsidR="00614971" w:rsidRPr="0060666C">
        <w:rPr>
          <w:b/>
          <w:sz w:val="24"/>
          <w:szCs w:val="24"/>
        </w:rPr>
        <w:t>Ticket to Work has</w:t>
      </w:r>
      <w:r w:rsidR="006C6668" w:rsidRPr="0060666C">
        <w:rPr>
          <w:b/>
          <w:sz w:val="24"/>
          <w:szCs w:val="24"/>
        </w:rPr>
        <w:t xml:space="preserve"> on </w:t>
      </w:r>
      <w:r w:rsidR="003F38E5" w:rsidRPr="0060666C">
        <w:rPr>
          <w:b/>
          <w:sz w:val="24"/>
          <w:szCs w:val="24"/>
        </w:rPr>
        <w:t>people and government</w:t>
      </w:r>
    </w:p>
    <w:p w14:paraId="229C9586" w14:textId="77777777" w:rsidR="00141633" w:rsidRPr="00A95204" w:rsidRDefault="00C16704" w:rsidP="00E961E3">
      <w:pPr>
        <w:rPr>
          <w:rFonts w:cs="Arial"/>
          <w:sz w:val="24"/>
          <w:szCs w:val="24"/>
        </w:rPr>
      </w:pPr>
      <w:r w:rsidRPr="00A95204">
        <w:rPr>
          <w:rFonts w:cs="Arial"/>
          <w:sz w:val="24"/>
          <w:szCs w:val="24"/>
        </w:rPr>
        <w:t>The 2019 evaluation report identified the changes that had occurred as a result of Ticket to Work, but it did not</w:t>
      </w:r>
      <w:r w:rsidR="00E57C66" w:rsidRPr="00A95204">
        <w:rPr>
          <w:rFonts w:cs="Arial"/>
          <w:sz w:val="24"/>
          <w:szCs w:val="24"/>
        </w:rPr>
        <w:t xml:space="preserve"> assign a financial value to these changes. </w:t>
      </w:r>
      <w:r w:rsidR="00443B45" w:rsidRPr="00A95204">
        <w:rPr>
          <w:rFonts w:cs="Arial"/>
          <w:sz w:val="24"/>
          <w:szCs w:val="24"/>
        </w:rPr>
        <w:t xml:space="preserve">This report </w:t>
      </w:r>
      <w:r w:rsidR="00BD266C" w:rsidRPr="00A95204">
        <w:rPr>
          <w:rFonts w:cs="Arial"/>
          <w:sz w:val="24"/>
          <w:szCs w:val="24"/>
        </w:rPr>
        <w:t xml:space="preserve">seeks to </w:t>
      </w:r>
      <w:r w:rsidR="00E57C66" w:rsidRPr="00A95204">
        <w:rPr>
          <w:rFonts w:cs="Arial"/>
          <w:sz w:val="24"/>
          <w:szCs w:val="24"/>
        </w:rPr>
        <w:t xml:space="preserve">extend that analysis by </w:t>
      </w:r>
      <w:r w:rsidR="00EC7E31" w:rsidRPr="00A95204">
        <w:rPr>
          <w:rFonts w:cs="Arial"/>
          <w:sz w:val="24"/>
          <w:szCs w:val="24"/>
        </w:rPr>
        <w:t xml:space="preserve">conservatively </w:t>
      </w:r>
      <w:r w:rsidR="00E57C66" w:rsidRPr="00A95204">
        <w:rPr>
          <w:rFonts w:cs="Arial"/>
          <w:sz w:val="24"/>
          <w:szCs w:val="24"/>
        </w:rPr>
        <w:t xml:space="preserve">estimating </w:t>
      </w:r>
      <w:r w:rsidR="00BD266C" w:rsidRPr="00A95204">
        <w:rPr>
          <w:rFonts w:cs="Arial"/>
          <w:sz w:val="24"/>
          <w:szCs w:val="24"/>
        </w:rPr>
        <w:t xml:space="preserve">the </w:t>
      </w:r>
      <w:r w:rsidR="00443B45" w:rsidRPr="00A95204">
        <w:rPr>
          <w:rFonts w:cs="Arial"/>
          <w:sz w:val="24"/>
          <w:szCs w:val="24"/>
        </w:rPr>
        <w:t xml:space="preserve">financial </w:t>
      </w:r>
      <w:r w:rsidR="00E961E3" w:rsidRPr="00A95204">
        <w:rPr>
          <w:rFonts w:cs="Arial"/>
          <w:sz w:val="24"/>
          <w:szCs w:val="24"/>
        </w:rPr>
        <w:t>value to government and individuals</w:t>
      </w:r>
      <w:r w:rsidR="00443B45" w:rsidRPr="00A95204">
        <w:rPr>
          <w:rFonts w:cs="Arial"/>
          <w:sz w:val="24"/>
          <w:szCs w:val="24"/>
        </w:rPr>
        <w:t xml:space="preserve"> from the increase in </w:t>
      </w:r>
      <w:r w:rsidR="00E961E3" w:rsidRPr="00A95204">
        <w:rPr>
          <w:rFonts w:cs="Arial"/>
          <w:sz w:val="24"/>
          <w:szCs w:val="24"/>
        </w:rPr>
        <w:t xml:space="preserve">employment that resulted from Ticket to Work. </w:t>
      </w:r>
      <w:r w:rsidR="00EC7E31" w:rsidRPr="00A95204">
        <w:rPr>
          <w:rFonts w:cs="Arial"/>
          <w:sz w:val="24"/>
          <w:szCs w:val="24"/>
        </w:rPr>
        <w:t>In line with its conservative approach, i</w:t>
      </w:r>
      <w:r w:rsidR="00543C49" w:rsidRPr="00A95204">
        <w:rPr>
          <w:rFonts w:cs="Arial"/>
          <w:sz w:val="24"/>
          <w:szCs w:val="24"/>
        </w:rPr>
        <w:t xml:space="preserve">t does not seek to value the non-financial impacts, such as increases in wellbeing. </w:t>
      </w:r>
    </w:p>
    <w:p w14:paraId="6C20EBB3" w14:textId="77777777" w:rsidR="00EB0A67" w:rsidRPr="00A95204" w:rsidRDefault="00543C49" w:rsidP="00E961E3">
      <w:pPr>
        <w:rPr>
          <w:rFonts w:cs="Arial"/>
          <w:sz w:val="24"/>
          <w:szCs w:val="24"/>
        </w:rPr>
      </w:pPr>
      <w:r w:rsidRPr="00A95204">
        <w:rPr>
          <w:rFonts w:cs="Arial"/>
          <w:sz w:val="24"/>
          <w:szCs w:val="24"/>
        </w:rPr>
        <w:t>To do this, the report takes five steps: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shows five steps: step 1 what outcomes do participants experience as a result of being involved in Ticket to work? step 2 what social and economic benefits for costs can reasonable be expected to occur as a result of that outcome? step 3 what fiscal benefits or costs can reasonably be expected to occur as a result of that outcome? step 4 how many ticket to work participants experienced those outcomes, compared to what we would expect to see in a comparable group? step 5 calculate the total value of the outcomes for all ticket to work participants."/>
      </w:tblPr>
      <w:tblGrid>
        <w:gridCol w:w="1815"/>
        <w:gridCol w:w="1770"/>
        <w:gridCol w:w="1956"/>
        <w:gridCol w:w="1917"/>
        <w:gridCol w:w="1558"/>
      </w:tblGrid>
      <w:tr w:rsidR="006C6668" w14:paraId="5303D267" w14:textId="77777777" w:rsidTr="006C4FFC">
        <w:trPr>
          <w:trHeight w:val="277"/>
          <w:tblHeader/>
          <w:jc w:val="center"/>
        </w:trPr>
        <w:tc>
          <w:tcPr>
            <w:tcW w:w="1815" w:type="dxa"/>
            <w:shd w:val="clear" w:color="auto" w:fill="002D62" w:themeFill="text2"/>
          </w:tcPr>
          <w:p w14:paraId="45FF30CE" w14:textId="77777777" w:rsidR="006A5E5A" w:rsidRPr="006A5E5A" w:rsidRDefault="006A5E5A" w:rsidP="00C962A7">
            <w:pPr>
              <w:jc w:val="center"/>
              <w:rPr>
                <w:b/>
                <w:color w:val="FFFFFF" w:themeColor="background1"/>
              </w:rPr>
            </w:pPr>
            <w:r>
              <w:rPr>
                <w:b/>
                <w:color w:val="FFFFFF" w:themeColor="background1"/>
              </w:rPr>
              <w:t>Step 1</w:t>
            </w:r>
          </w:p>
        </w:tc>
        <w:tc>
          <w:tcPr>
            <w:tcW w:w="1770" w:type="dxa"/>
            <w:shd w:val="clear" w:color="auto" w:fill="002D62" w:themeFill="text2"/>
          </w:tcPr>
          <w:p w14:paraId="6A00358F" w14:textId="77777777" w:rsidR="006A5E5A" w:rsidRPr="006A5E5A" w:rsidRDefault="006A5E5A" w:rsidP="00C962A7">
            <w:pPr>
              <w:jc w:val="center"/>
              <w:rPr>
                <w:b/>
                <w:color w:val="FFFFFF" w:themeColor="background1"/>
              </w:rPr>
            </w:pPr>
            <w:r w:rsidRPr="006A5E5A">
              <w:rPr>
                <w:b/>
                <w:color w:val="FFFFFF" w:themeColor="background1"/>
              </w:rPr>
              <w:t xml:space="preserve">Step </w:t>
            </w:r>
            <w:r>
              <w:rPr>
                <w:b/>
                <w:color w:val="FFFFFF" w:themeColor="background1"/>
              </w:rPr>
              <w:t>2</w:t>
            </w:r>
          </w:p>
        </w:tc>
        <w:tc>
          <w:tcPr>
            <w:tcW w:w="1956" w:type="dxa"/>
            <w:shd w:val="clear" w:color="auto" w:fill="002D62" w:themeFill="text2"/>
          </w:tcPr>
          <w:p w14:paraId="2513B047" w14:textId="77777777" w:rsidR="006A5E5A" w:rsidRPr="006A5E5A" w:rsidRDefault="006A5E5A" w:rsidP="00C962A7">
            <w:pPr>
              <w:jc w:val="center"/>
              <w:rPr>
                <w:b/>
                <w:color w:val="FFFFFF" w:themeColor="background1"/>
              </w:rPr>
            </w:pPr>
            <w:r w:rsidRPr="006A5E5A">
              <w:rPr>
                <w:b/>
                <w:color w:val="FFFFFF" w:themeColor="background1"/>
              </w:rPr>
              <w:t xml:space="preserve">Step </w:t>
            </w:r>
            <w:r>
              <w:rPr>
                <w:b/>
                <w:color w:val="FFFFFF" w:themeColor="background1"/>
              </w:rPr>
              <w:t>3</w:t>
            </w:r>
          </w:p>
        </w:tc>
        <w:tc>
          <w:tcPr>
            <w:tcW w:w="1917" w:type="dxa"/>
            <w:shd w:val="clear" w:color="auto" w:fill="002D62" w:themeFill="text2"/>
          </w:tcPr>
          <w:p w14:paraId="7F5E5AE5" w14:textId="77777777" w:rsidR="006A5E5A" w:rsidRPr="006A5E5A" w:rsidRDefault="006A5E5A" w:rsidP="00C962A7">
            <w:pPr>
              <w:jc w:val="center"/>
              <w:rPr>
                <w:b/>
                <w:color w:val="FFFFFF" w:themeColor="background1"/>
              </w:rPr>
            </w:pPr>
            <w:r w:rsidRPr="006A5E5A">
              <w:rPr>
                <w:b/>
                <w:color w:val="FFFFFF" w:themeColor="background1"/>
              </w:rPr>
              <w:t xml:space="preserve">Step </w:t>
            </w:r>
            <w:r>
              <w:rPr>
                <w:b/>
                <w:color w:val="FFFFFF" w:themeColor="background1"/>
              </w:rPr>
              <w:t>4</w:t>
            </w:r>
          </w:p>
        </w:tc>
        <w:tc>
          <w:tcPr>
            <w:tcW w:w="1558" w:type="dxa"/>
            <w:shd w:val="clear" w:color="auto" w:fill="002D62" w:themeFill="text2"/>
          </w:tcPr>
          <w:p w14:paraId="61D211DA" w14:textId="77777777" w:rsidR="006A5E5A" w:rsidRPr="006A5E5A" w:rsidRDefault="006A5E5A" w:rsidP="00C962A7">
            <w:pPr>
              <w:jc w:val="center"/>
              <w:rPr>
                <w:b/>
                <w:color w:val="FFFFFF" w:themeColor="background1"/>
              </w:rPr>
            </w:pPr>
            <w:r w:rsidRPr="006A5E5A">
              <w:rPr>
                <w:b/>
                <w:color w:val="FFFFFF" w:themeColor="background1"/>
              </w:rPr>
              <w:t xml:space="preserve">Step </w:t>
            </w:r>
            <w:r>
              <w:rPr>
                <w:b/>
                <w:color w:val="FFFFFF" w:themeColor="background1"/>
              </w:rPr>
              <w:t>5</w:t>
            </w:r>
          </w:p>
        </w:tc>
      </w:tr>
      <w:tr w:rsidR="006C6668" w14:paraId="2587FDDA" w14:textId="77777777" w:rsidTr="002F066F">
        <w:trPr>
          <w:trHeight w:val="277"/>
          <w:jc w:val="center"/>
        </w:trPr>
        <w:tc>
          <w:tcPr>
            <w:tcW w:w="1815" w:type="dxa"/>
          </w:tcPr>
          <w:p w14:paraId="54AB9D12" w14:textId="77777777" w:rsidR="006A5E5A" w:rsidRDefault="006C6668" w:rsidP="00C962A7">
            <w:pPr>
              <w:jc w:val="center"/>
            </w:pPr>
            <w:r w:rsidRPr="006C6668">
              <w:rPr>
                <w:noProof/>
                <w:lang w:eastAsia="en-AU"/>
              </w:rPr>
              <w:drawing>
                <wp:inline distT="0" distB="0" distL="0" distR="0" wp14:anchorId="3A0C7310" wp14:editId="0AA704A2">
                  <wp:extent cx="828675" cy="828675"/>
                  <wp:effectExtent l="0" t="0" r="0" b="9525"/>
                  <wp:docPr id="13" name="Picture 12" descr="this is a picture of a mountain and a flag on top">
                    <a:extLst xmlns:a="http://schemas.openxmlformats.org/drawingml/2006/main">
                      <a:ext uri="{FF2B5EF4-FFF2-40B4-BE49-F238E27FC236}">
                        <a16:creationId xmlns:a16="http://schemas.microsoft.com/office/drawing/2014/main" id="{498CAB3D-9151-4FB7-A4F0-66685A2C058E}"/>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498CAB3D-9151-4FB7-A4F0-66685A2C058E}"/>
                              </a:ext>
                            </a:extLst>
                          </pic:cNvPr>
                          <pic:cNvPicPr>
                            <a:picLocks/>
                          </pic:cNvPicPr>
                        </pic:nvPicPr>
                        <pic:blipFill>
                          <a:blip r:embed="rId17"/>
                          <a:stretch>
                            <a:fillRect/>
                          </a:stretch>
                        </pic:blipFill>
                        <pic:spPr>
                          <a:xfrm>
                            <a:off x="0" y="0"/>
                            <a:ext cx="828675" cy="828675"/>
                          </a:xfrm>
                          <a:prstGeom prst="rect">
                            <a:avLst/>
                          </a:prstGeom>
                        </pic:spPr>
                      </pic:pic>
                    </a:graphicData>
                  </a:graphic>
                </wp:inline>
              </w:drawing>
            </w:r>
          </w:p>
        </w:tc>
        <w:tc>
          <w:tcPr>
            <w:tcW w:w="1770" w:type="dxa"/>
          </w:tcPr>
          <w:p w14:paraId="56B5ABB5" w14:textId="77777777" w:rsidR="006A5E5A" w:rsidRDefault="006C6668" w:rsidP="00C962A7">
            <w:pPr>
              <w:jc w:val="center"/>
            </w:pPr>
            <w:r w:rsidRPr="006C6668">
              <w:rPr>
                <w:noProof/>
                <w:lang w:eastAsia="en-AU"/>
              </w:rPr>
              <w:drawing>
                <wp:inline distT="0" distB="0" distL="0" distR="0" wp14:anchorId="446969D5" wp14:editId="1B0DE5F3">
                  <wp:extent cx="742950" cy="742950"/>
                  <wp:effectExtent l="0" t="0" r="0" b="0"/>
                  <wp:docPr id="11" name="Picture 8" descr="this is a picture of three people with their hands in the air. There are 2 figures that are older and 1 is a child. ">
                    <a:extLst xmlns:a="http://schemas.openxmlformats.org/drawingml/2006/main">
                      <a:ext uri="{FF2B5EF4-FFF2-40B4-BE49-F238E27FC236}">
                        <a16:creationId xmlns:a16="http://schemas.microsoft.com/office/drawing/2014/main" id="{3E9A7D65-3033-4E75-909C-C45E3CC42FCA}"/>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3E9A7D65-3033-4E75-909C-C45E3CC42FCA}"/>
                              </a:ext>
                            </a:extLst>
                          </pic:cNvPr>
                          <pic:cNvPicPr>
                            <a:picLocks/>
                          </pic:cNvPicPr>
                        </pic:nvPicPr>
                        <pic:blipFill>
                          <a:blip r:embed="rId18"/>
                          <a:stretch>
                            <a:fillRect/>
                          </a:stretch>
                        </pic:blipFill>
                        <pic:spPr>
                          <a:xfrm>
                            <a:off x="0" y="0"/>
                            <a:ext cx="742950" cy="742950"/>
                          </a:xfrm>
                          <a:prstGeom prst="rect">
                            <a:avLst/>
                          </a:prstGeom>
                        </pic:spPr>
                      </pic:pic>
                    </a:graphicData>
                  </a:graphic>
                </wp:inline>
              </w:drawing>
            </w:r>
          </w:p>
        </w:tc>
        <w:tc>
          <w:tcPr>
            <w:tcW w:w="1956" w:type="dxa"/>
          </w:tcPr>
          <w:p w14:paraId="12891560" w14:textId="77777777" w:rsidR="006A5E5A" w:rsidRDefault="006C6668" w:rsidP="00C962A7">
            <w:pPr>
              <w:jc w:val="center"/>
            </w:pPr>
            <w:r w:rsidRPr="006C6668">
              <w:rPr>
                <w:noProof/>
                <w:lang w:eastAsia="en-AU"/>
              </w:rPr>
              <w:drawing>
                <wp:inline distT="0" distB="0" distL="0" distR="0" wp14:anchorId="7F3B5F62" wp14:editId="23C73714">
                  <wp:extent cx="971550" cy="693564"/>
                  <wp:effectExtent l="0" t="0" r="0" b="0"/>
                  <wp:docPr id="8" name="Picture 7" descr="this is a picture of a government building with a flag on top">
                    <a:extLst xmlns:a="http://schemas.openxmlformats.org/drawingml/2006/main">
                      <a:ext uri="{FF2B5EF4-FFF2-40B4-BE49-F238E27FC236}">
                        <a16:creationId xmlns:a16="http://schemas.microsoft.com/office/drawing/2014/main" id="{89A6B73D-211F-4CFF-9864-890BC84765A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89A6B73D-211F-4CFF-9864-890BC84765A1}"/>
                              </a:ext>
                            </a:extLst>
                          </pic:cNvPr>
                          <pic:cNvPicPr>
                            <a:picLocks/>
                          </pic:cNvPicPr>
                        </pic:nvPicPr>
                        <pic:blipFill rotWithShape="1">
                          <a:blip r:embed="rId19"/>
                          <a:srcRect l="7751" r="5749" b="38250"/>
                          <a:stretch/>
                        </pic:blipFill>
                        <pic:spPr bwMode="auto">
                          <a:xfrm>
                            <a:off x="0" y="0"/>
                            <a:ext cx="984692" cy="702946"/>
                          </a:xfrm>
                          <a:prstGeom prst="rect">
                            <a:avLst/>
                          </a:prstGeom>
                          <a:ln>
                            <a:noFill/>
                          </a:ln>
                          <a:extLst>
                            <a:ext uri="{53640926-AAD7-44D8-BBD7-CCE9431645EC}">
                              <a14:shadowObscured xmlns:a14="http://schemas.microsoft.com/office/drawing/2010/main"/>
                            </a:ext>
                          </a:extLst>
                        </pic:spPr>
                      </pic:pic>
                    </a:graphicData>
                  </a:graphic>
                </wp:inline>
              </w:drawing>
            </w:r>
          </w:p>
        </w:tc>
        <w:tc>
          <w:tcPr>
            <w:tcW w:w="1917" w:type="dxa"/>
            <w:vAlign w:val="center"/>
          </w:tcPr>
          <w:p w14:paraId="3005B674" w14:textId="77777777" w:rsidR="006A5E5A" w:rsidRDefault="006C6668" w:rsidP="002133AB">
            <w:pPr>
              <w:jc w:val="center"/>
            </w:pPr>
            <w:r w:rsidRPr="006C6668">
              <w:rPr>
                <w:noProof/>
                <w:lang w:eastAsia="en-AU"/>
              </w:rPr>
              <w:drawing>
                <wp:inline distT="0" distB="0" distL="0" distR="0" wp14:anchorId="2C98B323" wp14:editId="791D1A61">
                  <wp:extent cx="638175" cy="638175"/>
                  <wp:effectExtent l="0" t="0" r="9525" b="9525"/>
                  <wp:docPr id="12" name="Picture 10" descr="this is a picture of a list that has ticks in some boxes. ">
                    <a:extLst xmlns:a="http://schemas.openxmlformats.org/drawingml/2006/main">
                      <a:ext uri="{FF2B5EF4-FFF2-40B4-BE49-F238E27FC236}">
                        <a16:creationId xmlns:a16="http://schemas.microsoft.com/office/drawing/2014/main" id="{301A8745-B2EA-4D9E-9725-DBBE1EB82FB4}"/>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301A8745-B2EA-4D9E-9725-DBBE1EB82FB4}"/>
                              </a:ext>
                            </a:extLst>
                          </pic:cNvPr>
                          <pic:cNvPicPr>
                            <a:picLocks/>
                          </pic:cNvPicPr>
                        </pic:nvPicPr>
                        <pic:blipFill>
                          <a:blip r:embed="rId20"/>
                          <a:stretch>
                            <a:fillRect/>
                          </a:stretch>
                        </pic:blipFill>
                        <pic:spPr>
                          <a:xfrm>
                            <a:off x="0" y="0"/>
                            <a:ext cx="638175" cy="638175"/>
                          </a:xfrm>
                          <a:prstGeom prst="rect">
                            <a:avLst/>
                          </a:prstGeom>
                        </pic:spPr>
                      </pic:pic>
                    </a:graphicData>
                  </a:graphic>
                </wp:inline>
              </w:drawing>
            </w:r>
          </w:p>
        </w:tc>
        <w:tc>
          <w:tcPr>
            <w:tcW w:w="1558" w:type="dxa"/>
            <w:vAlign w:val="center"/>
          </w:tcPr>
          <w:p w14:paraId="66354AEB" w14:textId="77777777" w:rsidR="006A5E5A" w:rsidRDefault="006C6668" w:rsidP="002F066F">
            <w:pPr>
              <w:jc w:val="center"/>
            </w:pPr>
            <w:r w:rsidRPr="006C6668">
              <w:rPr>
                <w:noProof/>
                <w:lang w:eastAsia="en-AU"/>
              </w:rPr>
              <w:drawing>
                <wp:inline distT="0" distB="0" distL="0" distR="0" wp14:anchorId="6C8A052E" wp14:editId="05F59EFD">
                  <wp:extent cx="600075" cy="600075"/>
                  <wp:effectExtent l="0" t="0" r="0" b="9525"/>
                  <wp:docPr id="15" name="Picture 11" descr="this is a calculator">
                    <a:extLst xmlns:a="http://schemas.openxmlformats.org/drawingml/2006/main">
                      <a:ext uri="{FF2B5EF4-FFF2-40B4-BE49-F238E27FC236}">
                        <a16:creationId xmlns:a16="http://schemas.microsoft.com/office/drawing/2014/main" id="{AA4A3E45-B792-4E84-86BB-0504AEBF7349}"/>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AA4A3E45-B792-4E84-86BB-0504AEBF7349}"/>
                              </a:ext>
                            </a:extLst>
                          </pic:cNvPr>
                          <pic:cNvPicPr>
                            <a:picLocks/>
                          </pic:cNvPicPr>
                        </pic:nvPicPr>
                        <pic:blipFill>
                          <a:blip r:embed="rId21"/>
                          <a:stretch>
                            <a:fillRect/>
                          </a:stretch>
                        </pic:blipFill>
                        <pic:spPr>
                          <a:xfrm>
                            <a:off x="0" y="0"/>
                            <a:ext cx="600075" cy="600075"/>
                          </a:xfrm>
                          <a:prstGeom prst="rect">
                            <a:avLst/>
                          </a:prstGeom>
                        </pic:spPr>
                      </pic:pic>
                    </a:graphicData>
                  </a:graphic>
                </wp:inline>
              </w:drawing>
            </w:r>
          </w:p>
        </w:tc>
      </w:tr>
      <w:tr w:rsidR="006C6668" w14:paraId="3CA216B2" w14:textId="77777777" w:rsidTr="00551D14">
        <w:trPr>
          <w:trHeight w:val="2177"/>
          <w:jc w:val="center"/>
        </w:trPr>
        <w:tc>
          <w:tcPr>
            <w:tcW w:w="1815" w:type="dxa"/>
            <w:shd w:val="clear" w:color="auto" w:fill="F2F0E9" w:themeFill="accent1"/>
          </w:tcPr>
          <w:p w14:paraId="6D225DEC" w14:textId="77777777" w:rsidR="006C6668" w:rsidRPr="00CE6CA7" w:rsidRDefault="006A5E5A" w:rsidP="00551D14">
            <w:pPr>
              <w:jc w:val="center"/>
              <w:rPr>
                <w:b/>
                <w:color w:val="002D62" w:themeColor="text2"/>
              </w:rPr>
            </w:pPr>
            <w:r w:rsidRPr="00CE6CA7">
              <w:rPr>
                <w:b/>
                <w:color w:val="002D62" w:themeColor="text2"/>
              </w:rPr>
              <w:t>What</w:t>
            </w:r>
          </w:p>
          <w:p w14:paraId="5A7A1CBF" w14:textId="77777777" w:rsidR="006C6668" w:rsidRPr="00CE6CA7" w:rsidRDefault="006A5E5A" w:rsidP="00551D14">
            <w:pPr>
              <w:jc w:val="center"/>
              <w:rPr>
                <w:b/>
                <w:color w:val="002D62" w:themeColor="text2"/>
              </w:rPr>
            </w:pPr>
            <w:r w:rsidRPr="00CE6CA7">
              <w:rPr>
                <w:b/>
                <w:color w:val="002D62" w:themeColor="text2"/>
              </w:rPr>
              <w:t>outcomes</w:t>
            </w:r>
          </w:p>
          <w:p w14:paraId="19ADA886" w14:textId="77777777" w:rsidR="006A5E5A" w:rsidRDefault="006A5E5A" w:rsidP="00551D14">
            <w:pPr>
              <w:jc w:val="center"/>
            </w:pPr>
            <w:r>
              <w:t>do participants experience as a result of being involved in Ticket to Work?</w:t>
            </w:r>
          </w:p>
        </w:tc>
        <w:tc>
          <w:tcPr>
            <w:tcW w:w="1770" w:type="dxa"/>
            <w:shd w:val="clear" w:color="auto" w:fill="F2F0E9" w:themeFill="accent1"/>
          </w:tcPr>
          <w:p w14:paraId="3626EE0E" w14:textId="77777777" w:rsidR="006C6668" w:rsidRPr="00CE6CA7" w:rsidRDefault="006A5E5A" w:rsidP="00551D14">
            <w:pPr>
              <w:jc w:val="center"/>
              <w:rPr>
                <w:b/>
                <w:color w:val="002D62" w:themeColor="text2"/>
              </w:rPr>
            </w:pPr>
            <w:r w:rsidRPr="00CE6CA7">
              <w:rPr>
                <w:b/>
                <w:color w:val="002D62" w:themeColor="text2"/>
              </w:rPr>
              <w:t>What</w:t>
            </w:r>
          </w:p>
          <w:p w14:paraId="0E874C9B" w14:textId="77777777" w:rsidR="006C6668" w:rsidRPr="00CE6CA7" w:rsidRDefault="00FF0371" w:rsidP="00551D14">
            <w:pPr>
              <w:jc w:val="center"/>
              <w:rPr>
                <w:b/>
                <w:color w:val="002D62" w:themeColor="text2"/>
              </w:rPr>
            </w:pPr>
            <w:r>
              <w:rPr>
                <w:b/>
                <w:color w:val="002D62" w:themeColor="text2"/>
              </w:rPr>
              <w:t>social and economic benefits</w:t>
            </w:r>
            <w:r w:rsidR="006A5E5A" w:rsidRPr="00CE6CA7">
              <w:rPr>
                <w:b/>
                <w:color w:val="002D62" w:themeColor="text2"/>
              </w:rPr>
              <w:t xml:space="preserve"> or costs</w:t>
            </w:r>
          </w:p>
          <w:p w14:paraId="77928EA7" w14:textId="77777777" w:rsidR="006A5E5A" w:rsidRDefault="006A5E5A" w:rsidP="00551D14">
            <w:pPr>
              <w:jc w:val="center"/>
            </w:pPr>
            <w:r w:rsidRPr="006A5E5A">
              <w:t>can reasonably be expected</w:t>
            </w:r>
            <w:r>
              <w:t xml:space="preserve"> to occur as a result of that outcome?</w:t>
            </w:r>
          </w:p>
        </w:tc>
        <w:tc>
          <w:tcPr>
            <w:tcW w:w="1956" w:type="dxa"/>
            <w:shd w:val="clear" w:color="auto" w:fill="F2F0E9" w:themeFill="accent1"/>
          </w:tcPr>
          <w:p w14:paraId="4C778D49" w14:textId="77777777" w:rsidR="006C6668" w:rsidRPr="00CE6CA7" w:rsidRDefault="006A5E5A" w:rsidP="00551D14">
            <w:pPr>
              <w:jc w:val="center"/>
              <w:rPr>
                <w:b/>
                <w:color w:val="002D62" w:themeColor="text2"/>
              </w:rPr>
            </w:pPr>
            <w:r w:rsidRPr="00CE6CA7">
              <w:rPr>
                <w:b/>
                <w:color w:val="002D62" w:themeColor="text2"/>
              </w:rPr>
              <w:t>What</w:t>
            </w:r>
          </w:p>
          <w:p w14:paraId="217403A9" w14:textId="77777777" w:rsidR="006C6668" w:rsidRPr="00CE6CA7" w:rsidRDefault="006A5E5A" w:rsidP="00551D14">
            <w:pPr>
              <w:jc w:val="center"/>
              <w:rPr>
                <w:b/>
                <w:color w:val="002D62" w:themeColor="text2"/>
              </w:rPr>
            </w:pPr>
            <w:r w:rsidRPr="00CE6CA7">
              <w:rPr>
                <w:b/>
                <w:color w:val="002D62" w:themeColor="text2"/>
              </w:rPr>
              <w:t>fiscal benefits or costs</w:t>
            </w:r>
          </w:p>
          <w:p w14:paraId="7ABD3193" w14:textId="77777777" w:rsidR="006A5E5A" w:rsidRDefault="006C6668" w:rsidP="00551D14">
            <w:pPr>
              <w:jc w:val="center"/>
            </w:pPr>
            <w:r>
              <w:t>can reasonably be expected to occur as a result of that outcome?</w:t>
            </w:r>
          </w:p>
        </w:tc>
        <w:tc>
          <w:tcPr>
            <w:tcW w:w="1917" w:type="dxa"/>
            <w:shd w:val="clear" w:color="auto" w:fill="F2F0E9" w:themeFill="accent1"/>
          </w:tcPr>
          <w:p w14:paraId="4723C3AC" w14:textId="77777777" w:rsidR="006C6668" w:rsidRDefault="006A5E5A" w:rsidP="00551D14">
            <w:pPr>
              <w:jc w:val="center"/>
            </w:pPr>
            <w:r w:rsidRPr="00CE6CA7">
              <w:rPr>
                <w:b/>
                <w:color w:val="002D62" w:themeColor="text2"/>
              </w:rPr>
              <w:t>How many T</w:t>
            </w:r>
            <w:r w:rsidR="00DF30FD">
              <w:rPr>
                <w:b/>
                <w:color w:val="002D62" w:themeColor="text2"/>
              </w:rPr>
              <w:t>icket to Work</w:t>
            </w:r>
            <w:r w:rsidRPr="00CE6CA7">
              <w:rPr>
                <w:b/>
                <w:color w:val="002D62" w:themeColor="text2"/>
              </w:rPr>
              <w:t xml:space="preserve"> participants</w:t>
            </w:r>
          </w:p>
          <w:p w14:paraId="42166D49" w14:textId="77777777" w:rsidR="006A5E5A" w:rsidRDefault="006A5E5A" w:rsidP="00551D14">
            <w:pPr>
              <w:jc w:val="center"/>
            </w:pPr>
            <w:r>
              <w:t xml:space="preserve">experienced those outcomes, compared to what we would expect to see in </w:t>
            </w:r>
            <w:r w:rsidR="008F599E">
              <w:t>a comparable group</w:t>
            </w:r>
            <w:r w:rsidR="006C6668">
              <w:t>?</w:t>
            </w:r>
          </w:p>
        </w:tc>
        <w:tc>
          <w:tcPr>
            <w:tcW w:w="1558" w:type="dxa"/>
            <w:shd w:val="clear" w:color="auto" w:fill="F2F0E9" w:themeFill="accent1"/>
          </w:tcPr>
          <w:p w14:paraId="716B4E27" w14:textId="77777777" w:rsidR="006A5E5A" w:rsidRDefault="006A5E5A" w:rsidP="00551D14">
            <w:pPr>
              <w:jc w:val="center"/>
            </w:pPr>
            <w:r w:rsidRPr="00CE6CA7">
              <w:rPr>
                <w:b/>
                <w:color w:val="002D62" w:themeColor="text2"/>
              </w:rPr>
              <w:t>Calculate</w:t>
            </w:r>
            <w:r>
              <w:t xml:space="preserve"> </w:t>
            </w:r>
            <w:r w:rsidR="006C6668">
              <w:br/>
            </w:r>
            <w:r>
              <w:t>the total value of the</w:t>
            </w:r>
            <w:r w:rsidR="006C6668">
              <w:t xml:space="preserve"> outcome</w:t>
            </w:r>
            <w:r w:rsidR="008F599E">
              <w:t>s for all T</w:t>
            </w:r>
            <w:r w:rsidR="00DF30FD">
              <w:t>icket to Work</w:t>
            </w:r>
            <w:r w:rsidR="008F599E">
              <w:t xml:space="preserve"> participants</w:t>
            </w:r>
          </w:p>
        </w:tc>
      </w:tr>
    </w:tbl>
    <w:p w14:paraId="314D6D20" w14:textId="77777777" w:rsidR="00162305" w:rsidRDefault="00162305" w:rsidP="00EB0A67"/>
    <w:p w14:paraId="026042E4" w14:textId="77777777" w:rsidR="00F33ED7" w:rsidRPr="0060666C" w:rsidRDefault="00E845E6" w:rsidP="0060666C">
      <w:pPr>
        <w:pStyle w:val="NoSpacing"/>
        <w:rPr>
          <w:b/>
          <w:sz w:val="24"/>
          <w:szCs w:val="24"/>
        </w:rPr>
      </w:pPr>
      <w:r w:rsidRPr="0060666C">
        <w:rPr>
          <w:b/>
          <w:sz w:val="24"/>
          <w:szCs w:val="24"/>
        </w:rPr>
        <w:t>A</w:t>
      </w:r>
      <w:r w:rsidR="00F33ED7" w:rsidRPr="0060666C">
        <w:rPr>
          <w:b/>
          <w:sz w:val="24"/>
          <w:szCs w:val="24"/>
        </w:rPr>
        <w:t xml:space="preserve"> 2019 study of the impact of Ticket to Work</w:t>
      </w:r>
      <w:r w:rsidRPr="0060666C">
        <w:rPr>
          <w:b/>
          <w:sz w:val="24"/>
          <w:szCs w:val="24"/>
        </w:rPr>
        <w:t xml:space="preserve"> compared </w:t>
      </w:r>
      <w:r w:rsidR="00056353" w:rsidRPr="0060666C">
        <w:rPr>
          <w:b/>
          <w:sz w:val="24"/>
          <w:szCs w:val="24"/>
        </w:rPr>
        <w:t xml:space="preserve">the outcomes achieved through the </w:t>
      </w:r>
      <w:r w:rsidR="00DC703A" w:rsidRPr="0060666C">
        <w:rPr>
          <w:b/>
          <w:sz w:val="24"/>
          <w:szCs w:val="24"/>
        </w:rPr>
        <w:t xml:space="preserve">model </w:t>
      </w:r>
      <w:r w:rsidR="00056353" w:rsidRPr="0060666C">
        <w:rPr>
          <w:b/>
          <w:sz w:val="24"/>
          <w:szCs w:val="24"/>
        </w:rPr>
        <w:t>to the Business as Usual case</w:t>
      </w:r>
    </w:p>
    <w:p w14:paraId="41F2C546" w14:textId="77777777" w:rsidR="002C1380" w:rsidRPr="00A95204" w:rsidRDefault="00D87DD1" w:rsidP="00D87DD1">
      <w:pPr>
        <w:pStyle w:val="NoSpacing"/>
        <w:rPr>
          <w:sz w:val="24"/>
          <w:szCs w:val="24"/>
        </w:rPr>
      </w:pPr>
      <w:r w:rsidRPr="00A95204">
        <w:rPr>
          <w:sz w:val="24"/>
          <w:szCs w:val="24"/>
        </w:rPr>
        <w:t xml:space="preserve">The impact of the </w:t>
      </w:r>
      <w:r w:rsidR="00DC703A" w:rsidRPr="00A95204">
        <w:rPr>
          <w:sz w:val="24"/>
          <w:szCs w:val="24"/>
        </w:rPr>
        <w:t>model</w:t>
      </w:r>
      <w:r w:rsidR="000D749A" w:rsidRPr="00A95204">
        <w:rPr>
          <w:sz w:val="24"/>
          <w:szCs w:val="24"/>
        </w:rPr>
        <w:t xml:space="preserve"> </w:t>
      </w:r>
      <w:r w:rsidRPr="00A95204">
        <w:rPr>
          <w:sz w:val="24"/>
          <w:szCs w:val="24"/>
        </w:rPr>
        <w:t xml:space="preserve">was examined through a quasi-experimental study of a sample of </w:t>
      </w:r>
      <w:r w:rsidR="000D749A" w:rsidRPr="00A95204">
        <w:rPr>
          <w:sz w:val="24"/>
          <w:szCs w:val="24"/>
        </w:rPr>
        <w:t>Ticket to Work</w:t>
      </w:r>
      <w:r w:rsidRPr="00A95204">
        <w:rPr>
          <w:sz w:val="24"/>
          <w:szCs w:val="24"/>
        </w:rPr>
        <w:t xml:space="preserve"> participants conducted by ARTD in 2019. The study</w:t>
      </w:r>
      <w:r w:rsidR="002C1380" w:rsidRPr="00A95204">
        <w:rPr>
          <w:sz w:val="24"/>
          <w:szCs w:val="24"/>
        </w:rPr>
        <w:t xml:space="preserve"> compared the outcomes of two groups of people</w:t>
      </w:r>
    </w:p>
    <w:p w14:paraId="1986DADD" w14:textId="77777777" w:rsidR="00723D44" w:rsidRPr="00A95204" w:rsidRDefault="002C1380" w:rsidP="00A95204">
      <w:pPr>
        <w:pStyle w:val="NoSpacing"/>
        <w:numPr>
          <w:ilvl w:val="0"/>
          <w:numId w:val="10"/>
        </w:numPr>
        <w:ind w:left="360"/>
        <w:rPr>
          <w:sz w:val="24"/>
          <w:szCs w:val="24"/>
        </w:rPr>
      </w:pPr>
      <w:r w:rsidRPr="00A95204">
        <w:rPr>
          <w:b/>
          <w:sz w:val="24"/>
          <w:szCs w:val="24"/>
        </w:rPr>
        <w:lastRenderedPageBreak/>
        <w:t>Ticket to Work sample</w:t>
      </w:r>
      <w:r w:rsidRPr="00A95204">
        <w:rPr>
          <w:sz w:val="24"/>
          <w:szCs w:val="24"/>
        </w:rPr>
        <w:t>:</w:t>
      </w:r>
      <w:r w:rsidR="00D87DD1" w:rsidRPr="00A95204">
        <w:rPr>
          <w:sz w:val="24"/>
          <w:szCs w:val="24"/>
        </w:rPr>
        <w:t xml:space="preserve"> a sample of 5</w:t>
      </w:r>
      <w:r w:rsidR="00103FD5" w:rsidRPr="00A95204">
        <w:rPr>
          <w:sz w:val="24"/>
          <w:szCs w:val="24"/>
        </w:rPr>
        <w:t>7</w:t>
      </w:r>
      <w:r w:rsidR="00D87DD1" w:rsidRPr="00A95204">
        <w:rPr>
          <w:sz w:val="24"/>
          <w:szCs w:val="24"/>
        </w:rPr>
        <w:t xml:space="preserve"> Ticket to Work participants</w:t>
      </w:r>
      <w:r w:rsidR="00FB35F0" w:rsidRPr="00A95204">
        <w:rPr>
          <w:sz w:val="24"/>
          <w:szCs w:val="24"/>
        </w:rPr>
        <w:t xml:space="preserve"> who have left school</w:t>
      </w:r>
    </w:p>
    <w:p w14:paraId="6586FEE3" w14:textId="77777777" w:rsidR="00D87DD1" w:rsidRPr="00A95204" w:rsidRDefault="00723D44" w:rsidP="00A95204">
      <w:pPr>
        <w:pStyle w:val="NoSpacing"/>
        <w:numPr>
          <w:ilvl w:val="0"/>
          <w:numId w:val="10"/>
        </w:numPr>
        <w:ind w:left="360"/>
        <w:rPr>
          <w:sz w:val="24"/>
          <w:szCs w:val="24"/>
        </w:rPr>
      </w:pPr>
      <w:r w:rsidRPr="00A95204">
        <w:rPr>
          <w:b/>
          <w:sz w:val="24"/>
          <w:szCs w:val="24"/>
        </w:rPr>
        <w:t>A ‘business as usual’</w:t>
      </w:r>
      <w:r w:rsidR="00D87DD1" w:rsidRPr="00A95204">
        <w:rPr>
          <w:b/>
          <w:sz w:val="24"/>
          <w:szCs w:val="24"/>
        </w:rPr>
        <w:t xml:space="preserve"> comparison group</w:t>
      </w:r>
      <w:r w:rsidRPr="00A95204">
        <w:rPr>
          <w:b/>
          <w:sz w:val="24"/>
          <w:szCs w:val="24"/>
        </w:rPr>
        <w:t xml:space="preserve">: </w:t>
      </w:r>
      <w:r w:rsidR="00FB35F0" w:rsidRPr="00A95204">
        <w:rPr>
          <w:sz w:val="24"/>
          <w:szCs w:val="24"/>
        </w:rPr>
        <w:t>made up</w:t>
      </w:r>
      <w:r w:rsidR="00D87DD1" w:rsidRPr="00A95204">
        <w:rPr>
          <w:sz w:val="24"/>
          <w:szCs w:val="24"/>
        </w:rPr>
        <w:t xml:space="preserve"> of young people with comparable disability types </w:t>
      </w:r>
      <w:r w:rsidR="00FB35F0" w:rsidRPr="00A95204">
        <w:rPr>
          <w:sz w:val="24"/>
          <w:szCs w:val="24"/>
        </w:rPr>
        <w:t>extracted from</w:t>
      </w:r>
      <w:r w:rsidR="00D87DD1" w:rsidRPr="00A95204">
        <w:rPr>
          <w:sz w:val="24"/>
          <w:szCs w:val="24"/>
        </w:rPr>
        <w:t xml:space="preserve"> the following data sets:</w:t>
      </w:r>
      <w:r w:rsidR="00A95204">
        <w:rPr>
          <w:sz w:val="24"/>
          <w:szCs w:val="24"/>
        </w:rPr>
        <w:t xml:space="preserve"> (</w:t>
      </w:r>
      <w:r w:rsidR="00A95204" w:rsidRPr="00A95204">
        <w:rPr>
          <w:sz w:val="24"/>
          <w:szCs w:val="24"/>
        </w:rPr>
        <w:t>Specifically, the comparison group was defined as people who had left school, were 25 years of age or under, had disability, and had a long-term health condition relating to difficulty l</w:t>
      </w:r>
      <w:r w:rsidR="00A95204">
        <w:rPr>
          <w:sz w:val="24"/>
          <w:szCs w:val="24"/>
        </w:rPr>
        <w:t>earning or understanding things)</w:t>
      </w:r>
    </w:p>
    <w:p w14:paraId="06ED49EC" w14:textId="77777777" w:rsidR="00D87DD1" w:rsidRPr="00A95204" w:rsidRDefault="00D87DD1" w:rsidP="00797527">
      <w:pPr>
        <w:pStyle w:val="NoSpacing"/>
        <w:numPr>
          <w:ilvl w:val="0"/>
          <w:numId w:val="5"/>
        </w:numPr>
        <w:ind w:left="360"/>
        <w:rPr>
          <w:sz w:val="24"/>
          <w:szCs w:val="24"/>
        </w:rPr>
      </w:pPr>
      <w:r w:rsidRPr="00A95204">
        <w:rPr>
          <w:sz w:val="24"/>
          <w:szCs w:val="24"/>
        </w:rPr>
        <w:t>Household, Income and Labour Dynamics in Australia Wave 16 (HILDA) n=69</w:t>
      </w:r>
    </w:p>
    <w:p w14:paraId="58399516" w14:textId="77777777" w:rsidR="00D87DD1" w:rsidRPr="00A95204" w:rsidRDefault="00D87DD1" w:rsidP="00797527">
      <w:pPr>
        <w:pStyle w:val="NoSpacing"/>
        <w:numPr>
          <w:ilvl w:val="0"/>
          <w:numId w:val="5"/>
        </w:numPr>
        <w:ind w:left="360"/>
        <w:rPr>
          <w:sz w:val="24"/>
          <w:szCs w:val="24"/>
        </w:rPr>
      </w:pPr>
      <w:r w:rsidRPr="00A95204">
        <w:rPr>
          <w:sz w:val="24"/>
          <w:szCs w:val="24"/>
        </w:rPr>
        <w:t>2015 ABS Survey of Disability, Ageing and Carers (SDAC) n=113</w:t>
      </w:r>
    </w:p>
    <w:p w14:paraId="3419493B" w14:textId="77777777" w:rsidR="00D87DD1" w:rsidRPr="00A95204" w:rsidRDefault="00D87DD1" w:rsidP="00797527">
      <w:pPr>
        <w:pStyle w:val="NoSpacing"/>
        <w:numPr>
          <w:ilvl w:val="0"/>
          <w:numId w:val="5"/>
        </w:numPr>
        <w:ind w:left="360"/>
        <w:rPr>
          <w:sz w:val="24"/>
          <w:szCs w:val="24"/>
        </w:rPr>
      </w:pPr>
      <w:r w:rsidRPr="00A95204">
        <w:rPr>
          <w:sz w:val="24"/>
          <w:szCs w:val="24"/>
        </w:rPr>
        <w:t>2015 NDIS Framework Outcomes Pilot Study n=68</w:t>
      </w:r>
    </w:p>
    <w:p w14:paraId="491B26E9" w14:textId="77777777" w:rsidR="00D87DD1" w:rsidRPr="00A95204" w:rsidRDefault="00D87DD1" w:rsidP="00D87DD1">
      <w:pPr>
        <w:pStyle w:val="NoSpacing"/>
        <w:rPr>
          <w:sz w:val="24"/>
          <w:szCs w:val="24"/>
        </w:rPr>
      </w:pPr>
      <w:r w:rsidRPr="00A95204">
        <w:rPr>
          <w:sz w:val="24"/>
          <w:szCs w:val="24"/>
        </w:rPr>
        <w:t xml:space="preserve">The study collected the same data on employment, social participation and independence to allow for a comparison of outcomes that could be attributed to the benefits of Ticket to Work over and above the base case, or business as usual. </w:t>
      </w:r>
    </w:p>
    <w:p w14:paraId="31B0A79D" w14:textId="77777777" w:rsidR="00D87DD1" w:rsidRPr="00A95204" w:rsidRDefault="00FB35F0" w:rsidP="00D87DD1">
      <w:pPr>
        <w:pStyle w:val="NoSpacing"/>
        <w:rPr>
          <w:sz w:val="24"/>
          <w:szCs w:val="24"/>
        </w:rPr>
      </w:pPr>
      <w:r w:rsidRPr="00A95204">
        <w:rPr>
          <w:sz w:val="24"/>
          <w:szCs w:val="24"/>
        </w:rPr>
        <w:t>The results of this</w:t>
      </w:r>
      <w:r w:rsidR="00D87DD1" w:rsidRPr="00A95204">
        <w:rPr>
          <w:sz w:val="24"/>
          <w:szCs w:val="24"/>
        </w:rPr>
        <w:t xml:space="preserve"> study allows us to estimate the counterfactual ‘business as usual’ case that would have happened for the Ticket to Work participants if they had not participated in the study by applying the outcome proportions calculated in that sample to the entire cohort of Ticket-to-Work participants. </w:t>
      </w:r>
    </w:p>
    <w:p w14:paraId="611B0C3F" w14:textId="77777777" w:rsidR="00D87DD1" w:rsidRPr="00A95204" w:rsidRDefault="00D87DD1" w:rsidP="00D87DD1">
      <w:pPr>
        <w:pStyle w:val="NoSpacing"/>
        <w:rPr>
          <w:sz w:val="24"/>
          <w:szCs w:val="24"/>
        </w:rPr>
      </w:pPr>
      <w:r w:rsidRPr="00A95204">
        <w:rPr>
          <w:sz w:val="24"/>
          <w:szCs w:val="24"/>
        </w:rPr>
        <w:t xml:space="preserve">An example of such a comparison is shown at </w:t>
      </w:r>
      <w:r w:rsidR="00DC6519" w:rsidRPr="00A95204">
        <w:rPr>
          <w:sz w:val="24"/>
          <w:szCs w:val="24"/>
        </w:rPr>
        <w:fldChar w:fldCharType="begin"/>
      </w:r>
      <w:r w:rsidR="00DC6519" w:rsidRPr="00A95204">
        <w:rPr>
          <w:sz w:val="24"/>
          <w:szCs w:val="24"/>
        </w:rPr>
        <w:instrText xml:space="preserve"> REF _Ref22877434 \h </w:instrText>
      </w:r>
      <w:r w:rsidR="00A95204">
        <w:rPr>
          <w:sz w:val="24"/>
          <w:szCs w:val="24"/>
        </w:rPr>
        <w:instrText xml:space="preserve"> \* MERGEFORMAT </w:instrText>
      </w:r>
      <w:r w:rsidR="00DC6519" w:rsidRPr="00A95204">
        <w:rPr>
          <w:sz w:val="24"/>
          <w:szCs w:val="24"/>
        </w:rPr>
      </w:r>
      <w:r w:rsidR="00DC6519" w:rsidRPr="00A95204">
        <w:rPr>
          <w:sz w:val="24"/>
          <w:szCs w:val="24"/>
        </w:rPr>
        <w:fldChar w:fldCharType="separate"/>
      </w:r>
      <w:r w:rsidR="00641753" w:rsidRPr="00A95204">
        <w:rPr>
          <w:sz w:val="24"/>
          <w:szCs w:val="24"/>
        </w:rPr>
        <w:t xml:space="preserve">Figure </w:t>
      </w:r>
      <w:r w:rsidR="00DC5A7D" w:rsidRPr="00A95204">
        <w:rPr>
          <w:sz w:val="24"/>
          <w:szCs w:val="24"/>
        </w:rPr>
        <w:t xml:space="preserve">5 </w:t>
      </w:r>
      <w:r w:rsidR="00DC6519" w:rsidRPr="00A95204">
        <w:rPr>
          <w:sz w:val="24"/>
          <w:szCs w:val="24"/>
        </w:rPr>
        <w:fldChar w:fldCharType="end"/>
      </w:r>
      <w:r w:rsidR="00DC6519" w:rsidRPr="00A95204">
        <w:rPr>
          <w:sz w:val="24"/>
          <w:szCs w:val="24"/>
        </w:rPr>
        <w:t xml:space="preserve"> </w:t>
      </w:r>
      <w:r w:rsidRPr="00A95204">
        <w:rPr>
          <w:sz w:val="24"/>
          <w:szCs w:val="24"/>
        </w:rPr>
        <w:t>below. In this example, we start with 3216 participants. Of those participants:</w:t>
      </w:r>
    </w:p>
    <w:p w14:paraId="65B1C166" w14:textId="77777777" w:rsidR="00D87DD1" w:rsidRPr="00A95204" w:rsidRDefault="00D87DD1" w:rsidP="00A95204">
      <w:pPr>
        <w:pStyle w:val="NoSpacing"/>
        <w:numPr>
          <w:ilvl w:val="0"/>
          <w:numId w:val="8"/>
        </w:numPr>
        <w:ind w:left="360"/>
        <w:rPr>
          <w:sz w:val="24"/>
          <w:szCs w:val="24"/>
        </w:rPr>
      </w:pPr>
      <w:r w:rsidRPr="00A95204">
        <w:rPr>
          <w:sz w:val="24"/>
          <w:szCs w:val="24"/>
        </w:rPr>
        <w:t xml:space="preserve">In the </w:t>
      </w:r>
      <w:r w:rsidRPr="00A95204">
        <w:rPr>
          <w:b/>
          <w:sz w:val="24"/>
          <w:szCs w:val="24"/>
        </w:rPr>
        <w:t>business as usual scenario</w:t>
      </w:r>
      <w:r w:rsidRPr="00A95204">
        <w:rPr>
          <w:sz w:val="24"/>
          <w:szCs w:val="24"/>
        </w:rPr>
        <w:t>, 1479 would go on to participate in further employment, education, or training. Of those, 7</w:t>
      </w:r>
      <w:r w:rsidR="00682EBA" w:rsidRPr="00A95204">
        <w:rPr>
          <w:sz w:val="24"/>
          <w:szCs w:val="24"/>
        </w:rPr>
        <w:t>39</w:t>
      </w:r>
      <w:r w:rsidRPr="00A95204">
        <w:rPr>
          <w:sz w:val="24"/>
          <w:szCs w:val="24"/>
        </w:rPr>
        <w:t xml:space="preserve"> work, 322 work &amp; study, and 418 study. </w:t>
      </w:r>
    </w:p>
    <w:p w14:paraId="6F555133" w14:textId="77777777" w:rsidR="00D87DD1" w:rsidRPr="00A95204" w:rsidRDefault="00D87DD1" w:rsidP="00A95204">
      <w:pPr>
        <w:pStyle w:val="NoSpacing"/>
        <w:numPr>
          <w:ilvl w:val="0"/>
          <w:numId w:val="8"/>
        </w:numPr>
        <w:ind w:left="360"/>
        <w:rPr>
          <w:sz w:val="24"/>
          <w:szCs w:val="24"/>
        </w:rPr>
      </w:pPr>
      <w:r w:rsidRPr="00A95204">
        <w:rPr>
          <w:sz w:val="24"/>
          <w:szCs w:val="24"/>
        </w:rPr>
        <w:t xml:space="preserve">In the </w:t>
      </w:r>
      <w:r w:rsidRPr="00A95204">
        <w:rPr>
          <w:b/>
          <w:sz w:val="24"/>
          <w:szCs w:val="24"/>
        </w:rPr>
        <w:t>Ticket to Work scenario</w:t>
      </w:r>
      <w:r w:rsidRPr="00A95204">
        <w:rPr>
          <w:sz w:val="24"/>
          <w:szCs w:val="24"/>
        </w:rPr>
        <w:t>, 2316 go on to employment, education or training. Of those, 13</w:t>
      </w:r>
      <w:r w:rsidR="00C1008B" w:rsidRPr="00A95204">
        <w:rPr>
          <w:sz w:val="24"/>
          <w:szCs w:val="24"/>
        </w:rPr>
        <w:t>35</w:t>
      </w:r>
      <w:r w:rsidRPr="00A95204">
        <w:rPr>
          <w:sz w:val="24"/>
          <w:szCs w:val="24"/>
        </w:rPr>
        <w:t xml:space="preserve"> are working, 7</w:t>
      </w:r>
      <w:r w:rsidR="00C1008B" w:rsidRPr="00A95204">
        <w:rPr>
          <w:sz w:val="24"/>
          <w:szCs w:val="24"/>
        </w:rPr>
        <w:t>24</w:t>
      </w:r>
      <w:r w:rsidRPr="00A95204">
        <w:rPr>
          <w:sz w:val="24"/>
          <w:szCs w:val="24"/>
        </w:rPr>
        <w:t xml:space="preserve"> work &amp; study, and 2</w:t>
      </w:r>
      <w:r w:rsidR="00C05F52" w:rsidRPr="00A95204">
        <w:rPr>
          <w:sz w:val="24"/>
          <w:szCs w:val="24"/>
        </w:rPr>
        <w:t>4</w:t>
      </w:r>
      <w:r w:rsidRPr="00A95204">
        <w:rPr>
          <w:sz w:val="24"/>
          <w:szCs w:val="24"/>
        </w:rPr>
        <w:t xml:space="preserve">7 study. </w:t>
      </w:r>
    </w:p>
    <w:p w14:paraId="371907FD" w14:textId="77777777" w:rsidR="00D87DD1" w:rsidRPr="00E82B05" w:rsidRDefault="00D87DD1" w:rsidP="00E82B05">
      <w:pPr>
        <w:pStyle w:val="NoSpacing"/>
        <w:numPr>
          <w:ilvl w:val="0"/>
          <w:numId w:val="8"/>
        </w:numPr>
        <w:ind w:left="360"/>
        <w:rPr>
          <w:sz w:val="24"/>
          <w:szCs w:val="24"/>
        </w:rPr>
      </w:pPr>
      <w:r w:rsidRPr="00A95204">
        <w:rPr>
          <w:sz w:val="24"/>
          <w:szCs w:val="24"/>
        </w:rPr>
        <w:t xml:space="preserve">Comparing the scenarios allows us to estimate that about 837 more people are in employment, education or training under the Ticket to Work scenario compared to the Business as Usual scenario. </w:t>
      </w:r>
    </w:p>
    <w:p w14:paraId="5654557E" w14:textId="77777777" w:rsidR="00E82B05" w:rsidRDefault="00E82B05" w:rsidP="00D87DD1">
      <w:pPr>
        <w:pStyle w:val="Caption"/>
        <w:rPr>
          <w:i w:val="0"/>
          <w:color w:val="auto"/>
          <w:sz w:val="24"/>
          <w:szCs w:val="24"/>
        </w:rPr>
      </w:pPr>
      <w:bookmarkStart w:id="6" w:name="_Ref22877434"/>
      <w:r>
        <w:rPr>
          <w:noProof/>
          <w:lang w:eastAsia="en-AU"/>
        </w:rPr>
        <w:lastRenderedPageBreak/>
        <w:drawing>
          <wp:inline distT="0" distB="0" distL="0" distR="0" wp14:anchorId="3F338F2D" wp14:editId="38087801">
            <wp:extent cx="5476875" cy="2992828"/>
            <wp:effectExtent l="0" t="0" r="0" b="0"/>
            <wp:docPr id="28" name="Picture 28" descr="figure 5 shows a comparison of 3216 participants. &#10;Ticket to work scenario 2316 in employment, education and training compared with 1479 in business as usual&#10;Ticket to work scenario had 900 not in employment education or training compared to 1737 in business as usual,&#10;Ticket to work scenario had 1335 working only compared to 739 in business as usual.&#10;Ticket to Work scenario had 724 working and studying compared to 322 in business as usual.&#10;Ticket to work scenario had 257 studying only compared to 418 in business as usu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2479" cy="2995890"/>
                    </a:xfrm>
                    <a:prstGeom prst="rect">
                      <a:avLst/>
                    </a:prstGeom>
                    <a:noFill/>
                  </pic:spPr>
                </pic:pic>
              </a:graphicData>
            </a:graphic>
          </wp:inline>
        </w:drawing>
      </w:r>
    </w:p>
    <w:p w14:paraId="7C60A1C7" w14:textId="77777777" w:rsidR="00A95204" w:rsidRDefault="00D87DD1" w:rsidP="00D87DD1">
      <w:pPr>
        <w:pStyle w:val="Caption"/>
        <w:rPr>
          <w:i w:val="0"/>
          <w:color w:val="auto"/>
          <w:sz w:val="24"/>
          <w:szCs w:val="24"/>
        </w:rPr>
      </w:pPr>
      <w:r w:rsidRPr="00A95204">
        <w:rPr>
          <w:i w:val="0"/>
          <w:color w:val="auto"/>
          <w:sz w:val="24"/>
          <w:szCs w:val="24"/>
        </w:rPr>
        <w:t xml:space="preserve">Figure </w:t>
      </w:r>
      <w:r w:rsidR="00A37DAD" w:rsidRPr="00A95204">
        <w:rPr>
          <w:i w:val="0"/>
          <w:color w:val="auto"/>
          <w:sz w:val="24"/>
          <w:szCs w:val="24"/>
        </w:rPr>
        <w:fldChar w:fldCharType="begin"/>
      </w:r>
      <w:r w:rsidR="00A37DAD" w:rsidRPr="00A95204">
        <w:rPr>
          <w:i w:val="0"/>
          <w:color w:val="auto"/>
          <w:sz w:val="24"/>
          <w:szCs w:val="24"/>
        </w:rPr>
        <w:instrText xml:space="preserve"> SEQ Figure \* ARABIC </w:instrText>
      </w:r>
      <w:r w:rsidR="00A37DAD" w:rsidRPr="00A95204">
        <w:rPr>
          <w:i w:val="0"/>
          <w:color w:val="auto"/>
          <w:sz w:val="24"/>
          <w:szCs w:val="24"/>
        </w:rPr>
        <w:fldChar w:fldCharType="separate"/>
      </w:r>
      <w:r w:rsidR="004912C4" w:rsidRPr="00A95204">
        <w:rPr>
          <w:i w:val="0"/>
          <w:noProof/>
          <w:color w:val="auto"/>
          <w:sz w:val="24"/>
          <w:szCs w:val="24"/>
        </w:rPr>
        <w:t>5</w:t>
      </w:r>
      <w:r w:rsidR="00A37DAD" w:rsidRPr="00A95204">
        <w:rPr>
          <w:i w:val="0"/>
          <w:noProof/>
          <w:color w:val="auto"/>
          <w:sz w:val="24"/>
          <w:szCs w:val="24"/>
        </w:rPr>
        <w:fldChar w:fldCharType="end"/>
      </w:r>
      <w:bookmarkEnd w:id="6"/>
      <w:r w:rsidRPr="00A95204">
        <w:rPr>
          <w:i w:val="0"/>
          <w:color w:val="auto"/>
          <w:sz w:val="24"/>
          <w:szCs w:val="24"/>
        </w:rPr>
        <w:t>: Ticket to Work Scenario comparison for employment outcomes</w:t>
      </w:r>
    </w:p>
    <w:p w14:paraId="222B5BC9" w14:textId="77777777" w:rsidR="008F25F3" w:rsidRPr="00C63D57" w:rsidRDefault="008F25F3" w:rsidP="00C63D57">
      <w:pPr>
        <w:rPr>
          <w:b/>
          <w:iCs/>
          <w:sz w:val="28"/>
          <w:szCs w:val="28"/>
        </w:rPr>
      </w:pPr>
      <w:r w:rsidRPr="00C63D57">
        <w:rPr>
          <w:b/>
          <w:sz w:val="28"/>
          <w:szCs w:val="28"/>
        </w:rPr>
        <w:t xml:space="preserve">Limitations </w:t>
      </w:r>
    </w:p>
    <w:p w14:paraId="746CF7AC" w14:textId="77777777" w:rsidR="00951356" w:rsidRPr="00A95204" w:rsidRDefault="00951356" w:rsidP="00951356">
      <w:pPr>
        <w:pStyle w:val="NoSpacing"/>
        <w:rPr>
          <w:sz w:val="24"/>
          <w:szCs w:val="24"/>
        </w:rPr>
      </w:pPr>
      <w:r w:rsidRPr="00A95204">
        <w:rPr>
          <w:sz w:val="24"/>
          <w:szCs w:val="24"/>
        </w:rPr>
        <w:t>There are a number of</w:t>
      </w:r>
      <w:r w:rsidR="006B4072" w:rsidRPr="00A95204">
        <w:rPr>
          <w:sz w:val="24"/>
          <w:szCs w:val="24"/>
        </w:rPr>
        <w:t xml:space="preserve"> limitations </w:t>
      </w:r>
      <w:r w:rsidR="009337FE" w:rsidRPr="00A95204">
        <w:rPr>
          <w:sz w:val="24"/>
          <w:szCs w:val="24"/>
        </w:rPr>
        <w:t xml:space="preserve">to note </w:t>
      </w:r>
      <w:r w:rsidR="006B4072" w:rsidRPr="00A95204">
        <w:rPr>
          <w:sz w:val="24"/>
          <w:szCs w:val="24"/>
        </w:rPr>
        <w:t>in this study</w:t>
      </w:r>
      <w:r w:rsidR="009337FE" w:rsidRPr="00A95204">
        <w:rPr>
          <w:sz w:val="24"/>
          <w:szCs w:val="24"/>
        </w:rPr>
        <w:t>:</w:t>
      </w:r>
    </w:p>
    <w:p w14:paraId="13667088" w14:textId="77777777" w:rsidR="00D87DD1" w:rsidRPr="00A95204" w:rsidRDefault="00D87DD1" w:rsidP="00A95204">
      <w:pPr>
        <w:pStyle w:val="NoSpacing"/>
        <w:numPr>
          <w:ilvl w:val="0"/>
          <w:numId w:val="13"/>
        </w:numPr>
        <w:ind w:left="360"/>
        <w:rPr>
          <w:sz w:val="24"/>
          <w:szCs w:val="24"/>
        </w:rPr>
      </w:pPr>
      <w:r w:rsidRPr="00A95204">
        <w:rPr>
          <w:sz w:val="24"/>
          <w:szCs w:val="24"/>
        </w:rPr>
        <w:t xml:space="preserve">We have only included those outcomes for which there was a statistically significant difference between the Ticket to Work group and the Business as Usual comparison group. However, the </w:t>
      </w:r>
      <w:r w:rsidR="006B4072" w:rsidRPr="00A95204">
        <w:rPr>
          <w:sz w:val="24"/>
          <w:szCs w:val="24"/>
        </w:rPr>
        <w:t xml:space="preserve">proportions </w:t>
      </w:r>
      <w:r w:rsidR="00C305F6" w:rsidRPr="00A95204">
        <w:rPr>
          <w:sz w:val="24"/>
          <w:szCs w:val="24"/>
        </w:rPr>
        <w:t xml:space="preserve">used </w:t>
      </w:r>
      <w:r w:rsidR="009337FE" w:rsidRPr="00A95204">
        <w:rPr>
          <w:sz w:val="24"/>
          <w:szCs w:val="24"/>
        </w:rPr>
        <w:t>in this report</w:t>
      </w:r>
      <w:r w:rsidR="00C305F6" w:rsidRPr="00A95204">
        <w:rPr>
          <w:sz w:val="24"/>
          <w:szCs w:val="24"/>
        </w:rPr>
        <w:t xml:space="preserve"> are</w:t>
      </w:r>
      <w:r w:rsidRPr="00A95204">
        <w:rPr>
          <w:sz w:val="24"/>
          <w:szCs w:val="24"/>
        </w:rPr>
        <w:t xml:space="preserve"> the mid-point estimates</w:t>
      </w:r>
      <w:r w:rsidR="009337FE" w:rsidRPr="00A95204">
        <w:rPr>
          <w:sz w:val="24"/>
          <w:szCs w:val="24"/>
        </w:rPr>
        <w:t>. The</w:t>
      </w:r>
      <w:r w:rsidRPr="00A95204">
        <w:rPr>
          <w:sz w:val="24"/>
          <w:szCs w:val="24"/>
        </w:rPr>
        <w:t xml:space="preserve"> margin of error </w:t>
      </w:r>
      <w:r w:rsidR="00F42B21" w:rsidRPr="00A95204">
        <w:rPr>
          <w:sz w:val="24"/>
          <w:szCs w:val="24"/>
        </w:rPr>
        <w:t xml:space="preserve">inherent in estimating population proportions from a small sample </w:t>
      </w:r>
      <w:r w:rsidRPr="00A95204">
        <w:rPr>
          <w:sz w:val="24"/>
          <w:szCs w:val="24"/>
        </w:rPr>
        <w:t xml:space="preserve">mean </w:t>
      </w:r>
      <w:r w:rsidR="00F42B21" w:rsidRPr="00A95204">
        <w:rPr>
          <w:sz w:val="24"/>
          <w:szCs w:val="24"/>
        </w:rPr>
        <w:t xml:space="preserve">that </w:t>
      </w:r>
      <w:r w:rsidRPr="00A95204">
        <w:rPr>
          <w:sz w:val="24"/>
          <w:szCs w:val="24"/>
        </w:rPr>
        <w:t xml:space="preserve">the ‘true’ difference between the groups </w:t>
      </w:r>
      <w:r w:rsidR="00F42B21" w:rsidRPr="00A95204">
        <w:rPr>
          <w:sz w:val="24"/>
          <w:szCs w:val="24"/>
        </w:rPr>
        <w:t>may be</w:t>
      </w:r>
      <w:r w:rsidRPr="00A95204">
        <w:rPr>
          <w:sz w:val="24"/>
          <w:szCs w:val="24"/>
        </w:rPr>
        <w:t xml:space="preserve"> somewhat smaller or larger than these estimates. </w:t>
      </w:r>
    </w:p>
    <w:p w14:paraId="5BF7CC60" w14:textId="77777777" w:rsidR="00D47617" w:rsidRPr="00A95204" w:rsidRDefault="00F44371" w:rsidP="00A95204">
      <w:pPr>
        <w:pStyle w:val="NoSpacing"/>
        <w:numPr>
          <w:ilvl w:val="0"/>
          <w:numId w:val="13"/>
        </w:numPr>
        <w:ind w:left="360"/>
        <w:rPr>
          <w:sz w:val="24"/>
          <w:szCs w:val="24"/>
        </w:rPr>
      </w:pPr>
      <w:r w:rsidRPr="00A95204">
        <w:rPr>
          <w:sz w:val="24"/>
          <w:szCs w:val="24"/>
        </w:rPr>
        <w:t xml:space="preserve">Participation in Ticket to Work was voluntary, and not randomised. As </w:t>
      </w:r>
      <w:r w:rsidR="001F22FE" w:rsidRPr="00A95204">
        <w:rPr>
          <w:sz w:val="24"/>
          <w:szCs w:val="24"/>
        </w:rPr>
        <w:t xml:space="preserve">such, there is the possibility that </w:t>
      </w:r>
      <w:r w:rsidR="0084228B" w:rsidRPr="00A95204">
        <w:rPr>
          <w:sz w:val="24"/>
          <w:szCs w:val="24"/>
        </w:rPr>
        <w:t>there are characteristics of the</w:t>
      </w:r>
      <w:r w:rsidR="001F22FE" w:rsidRPr="00A95204">
        <w:rPr>
          <w:sz w:val="24"/>
          <w:szCs w:val="24"/>
        </w:rPr>
        <w:t xml:space="preserve"> people who chose to participate in Ticket to Work </w:t>
      </w:r>
      <w:r w:rsidR="0084228B" w:rsidRPr="00A95204">
        <w:rPr>
          <w:sz w:val="24"/>
          <w:szCs w:val="24"/>
        </w:rPr>
        <w:t xml:space="preserve">that </w:t>
      </w:r>
      <w:r w:rsidR="00773A21" w:rsidRPr="00A95204">
        <w:rPr>
          <w:sz w:val="24"/>
          <w:szCs w:val="24"/>
        </w:rPr>
        <w:t xml:space="preserve">might affect the comparability of the two groups. </w:t>
      </w:r>
    </w:p>
    <w:p w14:paraId="4C6856D7" w14:textId="77777777" w:rsidR="00BD0480" w:rsidRPr="00A95204" w:rsidRDefault="004E7AFD" w:rsidP="00A95204">
      <w:pPr>
        <w:pStyle w:val="NoSpacing"/>
        <w:numPr>
          <w:ilvl w:val="0"/>
          <w:numId w:val="13"/>
        </w:numPr>
        <w:ind w:left="360"/>
        <w:rPr>
          <w:sz w:val="24"/>
          <w:szCs w:val="24"/>
        </w:rPr>
      </w:pPr>
      <w:r w:rsidRPr="00A95204">
        <w:rPr>
          <w:sz w:val="24"/>
          <w:szCs w:val="24"/>
        </w:rPr>
        <w:t>T</w:t>
      </w:r>
      <w:r w:rsidR="00AB55FD" w:rsidRPr="00A95204">
        <w:rPr>
          <w:sz w:val="24"/>
          <w:szCs w:val="24"/>
        </w:rPr>
        <w:t xml:space="preserve">he survey of Ticket to Work participants represents a one-off snapshot of outcomes for participants between zero and </w:t>
      </w:r>
      <w:r w:rsidR="00103FD5" w:rsidRPr="00A95204">
        <w:rPr>
          <w:sz w:val="24"/>
          <w:szCs w:val="24"/>
        </w:rPr>
        <w:t>five</w:t>
      </w:r>
      <w:r w:rsidR="00AB55FD" w:rsidRPr="00A95204">
        <w:rPr>
          <w:sz w:val="24"/>
          <w:szCs w:val="24"/>
        </w:rPr>
        <w:t xml:space="preserve"> years after they </w:t>
      </w:r>
      <w:r w:rsidR="000D749A" w:rsidRPr="00A95204">
        <w:rPr>
          <w:sz w:val="24"/>
          <w:szCs w:val="24"/>
        </w:rPr>
        <w:t>left school</w:t>
      </w:r>
      <w:r w:rsidR="00AB55FD" w:rsidRPr="00A95204">
        <w:rPr>
          <w:sz w:val="24"/>
          <w:szCs w:val="24"/>
        </w:rPr>
        <w:t>. As such,</w:t>
      </w:r>
      <w:r w:rsidRPr="00A95204">
        <w:rPr>
          <w:sz w:val="24"/>
          <w:szCs w:val="24"/>
        </w:rPr>
        <w:t xml:space="preserve"> it is not possible to estimate whether the dif</w:t>
      </w:r>
      <w:r w:rsidR="00AB55FD" w:rsidRPr="00A95204">
        <w:rPr>
          <w:sz w:val="24"/>
          <w:szCs w:val="24"/>
        </w:rPr>
        <w:t xml:space="preserve">ferences observed between the participants and </w:t>
      </w:r>
      <w:r w:rsidRPr="00A95204">
        <w:rPr>
          <w:sz w:val="24"/>
          <w:szCs w:val="24"/>
        </w:rPr>
        <w:t xml:space="preserve">the </w:t>
      </w:r>
      <w:r w:rsidR="00AB55FD" w:rsidRPr="00A95204">
        <w:rPr>
          <w:sz w:val="24"/>
          <w:szCs w:val="24"/>
        </w:rPr>
        <w:t xml:space="preserve">comparison group will persist throughout their lives. </w:t>
      </w:r>
    </w:p>
    <w:p w14:paraId="59D85962" w14:textId="77777777" w:rsidR="0045793D" w:rsidRPr="00A95204" w:rsidRDefault="0045793D" w:rsidP="00A95204">
      <w:pPr>
        <w:pStyle w:val="NoSpacing"/>
        <w:numPr>
          <w:ilvl w:val="0"/>
          <w:numId w:val="13"/>
        </w:numPr>
        <w:ind w:left="360"/>
        <w:rPr>
          <w:sz w:val="24"/>
          <w:szCs w:val="24"/>
        </w:rPr>
      </w:pPr>
      <w:r w:rsidRPr="00A95204">
        <w:rPr>
          <w:sz w:val="24"/>
          <w:szCs w:val="24"/>
        </w:rPr>
        <w:t>Ticket to Work takes an individualised approach and participants may use a range of services and supports to create a unique pathway. These include both mainstream and disability supports, we have focus on the typical disability supports</w:t>
      </w:r>
      <w:r w:rsidR="00775C32" w:rsidRPr="00A95204">
        <w:rPr>
          <w:sz w:val="24"/>
          <w:szCs w:val="24"/>
        </w:rPr>
        <w:t xml:space="preserve"> that participants utilised for</w:t>
      </w:r>
      <w:r w:rsidRPr="00A95204">
        <w:rPr>
          <w:sz w:val="24"/>
          <w:szCs w:val="24"/>
        </w:rPr>
        <w:t xml:space="preserve"> this paper. </w:t>
      </w:r>
    </w:p>
    <w:p w14:paraId="5BE9F84A" w14:textId="77777777" w:rsidR="0045793D" w:rsidRPr="00A95204" w:rsidRDefault="00641753" w:rsidP="00A95204">
      <w:pPr>
        <w:pStyle w:val="NoSpacing"/>
        <w:numPr>
          <w:ilvl w:val="0"/>
          <w:numId w:val="13"/>
        </w:numPr>
        <w:tabs>
          <w:tab w:val="left" w:pos="630"/>
        </w:tabs>
        <w:ind w:left="450"/>
        <w:rPr>
          <w:sz w:val="24"/>
          <w:szCs w:val="24"/>
        </w:rPr>
      </w:pPr>
      <w:r w:rsidRPr="00A95204">
        <w:rPr>
          <w:sz w:val="24"/>
          <w:szCs w:val="24"/>
        </w:rPr>
        <w:t>The</w:t>
      </w:r>
      <w:r w:rsidR="0045793D" w:rsidRPr="00A95204">
        <w:rPr>
          <w:sz w:val="24"/>
          <w:szCs w:val="24"/>
        </w:rPr>
        <w:t xml:space="preserve"> funding level through NDIS, ADE and DES have recently or are proposed to change. In this study, we have used the funding levels that </w:t>
      </w:r>
      <w:r w:rsidR="00F14D41" w:rsidRPr="00A95204">
        <w:rPr>
          <w:sz w:val="24"/>
          <w:szCs w:val="24"/>
        </w:rPr>
        <w:t>were</w:t>
      </w:r>
      <w:r w:rsidR="0045793D" w:rsidRPr="00A95204">
        <w:rPr>
          <w:sz w:val="24"/>
          <w:szCs w:val="24"/>
        </w:rPr>
        <w:t xml:space="preserve"> available by the Ticket to Work participan</w:t>
      </w:r>
      <w:r w:rsidR="006345E6" w:rsidRPr="00A95204">
        <w:rPr>
          <w:sz w:val="24"/>
          <w:szCs w:val="24"/>
        </w:rPr>
        <w:t>ts at the time they left school.</w:t>
      </w:r>
      <w:r w:rsidR="0045793D" w:rsidRPr="00A95204">
        <w:rPr>
          <w:sz w:val="24"/>
          <w:szCs w:val="24"/>
        </w:rPr>
        <w:t xml:space="preserve"> </w:t>
      </w:r>
    </w:p>
    <w:p w14:paraId="39E71A1B" w14:textId="77777777" w:rsidR="00EB0A67" w:rsidRPr="00A95204" w:rsidRDefault="00EB0A67" w:rsidP="006113AF">
      <w:pPr>
        <w:pStyle w:val="Heading4"/>
      </w:pPr>
      <w:r w:rsidRPr="00A95204">
        <w:lastRenderedPageBreak/>
        <w:t>Approach</w:t>
      </w:r>
    </w:p>
    <w:p w14:paraId="71E154DF" w14:textId="77777777" w:rsidR="00B71261" w:rsidRPr="00A95204" w:rsidRDefault="00E229F5" w:rsidP="00376631">
      <w:pPr>
        <w:rPr>
          <w:sz w:val="24"/>
          <w:szCs w:val="24"/>
        </w:rPr>
      </w:pPr>
      <w:r w:rsidRPr="00A95204">
        <w:rPr>
          <w:sz w:val="24"/>
          <w:szCs w:val="24"/>
        </w:rPr>
        <w:t>This report adapts an approach taken by Lamb &amp; Huo (2017) that examined the lifetime costs of</w:t>
      </w:r>
      <w:r w:rsidR="007072F8" w:rsidRPr="00A95204">
        <w:rPr>
          <w:sz w:val="24"/>
          <w:szCs w:val="24"/>
        </w:rPr>
        <w:t xml:space="preserve"> people in the general population not completing school. </w:t>
      </w:r>
      <w:r w:rsidR="00AA18A8" w:rsidRPr="00A95204">
        <w:rPr>
          <w:sz w:val="24"/>
          <w:szCs w:val="24"/>
        </w:rPr>
        <w:t>That</w:t>
      </w:r>
      <w:r w:rsidR="004C05AD" w:rsidRPr="00A95204">
        <w:rPr>
          <w:sz w:val="24"/>
          <w:szCs w:val="24"/>
        </w:rPr>
        <w:t xml:space="preserve"> study found </w:t>
      </w:r>
      <w:r w:rsidR="00CD7EE3" w:rsidRPr="00A95204">
        <w:rPr>
          <w:sz w:val="24"/>
          <w:szCs w:val="24"/>
        </w:rPr>
        <w:t>significant</w:t>
      </w:r>
      <w:r w:rsidR="00C962A7" w:rsidRPr="00A95204">
        <w:rPr>
          <w:sz w:val="24"/>
          <w:szCs w:val="24"/>
        </w:rPr>
        <w:t xml:space="preserve"> lifetime</w:t>
      </w:r>
      <w:r w:rsidR="004C05AD" w:rsidRPr="00A95204">
        <w:rPr>
          <w:sz w:val="24"/>
          <w:szCs w:val="24"/>
        </w:rPr>
        <w:t xml:space="preserve"> cost</w:t>
      </w:r>
      <w:r w:rsidR="004755DF" w:rsidRPr="00A95204">
        <w:rPr>
          <w:sz w:val="24"/>
          <w:szCs w:val="24"/>
        </w:rPr>
        <w:t>s</w:t>
      </w:r>
      <w:r w:rsidR="004C05AD" w:rsidRPr="00A95204">
        <w:rPr>
          <w:sz w:val="24"/>
          <w:szCs w:val="24"/>
        </w:rPr>
        <w:t xml:space="preserve"> to government ($334,000) and individuals ($616,000) for young people who left school early. It found even larger costs ($411,000 and $1.1m, respectively) for those young people who had become disengaged from study or work by age 24. </w:t>
      </w:r>
      <w:r w:rsidR="004755DF" w:rsidRPr="00A95204">
        <w:rPr>
          <w:sz w:val="24"/>
          <w:szCs w:val="24"/>
        </w:rPr>
        <w:t>Reduced wages, and the consequent reduction in taxes</w:t>
      </w:r>
      <w:r w:rsidR="00240721" w:rsidRPr="00A95204">
        <w:rPr>
          <w:sz w:val="24"/>
          <w:szCs w:val="24"/>
        </w:rPr>
        <w:t xml:space="preserve"> and increase in income support payments</w:t>
      </w:r>
      <w:r w:rsidR="004755DF" w:rsidRPr="00A95204">
        <w:rPr>
          <w:sz w:val="24"/>
          <w:szCs w:val="24"/>
        </w:rPr>
        <w:t xml:space="preserve">, account for more than 80% of these costs. </w:t>
      </w:r>
      <w:r w:rsidR="005C04C6" w:rsidRPr="00A95204">
        <w:rPr>
          <w:sz w:val="24"/>
          <w:szCs w:val="24"/>
        </w:rPr>
        <w:t xml:space="preserve">Lamb &amp; Huo included </w:t>
      </w:r>
      <w:r w:rsidR="0080492F" w:rsidRPr="00A95204">
        <w:rPr>
          <w:sz w:val="24"/>
          <w:szCs w:val="24"/>
        </w:rPr>
        <w:t>the following elements in their model:</w:t>
      </w:r>
    </w:p>
    <w:p w14:paraId="6C81F1C2" w14:textId="77777777" w:rsidR="0080492F" w:rsidRPr="00A95204" w:rsidRDefault="0080492F" w:rsidP="00A95204">
      <w:pPr>
        <w:pStyle w:val="Bulletlist"/>
        <w:ind w:left="360"/>
        <w:rPr>
          <w:sz w:val="24"/>
          <w:szCs w:val="24"/>
        </w:rPr>
      </w:pPr>
      <w:r w:rsidRPr="00A95204">
        <w:rPr>
          <w:sz w:val="24"/>
          <w:szCs w:val="24"/>
        </w:rPr>
        <w:t>Fiscal Costs</w:t>
      </w:r>
    </w:p>
    <w:p w14:paraId="50249E54" w14:textId="77777777" w:rsidR="00033D4A" w:rsidRPr="00A95204" w:rsidRDefault="00570390" w:rsidP="00D91454">
      <w:pPr>
        <w:pStyle w:val="Bulletlist"/>
        <w:numPr>
          <w:ilvl w:val="1"/>
          <w:numId w:val="11"/>
        </w:numPr>
        <w:rPr>
          <w:sz w:val="24"/>
          <w:szCs w:val="24"/>
        </w:rPr>
      </w:pPr>
      <w:r w:rsidRPr="00A95204">
        <w:rPr>
          <w:sz w:val="24"/>
          <w:szCs w:val="24"/>
        </w:rPr>
        <w:t>Increased reliance on income support</w:t>
      </w:r>
    </w:p>
    <w:p w14:paraId="27DAEA4A" w14:textId="77777777" w:rsidR="00570390" w:rsidRPr="00A95204" w:rsidRDefault="00570390" w:rsidP="00D91454">
      <w:pPr>
        <w:pStyle w:val="Bulletlist"/>
        <w:numPr>
          <w:ilvl w:val="1"/>
          <w:numId w:val="11"/>
        </w:numPr>
        <w:rPr>
          <w:sz w:val="24"/>
          <w:szCs w:val="24"/>
        </w:rPr>
      </w:pPr>
      <w:r w:rsidRPr="00A95204">
        <w:rPr>
          <w:sz w:val="24"/>
          <w:szCs w:val="24"/>
        </w:rPr>
        <w:t>Increased incidence of crime</w:t>
      </w:r>
      <w:r w:rsidR="00792714" w:rsidRPr="00A95204">
        <w:rPr>
          <w:sz w:val="24"/>
          <w:szCs w:val="24"/>
        </w:rPr>
        <w:t xml:space="preserve"> leads to increased criminal justice system costs</w:t>
      </w:r>
    </w:p>
    <w:p w14:paraId="145AD055" w14:textId="77777777" w:rsidR="00570390" w:rsidRPr="00A95204" w:rsidRDefault="00570390" w:rsidP="00D91454">
      <w:pPr>
        <w:pStyle w:val="Bulletlist"/>
        <w:numPr>
          <w:ilvl w:val="1"/>
          <w:numId w:val="11"/>
        </w:numPr>
        <w:rPr>
          <w:sz w:val="24"/>
          <w:szCs w:val="24"/>
        </w:rPr>
      </w:pPr>
      <w:r w:rsidRPr="00A95204">
        <w:rPr>
          <w:sz w:val="24"/>
          <w:szCs w:val="24"/>
        </w:rPr>
        <w:t>Increased healthcare costs</w:t>
      </w:r>
    </w:p>
    <w:p w14:paraId="7AF7103C" w14:textId="77777777" w:rsidR="00570390" w:rsidRPr="00A95204" w:rsidRDefault="00F5158F" w:rsidP="00D91454">
      <w:pPr>
        <w:pStyle w:val="Bulletlist"/>
        <w:numPr>
          <w:ilvl w:val="1"/>
          <w:numId w:val="11"/>
        </w:numPr>
        <w:rPr>
          <w:sz w:val="24"/>
          <w:szCs w:val="24"/>
        </w:rPr>
      </w:pPr>
      <w:r w:rsidRPr="00A95204">
        <w:rPr>
          <w:sz w:val="24"/>
          <w:szCs w:val="24"/>
        </w:rPr>
        <w:t>Increased marginal excess tax burden</w:t>
      </w:r>
    </w:p>
    <w:p w14:paraId="7336D950" w14:textId="77777777" w:rsidR="0080492F" w:rsidRPr="00A95204" w:rsidRDefault="0080492F" w:rsidP="00A95204">
      <w:pPr>
        <w:pStyle w:val="Bulletlist"/>
        <w:ind w:left="360"/>
        <w:rPr>
          <w:sz w:val="24"/>
          <w:szCs w:val="24"/>
        </w:rPr>
      </w:pPr>
      <w:r w:rsidRPr="00A95204">
        <w:rPr>
          <w:sz w:val="24"/>
          <w:szCs w:val="24"/>
        </w:rPr>
        <w:t>Social Costs</w:t>
      </w:r>
    </w:p>
    <w:p w14:paraId="1A3BB44C" w14:textId="77777777" w:rsidR="00570390" w:rsidRPr="00A95204" w:rsidRDefault="00570390" w:rsidP="00D91454">
      <w:pPr>
        <w:pStyle w:val="Bulletlist"/>
        <w:numPr>
          <w:ilvl w:val="1"/>
          <w:numId w:val="11"/>
        </w:numPr>
        <w:rPr>
          <w:sz w:val="24"/>
          <w:szCs w:val="24"/>
        </w:rPr>
      </w:pPr>
      <w:r w:rsidRPr="00A95204">
        <w:rPr>
          <w:sz w:val="24"/>
          <w:szCs w:val="24"/>
        </w:rPr>
        <w:t>Reduced wages</w:t>
      </w:r>
    </w:p>
    <w:p w14:paraId="7F80802D" w14:textId="77777777" w:rsidR="00F5158F" w:rsidRPr="00A95204" w:rsidRDefault="00792714" w:rsidP="00D91454">
      <w:pPr>
        <w:pStyle w:val="Bulletlist"/>
        <w:numPr>
          <w:ilvl w:val="1"/>
          <w:numId w:val="11"/>
        </w:numPr>
        <w:rPr>
          <w:sz w:val="24"/>
          <w:szCs w:val="24"/>
        </w:rPr>
      </w:pPr>
      <w:r w:rsidRPr="00A95204">
        <w:rPr>
          <w:sz w:val="24"/>
          <w:szCs w:val="24"/>
        </w:rPr>
        <w:t>Increased incidence of crime leads to increased social criminal justice costs</w:t>
      </w:r>
    </w:p>
    <w:p w14:paraId="7FC243DE" w14:textId="77777777" w:rsidR="00654965" w:rsidRPr="00A95204" w:rsidRDefault="00654965" w:rsidP="00376631">
      <w:pPr>
        <w:rPr>
          <w:b/>
          <w:sz w:val="28"/>
          <w:szCs w:val="28"/>
        </w:rPr>
      </w:pPr>
      <w:r w:rsidRPr="00A95204">
        <w:rPr>
          <w:b/>
          <w:sz w:val="28"/>
          <w:szCs w:val="28"/>
        </w:rPr>
        <w:t>Adapting this approach to the disability context</w:t>
      </w:r>
    </w:p>
    <w:p w14:paraId="5AB28FDC" w14:textId="77777777" w:rsidR="00267CCF" w:rsidRPr="00A95204" w:rsidRDefault="006E6918" w:rsidP="00376631">
      <w:pPr>
        <w:rPr>
          <w:sz w:val="24"/>
          <w:szCs w:val="24"/>
        </w:rPr>
      </w:pPr>
      <w:r w:rsidRPr="00A95204">
        <w:rPr>
          <w:sz w:val="24"/>
          <w:szCs w:val="24"/>
        </w:rPr>
        <w:t xml:space="preserve">Whilst many of the </w:t>
      </w:r>
      <w:r w:rsidR="006E572E" w:rsidRPr="00A95204">
        <w:rPr>
          <w:sz w:val="24"/>
          <w:szCs w:val="24"/>
        </w:rPr>
        <w:t xml:space="preserve">benefits and costs </w:t>
      </w:r>
      <w:r w:rsidR="00173828" w:rsidRPr="00A95204">
        <w:rPr>
          <w:sz w:val="24"/>
          <w:szCs w:val="24"/>
        </w:rPr>
        <w:t>of getting people with disability into work</w:t>
      </w:r>
      <w:r w:rsidR="00253685" w:rsidRPr="00A95204">
        <w:rPr>
          <w:sz w:val="24"/>
          <w:szCs w:val="24"/>
        </w:rPr>
        <w:t xml:space="preserve"> </w:t>
      </w:r>
      <w:r w:rsidR="00A62991" w:rsidRPr="00A95204">
        <w:rPr>
          <w:sz w:val="24"/>
          <w:szCs w:val="24"/>
        </w:rPr>
        <w:t>(</w:t>
      </w:r>
      <w:r w:rsidR="005347A1" w:rsidRPr="00A95204">
        <w:rPr>
          <w:sz w:val="24"/>
          <w:szCs w:val="24"/>
        </w:rPr>
        <w:t>through education and training</w:t>
      </w:r>
      <w:r w:rsidR="00A62991" w:rsidRPr="00A95204">
        <w:rPr>
          <w:sz w:val="24"/>
          <w:szCs w:val="24"/>
        </w:rPr>
        <w:t>)</w:t>
      </w:r>
      <w:r w:rsidRPr="00A95204">
        <w:rPr>
          <w:sz w:val="24"/>
          <w:szCs w:val="24"/>
        </w:rPr>
        <w:t xml:space="preserve"> are similar to those proposed by Lamb &amp; Huo, there are additional </w:t>
      </w:r>
      <w:r w:rsidR="005347A1" w:rsidRPr="00A95204">
        <w:rPr>
          <w:sz w:val="24"/>
          <w:szCs w:val="24"/>
        </w:rPr>
        <w:t xml:space="preserve">elements that are specific to </w:t>
      </w:r>
      <w:r w:rsidR="00654965" w:rsidRPr="00A95204">
        <w:rPr>
          <w:sz w:val="24"/>
          <w:szCs w:val="24"/>
        </w:rPr>
        <w:t>young people with disability.</w:t>
      </w:r>
      <w:r w:rsidR="005347A1" w:rsidRPr="00A95204">
        <w:rPr>
          <w:sz w:val="24"/>
          <w:szCs w:val="24"/>
        </w:rPr>
        <w:t xml:space="preserve"> Th</w:t>
      </w:r>
      <w:r w:rsidR="00A25985" w:rsidRPr="00A95204">
        <w:rPr>
          <w:sz w:val="24"/>
          <w:szCs w:val="24"/>
        </w:rPr>
        <w:t>ese</w:t>
      </w:r>
      <w:r w:rsidR="005347A1" w:rsidRPr="00A95204">
        <w:rPr>
          <w:sz w:val="24"/>
          <w:szCs w:val="24"/>
        </w:rPr>
        <w:t xml:space="preserve"> include:</w:t>
      </w:r>
    </w:p>
    <w:p w14:paraId="0F45E0A3" w14:textId="77777777" w:rsidR="009F0AD5" w:rsidRPr="00A95204" w:rsidRDefault="009F0AD5" w:rsidP="00497DA3">
      <w:pPr>
        <w:pStyle w:val="NoSpacing"/>
        <w:rPr>
          <w:sz w:val="24"/>
          <w:szCs w:val="24"/>
        </w:rPr>
      </w:pPr>
      <w:r w:rsidRPr="00A95204">
        <w:rPr>
          <w:sz w:val="24"/>
          <w:szCs w:val="24"/>
        </w:rPr>
        <w:t>Income measures:</w:t>
      </w:r>
    </w:p>
    <w:p w14:paraId="06C78E68" w14:textId="77777777" w:rsidR="003F1DD8" w:rsidRPr="00A95204" w:rsidRDefault="003F1DD8" w:rsidP="00A95204">
      <w:pPr>
        <w:pStyle w:val="Bulletlist"/>
        <w:ind w:left="360"/>
        <w:rPr>
          <w:sz w:val="24"/>
          <w:szCs w:val="24"/>
        </w:rPr>
      </w:pPr>
      <w:r w:rsidRPr="00A95204">
        <w:rPr>
          <w:b/>
          <w:sz w:val="24"/>
          <w:szCs w:val="24"/>
        </w:rPr>
        <w:t xml:space="preserve">Disability-specific </w:t>
      </w:r>
      <w:r w:rsidR="00AA18A8" w:rsidRPr="00A95204">
        <w:rPr>
          <w:b/>
          <w:sz w:val="24"/>
          <w:szCs w:val="24"/>
        </w:rPr>
        <w:t>income support</w:t>
      </w:r>
      <w:r w:rsidR="00346BDD" w:rsidRPr="00A95204">
        <w:rPr>
          <w:b/>
          <w:sz w:val="24"/>
          <w:szCs w:val="24"/>
        </w:rPr>
        <w:t xml:space="preserve"> </w:t>
      </w:r>
      <w:r w:rsidR="00B12F77" w:rsidRPr="00A95204">
        <w:rPr>
          <w:b/>
          <w:sz w:val="24"/>
          <w:szCs w:val="24"/>
        </w:rPr>
        <w:t>payments</w:t>
      </w:r>
      <w:r w:rsidR="00346BDD" w:rsidRPr="00A95204">
        <w:rPr>
          <w:b/>
          <w:sz w:val="24"/>
          <w:szCs w:val="24"/>
        </w:rPr>
        <w:t>:</w:t>
      </w:r>
      <w:r w:rsidR="00346BDD" w:rsidRPr="00A95204">
        <w:rPr>
          <w:sz w:val="24"/>
          <w:szCs w:val="24"/>
        </w:rPr>
        <w:t xml:space="preserve"> </w:t>
      </w:r>
      <w:r w:rsidR="00B40A07" w:rsidRPr="00A95204">
        <w:rPr>
          <w:sz w:val="24"/>
          <w:szCs w:val="24"/>
        </w:rPr>
        <w:t xml:space="preserve">many </w:t>
      </w:r>
      <w:r w:rsidR="00346BDD" w:rsidRPr="00A95204">
        <w:rPr>
          <w:sz w:val="24"/>
          <w:szCs w:val="24"/>
        </w:rPr>
        <w:t xml:space="preserve">people with </w:t>
      </w:r>
      <w:r w:rsidR="00EC7E31" w:rsidRPr="00A95204">
        <w:rPr>
          <w:sz w:val="24"/>
          <w:szCs w:val="24"/>
        </w:rPr>
        <w:t xml:space="preserve">more significant </w:t>
      </w:r>
      <w:r w:rsidR="00346BDD" w:rsidRPr="00A95204">
        <w:rPr>
          <w:sz w:val="24"/>
          <w:szCs w:val="24"/>
        </w:rPr>
        <w:t xml:space="preserve">disability and their carers receive certain </w:t>
      </w:r>
      <w:r w:rsidR="001B41A8" w:rsidRPr="00A95204">
        <w:rPr>
          <w:sz w:val="24"/>
          <w:szCs w:val="24"/>
        </w:rPr>
        <w:t>income support payments, including the disability support pension</w:t>
      </w:r>
      <w:r w:rsidR="00D75D5F" w:rsidRPr="00A95204">
        <w:rPr>
          <w:sz w:val="24"/>
          <w:szCs w:val="24"/>
        </w:rPr>
        <w:t>, youth allowance (with disability supplement)</w:t>
      </w:r>
      <w:r w:rsidR="001B41A8" w:rsidRPr="00A95204">
        <w:rPr>
          <w:sz w:val="24"/>
          <w:szCs w:val="24"/>
        </w:rPr>
        <w:t xml:space="preserve"> and carer allowance</w:t>
      </w:r>
      <w:r w:rsidR="00072D90" w:rsidRPr="00A95204">
        <w:rPr>
          <w:sz w:val="24"/>
          <w:szCs w:val="24"/>
        </w:rPr>
        <w:t>. These supports are typically means</w:t>
      </w:r>
      <w:r w:rsidR="00B40A07" w:rsidRPr="00A95204">
        <w:rPr>
          <w:sz w:val="24"/>
          <w:szCs w:val="24"/>
        </w:rPr>
        <w:t>-</w:t>
      </w:r>
      <w:r w:rsidR="00072D90" w:rsidRPr="00A95204">
        <w:rPr>
          <w:sz w:val="24"/>
          <w:szCs w:val="24"/>
        </w:rPr>
        <w:t>tested, and may be affected by increases in employment income</w:t>
      </w:r>
      <w:r w:rsidR="001C7C4A" w:rsidRPr="00A95204">
        <w:rPr>
          <w:sz w:val="24"/>
          <w:szCs w:val="24"/>
        </w:rPr>
        <w:t>.</w:t>
      </w:r>
    </w:p>
    <w:p w14:paraId="30AEE04F" w14:textId="77777777" w:rsidR="006D0F82" w:rsidRPr="00A95204" w:rsidRDefault="006D0F82" w:rsidP="00855673">
      <w:pPr>
        <w:pStyle w:val="Bulletedlist"/>
      </w:pPr>
    </w:p>
    <w:p w14:paraId="3FDFF6D7" w14:textId="77777777" w:rsidR="009F0AD5" w:rsidRPr="00A95204" w:rsidRDefault="009F0AD5" w:rsidP="00A95204">
      <w:pPr>
        <w:pStyle w:val="Bulletlist"/>
        <w:ind w:left="360"/>
        <w:rPr>
          <w:sz w:val="24"/>
          <w:szCs w:val="24"/>
        </w:rPr>
      </w:pPr>
      <w:r w:rsidRPr="00A95204">
        <w:rPr>
          <w:b/>
          <w:sz w:val="24"/>
          <w:szCs w:val="24"/>
        </w:rPr>
        <w:t>Flow-on impacts for carers:</w:t>
      </w:r>
      <w:r w:rsidRPr="00A95204">
        <w:rPr>
          <w:sz w:val="24"/>
          <w:szCs w:val="24"/>
        </w:rPr>
        <w:t xml:space="preserve"> employment for people with disability can have</w:t>
      </w:r>
      <w:r w:rsidRPr="00A95204" w:rsidDel="009F0AD5">
        <w:rPr>
          <w:sz w:val="24"/>
          <w:szCs w:val="24"/>
        </w:rPr>
        <w:t xml:space="preserve"> </w:t>
      </w:r>
      <w:r w:rsidRPr="00A95204">
        <w:rPr>
          <w:sz w:val="24"/>
          <w:szCs w:val="24"/>
        </w:rPr>
        <w:t xml:space="preserve">a significant impact on the primary carers of people with disability. The Productivity Commission, NDIA, and others have noted in their analysis of the impact of employment supports in the NDIS that caring responsibilities can limit carers’ ability to participate in paid employment (PC 2011, PWC 2011, Deloitte 2015, </w:t>
      </w:r>
      <w:r w:rsidRPr="00A95204">
        <w:rPr>
          <w:sz w:val="24"/>
          <w:szCs w:val="24"/>
        </w:rPr>
        <w:lastRenderedPageBreak/>
        <w:t xml:space="preserve">NDIA 2018). As such, an increase in participation in employment by people with disability </w:t>
      </w:r>
      <w:r w:rsidR="002C748A" w:rsidRPr="00A95204">
        <w:rPr>
          <w:sz w:val="24"/>
          <w:szCs w:val="24"/>
        </w:rPr>
        <w:t xml:space="preserve">could </w:t>
      </w:r>
      <w:r w:rsidRPr="00A95204">
        <w:rPr>
          <w:sz w:val="24"/>
          <w:szCs w:val="24"/>
        </w:rPr>
        <w:t>also increase the ability of their carers to take on additional paid work (NDIA 2018, PC 2011).</w:t>
      </w:r>
    </w:p>
    <w:p w14:paraId="0E0D5C2B" w14:textId="77777777" w:rsidR="009F0AD5" w:rsidRPr="00A95204" w:rsidRDefault="009F0AD5" w:rsidP="00855673">
      <w:pPr>
        <w:pStyle w:val="Bulletedlist"/>
      </w:pPr>
    </w:p>
    <w:p w14:paraId="31958ABB" w14:textId="77777777" w:rsidR="009F0AD5" w:rsidRPr="00CD1D16" w:rsidRDefault="009F0AD5" w:rsidP="00497DA3">
      <w:pPr>
        <w:pStyle w:val="NoSpacing"/>
        <w:rPr>
          <w:sz w:val="24"/>
          <w:szCs w:val="24"/>
        </w:rPr>
      </w:pPr>
      <w:r w:rsidRPr="00CD1D16">
        <w:rPr>
          <w:sz w:val="24"/>
          <w:szCs w:val="24"/>
        </w:rPr>
        <w:t>Government program expenditure:</w:t>
      </w:r>
      <w:r w:rsidR="00F70CAD" w:rsidRPr="00CD1D16">
        <w:rPr>
          <w:sz w:val="24"/>
          <w:szCs w:val="24"/>
        </w:rPr>
        <w:br/>
      </w:r>
    </w:p>
    <w:p w14:paraId="50F7E8BF" w14:textId="77777777" w:rsidR="00C146BC" w:rsidRPr="00CD1D16" w:rsidRDefault="00C146BC" w:rsidP="00CD1D16">
      <w:pPr>
        <w:pStyle w:val="Bulletlist"/>
        <w:ind w:left="450"/>
        <w:rPr>
          <w:sz w:val="24"/>
          <w:szCs w:val="24"/>
        </w:rPr>
      </w:pPr>
      <w:r w:rsidRPr="00CD1D16">
        <w:rPr>
          <w:b/>
          <w:sz w:val="24"/>
          <w:szCs w:val="24"/>
        </w:rPr>
        <w:t xml:space="preserve">Disability </w:t>
      </w:r>
      <w:r w:rsidR="00AA18A8" w:rsidRPr="00CD1D16">
        <w:rPr>
          <w:b/>
          <w:sz w:val="24"/>
          <w:szCs w:val="24"/>
        </w:rPr>
        <w:t>E</w:t>
      </w:r>
      <w:r w:rsidRPr="00CD1D16">
        <w:rPr>
          <w:b/>
          <w:sz w:val="24"/>
          <w:szCs w:val="24"/>
        </w:rPr>
        <w:t xml:space="preserve">mployment </w:t>
      </w:r>
      <w:r w:rsidR="00AA18A8" w:rsidRPr="00CD1D16">
        <w:rPr>
          <w:b/>
          <w:sz w:val="24"/>
          <w:szCs w:val="24"/>
        </w:rPr>
        <w:t>S</w:t>
      </w:r>
      <w:r w:rsidRPr="00CD1D16">
        <w:rPr>
          <w:b/>
          <w:sz w:val="24"/>
          <w:szCs w:val="24"/>
        </w:rPr>
        <w:t xml:space="preserve">upport </w:t>
      </w:r>
      <w:r w:rsidR="00AA18A8" w:rsidRPr="00CD1D16">
        <w:rPr>
          <w:b/>
          <w:sz w:val="24"/>
          <w:szCs w:val="24"/>
        </w:rPr>
        <w:t>(DES)</w:t>
      </w:r>
      <w:r w:rsidRPr="00CD1D16">
        <w:rPr>
          <w:b/>
          <w:sz w:val="24"/>
          <w:szCs w:val="24"/>
        </w:rPr>
        <w:t>:</w:t>
      </w:r>
      <w:r w:rsidRPr="00CD1D16">
        <w:rPr>
          <w:sz w:val="24"/>
          <w:szCs w:val="24"/>
        </w:rPr>
        <w:t xml:space="preserve"> the Commonwealth funds </w:t>
      </w:r>
      <w:r w:rsidR="008A4235" w:rsidRPr="00CD1D16">
        <w:rPr>
          <w:sz w:val="24"/>
          <w:szCs w:val="24"/>
        </w:rPr>
        <w:t xml:space="preserve">service providers to support people with disability to participate in employment and training. </w:t>
      </w:r>
      <w:r w:rsidR="008B06D7" w:rsidRPr="00CD1D16">
        <w:rPr>
          <w:sz w:val="24"/>
          <w:szCs w:val="24"/>
        </w:rPr>
        <w:t>The direction of the impact is unclear</w:t>
      </w:r>
      <w:r w:rsidR="003E5C73" w:rsidRPr="00CD1D16">
        <w:rPr>
          <w:sz w:val="24"/>
          <w:szCs w:val="24"/>
        </w:rPr>
        <w:t>;</w:t>
      </w:r>
      <w:r w:rsidR="008B06D7" w:rsidRPr="00CD1D16">
        <w:rPr>
          <w:sz w:val="24"/>
          <w:szCs w:val="24"/>
        </w:rPr>
        <w:t xml:space="preserve"> a</w:t>
      </w:r>
      <w:r w:rsidR="007C5374" w:rsidRPr="00CD1D16">
        <w:rPr>
          <w:sz w:val="24"/>
          <w:szCs w:val="24"/>
        </w:rPr>
        <w:t>n increase in workforce participation by people with disability may increase these payments (as a result of an increase in workforce participation) or decrease these payments (</w:t>
      </w:r>
      <w:r w:rsidR="009270AB" w:rsidRPr="00CD1D16">
        <w:rPr>
          <w:sz w:val="24"/>
          <w:szCs w:val="24"/>
        </w:rPr>
        <w:t>where people with disability stay in work for longer periods</w:t>
      </w:r>
      <w:r w:rsidR="002944DE" w:rsidRPr="00CD1D16">
        <w:rPr>
          <w:sz w:val="24"/>
          <w:szCs w:val="24"/>
        </w:rPr>
        <w:t>, reducing the need for ongoing support</w:t>
      </w:r>
      <w:r w:rsidR="009270AB" w:rsidRPr="00CD1D16">
        <w:rPr>
          <w:sz w:val="24"/>
          <w:szCs w:val="24"/>
        </w:rPr>
        <w:t>)</w:t>
      </w:r>
      <w:r w:rsidR="001C7C4A" w:rsidRPr="00CD1D16">
        <w:rPr>
          <w:sz w:val="24"/>
          <w:szCs w:val="24"/>
        </w:rPr>
        <w:t>.</w:t>
      </w:r>
    </w:p>
    <w:p w14:paraId="51A8C5CC" w14:textId="77777777" w:rsidR="00AA18A8" w:rsidRPr="00CD1D16" w:rsidRDefault="00AA18A8" w:rsidP="00CD1D16">
      <w:pPr>
        <w:pStyle w:val="Bulletlist"/>
        <w:ind w:left="540"/>
        <w:rPr>
          <w:sz w:val="24"/>
          <w:szCs w:val="24"/>
        </w:rPr>
      </w:pPr>
      <w:r w:rsidRPr="00CD1D16">
        <w:rPr>
          <w:b/>
          <w:sz w:val="24"/>
          <w:szCs w:val="24"/>
        </w:rPr>
        <w:t>Disability Employment Assistance</w:t>
      </w:r>
      <w:r w:rsidR="00EC7E31" w:rsidRPr="00CD1D16">
        <w:rPr>
          <w:b/>
          <w:sz w:val="24"/>
          <w:szCs w:val="24"/>
        </w:rPr>
        <w:t xml:space="preserve"> grants</w:t>
      </w:r>
      <w:r w:rsidR="008B06D7" w:rsidRPr="00CD1D16">
        <w:rPr>
          <w:b/>
          <w:sz w:val="24"/>
          <w:szCs w:val="24"/>
        </w:rPr>
        <w:t xml:space="preserve">: </w:t>
      </w:r>
      <w:r w:rsidR="008B06D7" w:rsidRPr="00CD1D16">
        <w:rPr>
          <w:sz w:val="24"/>
          <w:szCs w:val="24"/>
        </w:rPr>
        <w:t>the Commonwealth provides grants</w:t>
      </w:r>
      <w:r w:rsidR="008B06D7" w:rsidRPr="00CD1D16">
        <w:rPr>
          <w:b/>
          <w:sz w:val="24"/>
          <w:szCs w:val="24"/>
        </w:rPr>
        <w:t xml:space="preserve"> </w:t>
      </w:r>
      <w:r w:rsidRPr="00CD1D16">
        <w:rPr>
          <w:sz w:val="24"/>
          <w:szCs w:val="24"/>
        </w:rPr>
        <w:t>to Australian Disability Enterprises that employ people with disability in supported employment</w:t>
      </w:r>
      <w:r w:rsidR="008B06D7" w:rsidRPr="00CD1D16">
        <w:rPr>
          <w:sz w:val="24"/>
          <w:szCs w:val="24"/>
        </w:rPr>
        <w:t xml:space="preserve"> for each employee</w:t>
      </w:r>
      <w:r w:rsidR="0093419F" w:rsidRPr="00CD1D16">
        <w:rPr>
          <w:sz w:val="24"/>
          <w:szCs w:val="24"/>
        </w:rPr>
        <w:t xml:space="preserve"> for each </w:t>
      </w:r>
      <w:r w:rsidR="008B06D7" w:rsidRPr="00CD1D16">
        <w:rPr>
          <w:sz w:val="24"/>
          <w:szCs w:val="24"/>
        </w:rPr>
        <w:t>month</w:t>
      </w:r>
      <w:r w:rsidR="0093419F" w:rsidRPr="00CD1D16">
        <w:rPr>
          <w:sz w:val="24"/>
          <w:szCs w:val="24"/>
        </w:rPr>
        <w:t xml:space="preserve"> employed</w:t>
      </w:r>
      <w:r w:rsidRPr="00CD1D16">
        <w:rPr>
          <w:sz w:val="24"/>
          <w:szCs w:val="24"/>
        </w:rPr>
        <w:t>.</w:t>
      </w:r>
      <w:r w:rsidR="0019069E" w:rsidRPr="00CD1D16">
        <w:rPr>
          <w:sz w:val="24"/>
          <w:szCs w:val="24"/>
        </w:rPr>
        <w:t xml:space="preserve"> If </w:t>
      </w:r>
      <w:r w:rsidR="008B06D7" w:rsidRPr="00CD1D16">
        <w:rPr>
          <w:sz w:val="24"/>
          <w:szCs w:val="24"/>
        </w:rPr>
        <w:t xml:space="preserve">there is an increase in the proportion of people with disability entering open workplaces (where these grants are not provided) we would expect to see a reduction in expenditure on </w:t>
      </w:r>
      <w:r w:rsidR="00513D9D" w:rsidRPr="00CD1D16">
        <w:rPr>
          <w:sz w:val="24"/>
          <w:szCs w:val="24"/>
        </w:rPr>
        <w:t xml:space="preserve">Disability Employment Assistance </w:t>
      </w:r>
      <w:r w:rsidR="008B06D7" w:rsidRPr="00CD1D16">
        <w:rPr>
          <w:sz w:val="24"/>
          <w:szCs w:val="24"/>
        </w:rPr>
        <w:t xml:space="preserve">grants. </w:t>
      </w:r>
      <w:r w:rsidR="00775C32" w:rsidRPr="00CD1D16">
        <w:rPr>
          <w:sz w:val="24"/>
          <w:szCs w:val="24"/>
        </w:rPr>
        <w:t xml:space="preserve">Note that DEA grants are being rolled into the NDIS and there is a proposed new funding rate. </w:t>
      </w:r>
    </w:p>
    <w:p w14:paraId="52B8F7DA" w14:textId="77777777" w:rsidR="00EA26FE" w:rsidRPr="00CD1D16" w:rsidRDefault="0048072D" w:rsidP="00ED293A">
      <w:pPr>
        <w:pStyle w:val="Bulletlist"/>
        <w:rPr>
          <w:sz w:val="24"/>
          <w:szCs w:val="24"/>
        </w:rPr>
      </w:pPr>
      <w:r w:rsidRPr="00CD1D16">
        <w:rPr>
          <w:b/>
          <w:sz w:val="24"/>
          <w:szCs w:val="24"/>
        </w:rPr>
        <w:t>Changes to NDIS usage:</w:t>
      </w:r>
      <w:r w:rsidRPr="00CD1D16">
        <w:rPr>
          <w:sz w:val="24"/>
          <w:szCs w:val="24"/>
        </w:rPr>
        <w:t xml:space="preserve"> </w:t>
      </w:r>
      <w:r w:rsidR="009D2AAF" w:rsidRPr="00CD1D16">
        <w:rPr>
          <w:sz w:val="24"/>
          <w:szCs w:val="24"/>
        </w:rPr>
        <w:t xml:space="preserve">many </w:t>
      </w:r>
      <w:r w:rsidR="00EA26FE" w:rsidRPr="00CD1D16">
        <w:rPr>
          <w:sz w:val="24"/>
          <w:szCs w:val="24"/>
        </w:rPr>
        <w:t>NDIS plan</w:t>
      </w:r>
      <w:r w:rsidR="009D2AAF" w:rsidRPr="00CD1D16">
        <w:rPr>
          <w:sz w:val="24"/>
          <w:szCs w:val="24"/>
        </w:rPr>
        <w:t>s include</w:t>
      </w:r>
      <w:r w:rsidR="00EA26FE" w:rsidRPr="00CD1D16">
        <w:rPr>
          <w:sz w:val="24"/>
          <w:szCs w:val="24"/>
        </w:rPr>
        <w:t xml:space="preserve"> expenditure on supports to help </w:t>
      </w:r>
      <w:r w:rsidR="003863BE" w:rsidRPr="00CD1D16">
        <w:rPr>
          <w:sz w:val="24"/>
          <w:szCs w:val="24"/>
        </w:rPr>
        <w:t>people with disability participate in community and social activities</w:t>
      </w:r>
      <w:r w:rsidR="008B1E88" w:rsidRPr="00CD1D16">
        <w:rPr>
          <w:sz w:val="24"/>
          <w:szCs w:val="24"/>
        </w:rPr>
        <w:t xml:space="preserve"> (NDIA 2019)</w:t>
      </w:r>
      <w:r w:rsidR="003863BE" w:rsidRPr="00CD1D16">
        <w:rPr>
          <w:sz w:val="24"/>
          <w:szCs w:val="24"/>
        </w:rPr>
        <w:t xml:space="preserve">. </w:t>
      </w:r>
      <w:r w:rsidR="00C564A2" w:rsidRPr="00CD1D16">
        <w:rPr>
          <w:sz w:val="24"/>
          <w:szCs w:val="24"/>
        </w:rPr>
        <w:t xml:space="preserve">As noted above, employment has significant impacts on people’s wellbeing, which may lead to a change in the </w:t>
      </w:r>
      <w:r w:rsidR="003F6697" w:rsidRPr="00CD1D16">
        <w:rPr>
          <w:sz w:val="24"/>
          <w:szCs w:val="24"/>
        </w:rPr>
        <w:t>support required by a person with disability</w:t>
      </w:r>
      <w:r w:rsidR="008B06D7" w:rsidRPr="00CD1D16">
        <w:rPr>
          <w:sz w:val="24"/>
          <w:szCs w:val="24"/>
        </w:rPr>
        <w:t xml:space="preserve">. In particular, </w:t>
      </w:r>
      <w:r w:rsidR="00B6426F" w:rsidRPr="00CD1D16">
        <w:rPr>
          <w:sz w:val="24"/>
          <w:szCs w:val="24"/>
        </w:rPr>
        <w:t xml:space="preserve">increases in employment </w:t>
      </w:r>
      <w:r w:rsidR="00B93FC0" w:rsidRPr="00CD1D16">
        <w:rPr>
          <w:sz w:val="24"/>
          <w:szCs w:val="24"/>
        </w:rPr>
        <w:t xml:space="preserve">(and the associated social interactions) </w:t>
      </w:r>
      <w:r w:rsidR="00B6426F" w:rsidRPr="00CD1D16">
        <w:rPr>
          <w:sz w:val="24"/>
          <w:szCs w:val="24"/>
        </w:rPr>
        <w:t>may reduce the need to access group-based community</w:t>
      </w:r>
      <w:r w:rsidR="002B664C" w:rsidRPr="00CD1D16">
        <w:rPr>
          <w:sz w:val="24"/>
          <w:szCs w:val="24"/>
        </w:rPr>
        <w:t xml:space="preserve"> and individual</w:t>
      </w:r>
      <w:r w:rsidR="00B6426F" w:rsidRPr="00CD1D16">
        <w:rPr>
          <w:sz w:val="24"/>
          <w:szCs w:val="24"/>
        </w:rPr>
        <w:t xml:space="preserve"> support to meet social needs</w:t>
      </w:r>
      <w:r w:rsidR="00B93FC0" w:rsidRPr="00CD1D16">
        <w:rPr>
          <w:sz w:val="24"/>
          <w:szCs w:val="24"/>
        </w:rPr>
        <w:t xml:space="preserve">. And increases in independence and social connections may reduce the need for </w:t>
      </w:r>
      <w:r w:rsidR="00197C2C" w:rsidRPr="00CD1D16">
        <w:rPr>
          <w:sz w:val="24"/>
          <w:szCs w:val="24"/>
        </w:rPr>
        <w:t xml:space="preserve">funded </w:t>
      </w:r>
      <w:r w:rsidR="00B93FC0" w:rsidRPr="00CD1D16">
        <w:rPr>
          <w:sz w:val="24"/>
          <w:szCs w:val="24"/>
        </w:rPr>
        <w:t xml:space="preserve">individual supports to </w:t>
      </w:r>
      <w:r w:rsidR="005B3115" w:rsidRPr="00CD1D16">
        <w:rPr>
          <w:sz w:val="24"/>
          <w:szCs w:val="24"/>
        </w:rPr>
        <w:t xml:space="preserve">participate in social activities. </w:t>
      </w:r>
    </w:p>
    <w:p w14:paraId="1D0950BF" w14:textId="77777777" w:rsidR="005B3115" w:rsidRPr="00CD1D16" w:rsidRDefault="005B3115" w:rsidP="00855673">
      <w:pPr>
        <w:pStyle w:val="Bulletedlist"/>
      </w:pPr>
    </w:p>
    <w:p w14:paraId="096B6E1B" w14:textId="77777777" w:rsidR="007F2FE7" w:rsidRPr="00CD1D16" w:rsidRDefault="007F2FE7" w:rsidP="007F2FE7">
      <w:pPr>
        <w:pStyle w:val="NoSpacing"/>
        <w:rPr>
          <w:sz w:val="24"/>
          <w:szCs w:val="24"/>
        </w:rPr>
      </w:pPr>
      <w:r w:rsidRPr="00CD1D16">
        <w:rPr>
          <w:sz w:val="24"/>
          <w:szCs w:val="24"/>
        </w:rPr>
        <w:t>Based on the above, we expanded the model developed by (Lamb and Huo 2017) to incorporate these elements</w:t>
      </w:r>
      <w:r w:rsidR="00052685" w:rsidRPr="00CD1D16">
        <w:rPr>
          <w:sz w:val="24"/>
          <w:szCs w:val="24"/>
        </w:rPr>
        <w:t xml:space="preserve">. </w:t>
      </w:r>
      <w:r w:rsidRPr="00CD1D16">
        <w:rPr>
          <w:sz w:val="24"/>
          <w:szCs w:val="24"/>
        </w:rPr>
        <w:t xml:space="preserve">The components of the model we propose are: </w:t>
      </w:r>
    </w:p>
    <w:p w14:paraId="796BB68E" w14:textId="77777777" w:rsidR="00A37DAD" w:rsidRPr="00CD1D16" w:rsidRDefault="00A37DAD" w:rsidP="00906C84">
      <w:pPr>
        <w:pStyle w:val="NoSpacing"/>
        <w:spacing w:before="100" w:beforeAutospacing="1" w:after="100" w:afterAutospacing="1" w:line="240" w:lineRule="auto"/>
        <w:contextualSpacing/>
        <w:rPr>
          <w:b/>
          <w:sz w:val="24"/>
          <w:szCs w:val="24"/>
        </w:rPr>
      </w:pPr>
      <w:r w:rsidRPr="00CD1D16">
        <w:rPr>
          <w:b/>
          <w:sz w:val="24"/>
          <w:szCs w:val="24"/>
        </w:rPr>
        <w:t>Social and economic benefits</w:t>
      </w:r>
    </w:p>
    <w:p w14:paraId="344760FE" w14:textId="77777777" w:rsidR="00906C84" w:rsidRPr="00CD1D16" w:rsidRDefault="00906C84" w:rsidP="00906C84">
      <w:pPr>
        <w:pStyle w:val="NoSpacing"/>
        <w:spacing w:before="100" w:beforeAutospacing="1" w:after="100" w:afterAutospacing="1" w:line="240" w:lineRule="auto"/>
        <w:contextualSpacing/>
        <w:rPr>
          <w:b/>
          <w:sz w:val="24"/>
          <w:szCs w:val="24"/>
        </w:rPr>
      </w:pPr>
    </w:p>
    <w:p w14:paraId="3160D068" w14:textId="77777777" w:rsidR="00A37DAD" w:rsidRPr="00CD1D16" w:rsidRDefault="00A37DAD" w:rsidP="00906C84">
      <w:pPr>
        <w:pStyle w:val="NoSpacing"/>
        <w:spacing w:before="100" w:beforeAutospacing="1" w:after="100" w:afterAutospacing="1" w:line="240" w:lineRule="auto"/>
        <w:contextualSpacing/>
        <w:rPr>
          <w:b/>
          <w:sz w:val="24"/>
          <w:szCs w:val="24"/>
        </w:rPr>
      </w:pPr>
      <w:r w:rsidRPr="00CD1D16">
        <w:rPr>
          <w:b/>
          <w:sz w:val="24"/>
          <w:szCs w:val="24"/>
        </w:rPr>
        <w:t>Reference:</w:t>
      </w:r>
      <w:r w:rsidRPr="00CD1D16">
        <w:rPr>
          <w:b/>
          <w:sz w:val="24"/>
          <w:szCs w:val="24"/>
        </w:rPr>
        <w:tab/>
      </w:r>
      <w:r w:rsidRPr="00CD1D16">
        <w:rPr>
          <w:b/>
          <w:sz w:val="24"/>
          <w:szCs w:val="24"/>
        </w:rPr>
        <w:tab/>
        <w:t>Description</w:t>
      </w:r>
    </w:p>
    <w:p w14:paraId="6A280157" w14:textId="77777777" w:rsidR="00A37DAD" w:rsidRPr="00CD1D16" w:rsidRDefault="00A37DAD" w:rsidP="00906C84">
      <w:pPr>
        <w:pStyle w:val="NoSpacing"/>
        <w:spacing w:before="100" w:beforeAutospacing="1" w:after="100" w:afterAutospacing="1" w:line="240" w:lineRule="auto"/>
        <w:contextualSpacing/>
        <w:rPr>
          <w:sz w:val="24"/>
          <w:szCs w:val="24"/>
        </w:rPr>
      </w:pPr>
      <w:r w:rsidRPr="00CD1D16">
        <w:rPr>
          <w:sz w:val="24"/>
          <w:szCs w:val="24"/>
        </w:rPr>
        <w:t>Outcome 1</w:t>
      </w:r>
      <w:r w:rsidRPr="00CD1D16">
        <w:rPr>
          <w:sz w:val="24"/>
          <w:szCs w:val="24"/>
        </w:rPr>
        <w:tab/>
      </w:r>
      <w:r w:rsidRPr="00CD1D16">
        <w:rPr>
          <w:sz w:val="24"/>
          <w:szCs w:val="24"/>
        </w:rPr>
        <w:tab/>
        <w:t>People with Disability feel more independent</w:t>
      </w:r>
    </w:p>
    <w:p w14:paraId="1BC86576" w14:textId="77777777" w:rsidR="00A37DAD" w:rsidRPr="00CD1D16" w:rsidRDefault="00A37DAD" w:rsidP="00906C84">
      <w:pPr>
        <w:pStyle w:val="NoSpacing"/>
        <w:spacing w:before="100" w:beforeAutospacing="1" w:after="100" w:afterAutospacing="1" w:line="240" w:lineRule="auto"/>
        <w:contextualSpacing/>
        <w:rPr>
          <w:sz w:val="24"/>
          <w:szCs w:val="24"/>
        </w:rPr>
      </w:pPr>
      <w:r w:rsidRPr="00CD1D16">
        <w:rPr>
          <w:sz w:val="24"/>
          <w:szCs w:val="24"/>
        </w:rPr>
        <w:t>Outcome 2</w:t>
      </w:r>
      <w:r w:rsidRPr="00CD1D16">
        <w:rPr>
          <w:sz w:val="24"/>
          <w:szCs w:val="24"/>
        </w:rPr>
        <w:tab/>
      </w:r>
      <w:r w:rsidRPr="00CD1D16">
        <w:rPr>
          <w:sz w:val="24"/>
          <w:szCs w:val="24"/>
        </w:rPr>
        <w:tab/>
        <w:t>People with Disability increase social participation</w:t>
      </w:r>
    </w:p>
    <w:p w14:paraId="71E92732" w14:textId="77777777" w:rsidR="00A37DAD" w:rsidRPr="00CD1D16" w:rsidRDefault="00A37DAD" w:rsidP="00906C84">
      <w:pPr>
        <w:pStyle w:val="NoSpacing"/>
        <w:spacing w:before="100" w:beforeAutospacing="1" w:after="100" w:afterAutospacing="1" w:line="240" w:lineRule="auto"/>
        <w:contextualSpacing/>
        <w:rPr>
          <w:sz w:val="24"/>
          <w:szCs w:val="24"/>
        </w:rPr>
      </w:pPr>
      <w:r w:rsidRPr="00CD1D16">
        <w:rPr>
          <w:sz w:val="24"/>
          <w:szCs w:val="24"/>
        </w:rPr>
        <w:t>Outcome 3</w:t>
      </w:r>
      <w:r w:rsidRPr="00CD1D16">
        <w:rPr>
          <w:sz w:val="24"/>
          <w:szCs w:val="24"/>
        </w:rPr>
        <w:tab/>
      </w:r>
      <w:r w:rsidRPr="00CD1D16">
        <w:rPr>
          <w:sz w:val="24"/>
          <w:szCs w:val="24"/>
        </w:rPr>
        <w:tab/>
        <w:t>Increased income for carers</w:t>
      </w:r>
    </w:p>
    <w:p w14:paraId="1891A65F" w14:textId="77777777" w:rsidR="00A37DAD" w:rsidRPr="00CD1D16" w:rsidRDefault="00A37DAD" w:rsidP="00906C84">
      <w:pPr>
        <w:pStyle w:val="NoSpacing"/>
        <w:spacing w:before="100" w:beforeAutospacing="1" w:after="100" w:afterAutospacing="1" w:line="240" w:lineRule="auto"/>
        <w:contextualSpacing/>
        <w:rPr>
          <w:sz w:val="24"/>
          <w:szCs w:val="24"/>
        </w:rPr>
      </w:pPr>
      <w:r w:rsidRPr="00CD1D16">
        <w:rPr>
          <w:sz w:val="24"/>
          <w:szCs w:val="24"/>
        </w:rPr>
        <w:t>Outcome 4</w:t>
      </w:r>
      <w:r w:rsidRPr="00CD1D16">
        <w:rPr>
          <w:sz w:val="24"/>
          <w:szCs w:val="24"/>
        </w:rPr>
        <w:tab/>
      </w:r>
      <w:r w:rsidRPr="00CD1D16">
        <w:rPr>
          <w:sz w:val="24"/>
          <w:szCs w:val="24"/>
        </w:rPr>
        <w:tab/>
        <w:t>Increased income for participants</w:t>
      </w:r>
    </w:p>
    <w:p w14:paraId="26A85212" w14:textId="77777777" w:rsidR="00A37DAD" w:rsidRPr="00CD1D16" w:rsidRDefault="00A37DAD" w:rsidP="00906C84">
      <w:pPr>
        <w:pStyle w:val="NoSpacing"/>
        <w:spacing w:before="100" w:beforeAutospacing="1" w:after="100" w:afterAutospacing="1" w:line="240" w:lineRule="auto"/>
        <w:contextualSpacing/>
        <w:rPr>
          <w:sz w:val="24"/>
          <w:szCs w:val="24"/>
        </w:rPr>
      </w:pPr>
      <w:r w:rsidRPr="00CD1D16">
        <w:rPr>
          <w:sz w:val="24"/>
          <w:szCs w:val="24"/>
        </w:rPr>
        <w:t>Outcome 5</w:t>
      </w:r>
      <w:r w:rsidRPr="00CD1D16">
        <w:rPr>
          <w:sz w:val="24"/>
          <w:szCs w:val="24"/>
        </w:rPr>
        <w:tab/>
      </w:r>
      <w:r w:rsidRPr="00CD1D16">
        <w:rPr>
          <w:sz w:val="24"/>
          <w:szCs w:val="24"/>
        </w:rPr>
        <w:tab/>
        <w:t>People with Disability increase presence in community</w:t>
      </w:r>
    </w:p>
    <w:p w14:paraId="226141ED" w14:textId="77777777" w:rsidR="00906C84" w:rsidRPr="00CD1D16" w:rsidRDefault="00906C84" w:rsidP="00906C84">
      <w:pPr>
        <w:pStyle w:val="NoSpacing"/>
        <w:spacing w:before="100" w:beforeAutospacing="1" w:after="100" w:afterAutospacing="1" w:line="240" w:lineRule="auto"/>
        <w:contextualSpacing/>
        <w:rPr>
          <w:sz w:val="24"/>
          <w:szCs w:val="24"/>
        </w:rPr>
      </w:pPr>
    </w:p>
    <w:p w14:paraId="082ADC38" w14:textId="77777777" w:rsidR="00A37DAD" w:rsidRPr="00CD1D16" w:rsidRDefault="00A37DAD" w:rsidP="00906C84">
      <w:pPr>
        <w:pStyle w:val="NoSpacing"/>
        <w:spacing w:before="100" w:beforeAutospacing="1" w:after="100" w:afterAutospacing="1" w:line="240" w:lineRule="auto"/>
        <w:contextualSpacing/>
        <w:rPr>
          <w:b/>
          <w:sz w:val="24"/>
          <w:szCs w:val="24"/>
        </w:rPr>
      </w:pPr>
      <w:r w:rsidRPr="00CD1D16">
        <w:rPr>
          <w:b/>
          <w:sz w:val="24"/>
          <w:szCs w:val="24"/>
        </w:rPr>
        <w:t>Fiscal benefits</w:t>
      </w:r>
    </w:p>
    <w:p w14:paraId="6F4F0FE1" w14:textId="77777777" w:rsidR="00A37DAD" w:rsidRPr="00CD1D16" w:rsidRDefault="00A37DAD" w:rsidP="00906C84">
      <w:pPr>
        <w:pStyle w:val="NoSpacing"/>
        <w:spacing w:before="100" w:beforeAutospacing="1" w:after="100" w:afterAutospacing="1" w:line="240" w:lineRule="auto"/>
        <w:contextualSpacing/>
        <w:rPr>
          <w:sz w:val="24"/>
          <w:szCs w:val="24"/>
        </w:rPr>
      </w:pPr>
      <w:r w:rsidRPr="00CD1D16">
        <w:rPr>
          <w:sz w:val="24"/>
          <w:szCs w:val="24"/>
        </w:rPr>
        <w:lastRenderedPageBreak/>
        <w:t>Outcome 6</w:t>
      </w:r>
      <w:r w:rsidRPr="00CD1D16">
        <w:rPr>
          <w:sz w:val="24"/>
          <w:szCs w:val="24"/>
        </w:rPr>
        <w:tab/>
      </w:r>
      <w:r w:rsidRPr="00CD1D16">
        <w:rPr>
          <w:sz w:val="24"/>
          <w:szCs w:val="24"/>
        </w:rPr>
        <w:tab/>
        <w:t>Reduction in NDIS costs</w:t>
      </w:r>
      <w:r w:rsidRPr="00CD1D16">
        <w:rPr>
          <w:sz w:val="24"/>
          <w:szCs w:val="24"/>
        </w:rPr>
        <w:tab/>
      </w:r>
    </w:p>
    <w:p w14:paraId="47212C24" w14:textId="77777777" w:rsidR="00A37DAD" w:rsidRPr="00CD1D16" w:rsidRDefault="00A37DAD" w:rsidP="00906C84">
      <w:pPr>
        <w:pStyle w:val="NoSpacing"/>
        <w:spacing w:before="100" w:beforeAutospacing="1" w:after="100" w:afterAutospacing="1" w:line="240" w:lineRule="auto"/>
        <w:contextualSpacing/>
        <w:rPr>
          <w:sz w:val="24"/>
          <w:szCs w:val="24"/>
        </w:rPr>
      </w:pPr>
      <w:r w:rsidRPr="00CD1D16">
        <w:rPr>
          <w:sz w:val="24"/>
          <w:szCs w:val="24"/>
        </w:rPr>
        <w:t>Outcome 7</w:t>
      </w:r>
      <w:r w:rsidRPr="00CD1D16">
        <w:rPr>
          <w:sz w:val="24"/>
          <w:szCs w:val="24"/>
        </w:rPr>
        <w:tab/>
      </w:r>
      <w:r w:rsidRPr="00CD1D16">
        <w:rPr>
          <w:sz w:val="24"/>
          <w:szCs w:val="24"/>
        </w:rPr>
        <w:tab/>
        <w:t>Increase in Disability Employment Support costs</w:t>
      </w:r>
    </w:p>
    <w:p w14:paraId="5EA72F3A" w14:textId="77777777" w:rsidR="0060666C" w:rsidRDefault="00A37DAD" w:rsidP="00906C84">
      <w:pPr>
        <w:pStyle w:val="NoSpacing"/>
        <w:spacing w:before="100" w:beforeAutospacing="1" w:after="100" w:afterAutospacing="1" w:line="240" w:lineRule="auto"/>
        <w:contextualSpacing/>
        <w:rPr>
          <w:sz w:val="24"/>
          <w:szCs w:val="24"/>
        </w:rPr>
      </w:pPr>
      <w:r w:rsidRPr="00CD1D16">
        <w:rPr>
          <w:sz w:val="24"/>
          <w:szCs w:val="24"/>
        </w:rPr>
        <w:t>Outcome 8</w:t>
      </w:r>
      <w:r w:rsidRPr="00CD1D16">
        <w:rPr>
          <w:sz w:val="24"/>
          <w:szCs w:val="24"/>
        </w:rPr>
        <w:tab/>
      </w:r>
      <w:r w:rsidRPr="00CD1D16">
        <w:rPr>
          <w:sz w:val="24"/>
          <w:szCs w:val="24"/>
        </w:rPr>
        <w:tab/>
        <w:t>Reduction in Disability Supp</w:t>
      </w:r>
      <w:r w:rsidR="0060666C">
        <w:rPr>
          <w:sz w:val="24"/>
          <w:szCs w:val="24"/>
        </w:rPr>
        <w:t>ort Pension and Youth Allowance</w:t>
      </w:r>
    </w:p>
    <w:p w14:paraId="4ECBAF38" w14:textId="77777777" w:rsidR="00A37DAD" w:rsidRPr="00CD1D16" w:rsidRDefault="00A37DAD" w:rsidP="00906C84">
      <w:pPr>
        <w:pStyle w:val="NoSpacing"/>
        <w:spacing w:before="100" w:beforeAutospacing="1" w:after="100" w:afterAutospacing="1" w:line="240" w:lineRule="auto"/>
        <w:contextualSpacing/>
        <w:rPr>
          <w:sz w:val="24"/>
          <w:szCs w:val="24"/>
        </w:rPr>
      </w:pPr>
      <w:r w:rsidRPr="00CD1D16">
        <w:rPr>
          <w:sz w:val="24"/>
          <w:szCs w:val="24"/>
        </w:rPr>
        <w:t>Outcome 9</w:t>
      </w:r>
      <w:r w:rsidRPr="00CD1D16">
        <w:rPr>
          <w:sz w:val="24"/>
          <w:szCs w:val="24"/>
        </w:rPr>
        <w:tab/>
      </w:r>
      <w:r w:rsidRPr="00CD1D16">
        <w:rPr>
          <w:sz w:val="24"/>
          <w:szCs w:val="24"/>
        </w:rPr>
        <w:tab/>
        <w:t>Increase in tax revenue</w:t>
      </w:r>
    </w:p>
    <w:p w14:paraId="770DC770" w14:textId="77777777" w:rsidR="00A37DAD" w:rsidRPr="00CD1D16" w:rsidRDefault="00A37DAD" w:rsidP="007F2FE7">
      <w:pPr>
        <w:pStyle w:val="NoSpacing"/>
        <w:rPr>
          <w:sz w:val="24"/>
          <w:szCs w:val="24"/>
        </w:rPr>
      </w:pPr>
      <w:r w:rsidRPr="00CD1D16">
        <w:rPr>
          <w:bCs/>
          <w:color w:val="000000" w:themeColor="text1"/>
          <w:sz w:val="24"/>
          <w:szCs w:val="24"/>
        </w:rPr>
        <w:t>Outcome 10</w:t>
      </w:r>
      <w:r w:rsidRPr="00CD1D16">
        <w:rPr>
          <w:bCs/>
          <w:color w:val="000000" w:themeColor="text1"/>
          <w:sz w:val="24"/>
          <w:szCs w:val="24"/>
        </w:rPr>
        <w:tab/>
      </w:r>
      <w:r w:rsidRPr="00CD1D16">
        <w:rPr>
          <w:bCs/>
          <w:color w:val="000000" w:themeColor="text1"/>
          <w:sz w:val="24"/>
          <w:szCs w:val="24"/>
        </w:rPr>
        <w:tab/>
        <w:t>Reduction in Disability Employment Assistance costs</w:t>
      </w:r>
    </w:p>
    <w:p w14:paraId="66A91A8E" w14:textId="77777777" w:rsidR="00A37DAD" w:rsidRPr="00A37DAD" w:rsidRDefault="00A37DAD" w:rsidP="007F2FE7">
      <w:pPr>
        <w:pStyle w:val="NoSpacing"/>
      </w:pPr>
    </w:p>
    <w:p w14:paraId="006CB7FF" w14:textId="77777777" w:rsidR="0007671F" w:rsidRPr="00CD1D16" w:rsidRDefault="0007671F" w:rsidP="00197C2C">
      <w:pPr>
        <w:pStyle w:val="NoSpacing"/>
        <w:rPr>
          <w:sz w:val="24"/>
          <w:szCs w:val="24"/>
        </w:rPr>
      </w:pPr>
      <w:r w:rsidRPr="00CD1D16">
        <w:rPr>
          <w:sz w:val="24"/>
          <w:szCs w:val="24"/>
        </w:rPr>
        <w:t>In addition, there are a range of impacts that are likely to be significant, but for which there is insufficient data to</w:t>
      </w:r>
      <w:r w:rsidR="00856C35" w:rsidRPr="00CD1D16">
        <w:rPr>
          <w:sz w:val="24"/>
          <w:szCs w:val="24"/>
        </w:rPr>
        <w:t xml:space="preserve"> </w:t>
      </w:r>
      <w:r w:rsidR="00160829" w:rsidRPr="00CD1D16">
        <w:rPr>
          <w:sz w:val="24"/>
          <w:szCs w:val="24"/>
        </w:rPr>
        <w:t xml:space="preserve">reliably </w:t>
      </w:r>
      <w:r w:rsidR="00856C35" w:rsidRPr="00CD1D16">
        <w:rPr>
          <w:sz w:val="24"/>
          <w:szCs w:val="24"/>
        </w:rPr>
        <w:t>estimate a financial value:</w:t>
      </w:r>
    </w:p>
    <w:p w14:paraId="65DB4F28" w14:textId="77777777" w:rsidR="00732816" w:rsidRPr="00CD1D16" w:rsidRDefault="00732816" w:rsidP="00CD1D16">
      <w:pPr>
        <w:pStyle w:val="Bulletlist"/>
        <w:ind w:left="360"/>
        <w:rPr>
          <w:sz w:val="24"/>
          <w:szCs w:val="24"/>
        </w:rPr>
      </w:pPr>
      <w:r w:rsidRPr="00CD1D16">
        <w:rPr>
          <w:b/>
          <w:sz w:val="24"/>
          <w:szCs w:val="24"/>
        </w:rPr>
        <w:t>Health:</w:t>
      </w:r>
      <w:r w:rsidRPr="00CD1D16">
        <w:rPr>
          <w:sz w:val="24"/>
          <w:szCs w:val="24"/>
        </w:rPr>
        <w:t xml:space="preserve"> Whilst </w:t>
      </w:r>
      <w:r w:rsidR="006E48AE" w:rsidRPr="00CD1D16">
        <w:rPr>
          <w:sz w:val="24"/>
          <w:szCs w:val="24"/>
        </w:rPr>
        <w:t xml:space="preserve">Lamb &amp; Huo (2017) project the lifetime impact on the health system of school completion, there is less data about this relationship for people with disability. </w:t>
      </w:r>
      <w:r w:rsidRPr="00CD1D16">
        <w:rPr>
          <w:sz w:val="24"/>
          <w:szCs w:val="24"/>
        </w:rPr>
        <w:t>There are likely to be negative consequences of long</w:t>
      </w:r>
      <w:r w:rsidR="00197C2C" w:rsidRPr="00CD1D16">
        <w:rPr>
          <w:sz w:val="24"/>
          <w:szCs w:val="24"/>
        </w:rPr>
        <w:t>-</w:t>
      </w:r>
      <w:r w:rsidRPr="00CD1D16">
        <w:rPr>
          <w:sz w:val="24"/>
          <w:szCs w:val="24"/>
        </w:rPr>
        <w:t xml:space="preserve">term youth unemployment on mental and physical health. </w:t>
      </w:r>
      <w:r w:rsidR="0002717D" w:rsidRPr="00CD1D16">
        <w:rPr>
          <w:sz w:val="24"/>
          <w:szCs w:val="24"/>
        </w:rPr>
        <w:t>T</w:t>
      </w:r>
      <w:r w:rsidRPr="00CD1D16">
        <w:rPr>
          <w:sz w:val="24"/>
          <w:szCs w:val="24"/>
        </w:rPr>
        <w:t>he size and scale of these impacts for people with disability are still being investigated by researchers, so are not included in this model</w:t>
      </w:r>
      <w:r w:rsidR="00CD1D16" w:rsidRPr="00CD1D16">
        <w:rPr>
          <w:sz w:val="24"/>
          <w:szCs w:val="24"/>
        </w:rPr>
        <w:t xml:space="preserve"> (Some Ticket to Work participants are part of the </w:t>
      </w:r>
      <w:r w:rsidR="00CD1D16" w:rsidRPr="0060666C">
        <w:rPr>
          <w:sz w:val="24"/>
          <w:szCs w:val="24"/>
        </w:rPr>
        <w:t>Yes Employment Study</w:t>
      </w:r>
      <w:r w:rsidR="00CD1D16" w:rsidRPr="00CD1D16">
        <w:rPr>
          <w:sz w:val="24"/>
          <w:szCs w:val="24"/>
        </w:rPr>
        <w:t xml:space="preserve"> by Associate Prof Milner et al at the University of Melbourne. This study examines the links between health and employment for people with disability and is currently in its recruitment phase).</w:t>
      </w:r>
    </w:p>
    <w:p w14:paraId="2978A11A" w14:textId="77777777" w:rsidR="002E3308" w:rsidRPr="00CD1D16" w:rsidRDefault="002E3308" w:rsidP="00C63D57">
      <w:pPr>
        <w:pStyle w:val="Bulletlist"/>
        <w:ind w:left="360"/>
        <w:rPr>
          <w:sz w:val="24"/>
          <w:szCs w:val="24"/>
        </w:rPr>
      </w:pPr>
      <w:r w:rsidRPr="00CD1D16">
        <w:rPr>
          <w:b/>
          <w:sz w:val="24"/>
          <w:szCs w:val="24"/>
        </w:rPr>
        <w:t>Criminal justice:</w:t>
      </w:r>
      <w:r w:rsidRPr="00CD1D16">
        <w:rPr>
          <w:sz w:val="24"/>
          <w:szCs w:val="24"/>
        </w:rPr>
        <w:t xml:space="preserve"> Lamb &amp; Huo (2017) estimate that</w:t>
      </w:r>
      <w:r w:rsidR="00B0701E" w:rsidRPr="00CD1D16">
        <w:rPr>
          <w:sz w:val="24"/>
          <w:szCs w:val="24"/>
        </w:rPr>
        <w:t xml:space="preserve"> people in the general population who do not complete year 12 are significantly </w:t>
      </w:r>
      <w:r w:rsidR="003B26C0" w:rsidRPr="00CD1D16">
        <w:rPr>
          <w:sz w:val="24"/>
          <w:szCs w:val="24"/>
        </w:rPr>
        <w:t>more</w:t>
      </w:r>
      <w:r w:rsidR="00B0701E" w:rsidRPr="00CD1D16">
        <w:rPr>
          <w:sz w:val="24"/>
          <w:szCs w:val="24"/>
        </w:rPr>
        <w:t xml:space="preserve"> likely to come into contact with the criminal justice system, both as a perpetrator and victim. There are significant cost</w:t>
      </w:r>
      <w:r w:rsidR="003B26C0" w:rsidRPr="00CD1D16">
        <w:rPr>
          <w:sz w:val="24"/>
          <w:szCs w:val="24"/>
        </w:rPr>
        <w:t xml:space="preserve">s </w:t>
      </w:r>
      <w:r w:rsidR="00B0701E" w:rsidRPr="00CD1D16">
        <w:rPr>
          <w:sz w:val="24"/>
          <w:szCs w:val="24"/>
        </w:rPr>
        <w:t>to government and society that result from this</w:t>
      </w:r>
      <w:r w:rsidR="003B26C0" w:rsidRPr="00CD1D16">
        <w:rPr>
          <w:sz w:val="24"/>
          <w:szCs w:val="24"/>
        </w:rPr>
        <w:t>, which t</w:t>
      </w:r>
      <w:r w:rsidR="00CC07A6" w:rsidRPr="00CD1D16">
        <w:rPr>
          <w:sz w:val="24"/>
          <w:szCs w:val="24"/>
        </w:rPr>
        <w:t xml:space="preserve">hose authors estimate </w:t>
      </w:r>
      <w:r w:rsidR="003B26C0" w:rsidRPr="00CD1D16">
        <w:rPr>
          <w:sz w:val="24"/>
          <w:szCs w:val="24"/>
        </w:rPr>
        <w:t>to be</w:t>
      </w:r>
      <w:r w:rsidR="00CC07A6" w:rsidRPr="00CD1D16">
        <w:rPr>
          <w:sz w:val="24"/>
          <w:szCs w:val="24"/>
        </w:rPr>
        <w:t xml:space="preserve"> about $100 (fiscal) and $400 (social). </w:t>
      </w:r>
      <w:r w:rsidR="00B0701E" w:rsidRPr="00CD1D16">
        <w:rPr>
          <w:sz w:val="24"/>
          <w:szCs w:val="24"/>
        </w:rPr>
        <w:t xml:space="preserve">Less detailed information about those costs for people with disability is available. However, we do know that people with disability are equally or more likely to be </w:t>
      </w:r>
      <w:r w:rsidR="00CC07A6" w:rsidRPr="00CD1D16">
        <w:rPr>
          <w:sz w:val="24"/>
          <w:szCs w:val="24"/>
        </w:rPr>
        <w:t>the</w:t>
      </w:r>
      <w:r w:rsidR="00B0701E" w:rsidRPr="00CD1D16">
        <w:rPr>
          <w:sz w:val="24"/>
          <w:szCs w:val="24"/>
        </w:rPr>
        <w:t xml:space="preserve"> victims of crimes, and to be imprisoned (ABS 2016</w:t>
      </w:r>
      <w:r w:rsidR="007D605F" w:rsidRPr="00CD1D16">
        <w:rPr>
          <w:sz w:val="24"/>
          <w:szCs w:val="24"/>
        </w:rPr>
        <w:t xml:space="preserve">, AIHW </w:t>
      </w:r>
      <w:r w:rsidR="000D3E93" w:rsidRPr="00CD1D16">
        <w:rPr>
          <w:sz w:val="24"/>
          <w:szCs w:val="24"/>
        </w:rPr>
        <w:t>2018</w:t>
      </w:r>
      <w:r w:rsidR="00B0701E" w:rsidRPr="00CD1D16">
        <w:rPr>
          <w:sz w:val="24"/>
          <w:szCs w:val="24"/>
        </w:rPr>
        <w:t xml:space="preserve">). </w:t>
      </w:r>
      <w:r w:rsidR="000829B7" w:rsidRPr="00CD1D16">
        <w:rPr>
          <w:sz w:val="24"/>
          <w:szCs w:val="24"/>
        </w:rPr>
        <w:t xml:space="preserve">Applying the values used by Huo and Lamb to </w:t>
      </w:r>
      <w:r w:rsidR="00F234BF" w:rsidRPr="00CD1D16">
        <w:rPr>
          <w:sz w:val="24"/>
          <w:szCs w:val="24"/>
        </w:rPr>
        <w:t xml:space="preserve">Ticket to Work </w:t>
      </w:r>
      <w:r w:rsidR="00C61219" w:rsidRPr="00CD1D16">
        <w:rPr>
          <w:sz w:val="24"/>
          <w:szCs w:val="24"/>
        </w:rPr>
        <w:t xml:space="preserve">revealed a net benefit of about $160 per participant in Ticket to Work. </w:t>
      </w:r>
      <w:r w:rsidR="004542BA" w:rsidRPr="00CD1D16">
        <w:rPr>
          <w:sz w:val="24"/>
          <w:szCs w:val="24"/>
        </w:rPr>
        <w:t xml:space="preserve">In light of the uncertainty about the valuation of these costs for people with disability, and that the </w:t>
      </w:r>
      <w:r w:rsidR="00C61219" w:rsidRPr="00CD1D16">
        <w:rPr>
          <w:sz w:val="24"/>
          <w:szCs w:val="24"/>
        </w:rPr>
        <w:t>value was quite low</w:t>
      </w:r>
      <w:r w:rsidR="004542BA" w:rsidRPr="00CD1D16">
        <w:rPr>
          <w:sz w:val="24"/>
          <w:szCs w:val="24"/>
        </w:rPr>
        <w:t xml:space="preserve">, we have chosen not to include this element in the benefit analysis. </w:t>
      </w:r>
    </w:p>
    <w:p w14:paraId="13C93325" w14:textId="77777777" w:rsidR="00E82B05" w:rsidRDefault="00F70CAD" w:rsidP="00C63D57">
      <w:pPr>
        <w:pStyle w:val="Bulletlist"/>
        <w:ind w:left="360"/>
        <w:rPr>
          <w:sz w:val="24"/>
          <w:szCs w:val="24"/>
        </w:rPr>
      </w:pPr>
      <w:r w:rsidRPr="00CD1D16">
        <w:rPr>
          <w:b/>
          <w:sz w:val="24"/>
          <w:szCs w:val="24"/>
        </w:rPr>
        <w:t xml:space="preserve">Individual </w:t>
      </w:r>
      <w:r w:rsidR="00713723" w:rsidRPr="00CD1D16">
        <w:rPr>
          <w:b/>
          <w:sz w:val="24"/>
          <w:szCs w:val="24"/>
        </w:rPr>
        <w:t xml:space="preserve">wellbeing: </w:t>
      </w:r>
      <w:r w:rsidR="005B3115" w:rsidRPr="00CD1D16">
        <w:rPr>
          <w:sz w:val="24"/>
          <w:szCs w:val="24"/>
        </w:rPr>
        <w:t xml:space="preserve"> </w:t>
      </w:r>
      <w:r w:rsidR="00A72CDD" w:rsidRPr="00CD1D16">
        <w:rPr>
          <w:sz w:val="24"/>
          <w:szCs w:val="24"/>
        </w:rPr>
        <w:t xml:space="preserve">employment has a major impact on </w:t>
      </w:r>
      <w:r w:rsidR="005B3115" w:rsidRPr="00CD1D16">
        <w:rPr>
          <w:sz w:val="24"/>
          <w:szCs w:val="24"/>
        </w:rPr>
        <w:t xml:space="preserve">the </w:t>
      </w:r>
      <w:r w:rsidR="00713723" w:rsidRPr="00CD1D16">
        <w:rPr>
          <w:sz w:val="24"/>
          <w:szCs w:val="24"/>
        </w:rPr>
        <w:t>sense of wellbeing</w:t>
      </w:r>
      <w:r w:rsidR="005B3115" w:rsidRPr="00CD1D16">
        <w:rPr>
          <w:sz w:val="24"/>
          <w:szCs w:val="24"/>
        </w:rPr>
        <w:t xml:space="preserve"> for p</w:t>
      </w:r>
      <w:r w:rsidR="00713723" w:rsidRPr="00CD1D16">
        <w:rPr>
          <w:sz w:val="24"/>
          <w:szCs w:val="24"/>
        </w:rPr>
        <w:t>eople with disability</w:t>
      </w:r>
      <w:r w:rsidR="00972B80" w:rsidRPr="00CD1D16">
        <w:rPr>
          <w:sz w:val="24"/>
          <w:szCs w:val="24"/>
        </w:rPr>
        <w:t>. Yu (2009)</w:t>
      </w:r>
      <w:r w:rsidR="00D97B47" w:rsidRPr="00CD1D16">
        <w:rPr>
          <w:sz w:val="24"/>
          <w:szCs w:val="24"/>
        </w:rPr>
        <w:t xml:space="preserve"> </w:t>
      </w:r>
      <w:r w:rsidR="00972B80" w:rsidRPr="00CD1D16">
        <w:rPr>
          <w:sz w:val="24"/>
          <w:szCs w:val="24"/>
        </w:rPr>
        <w:t>estimated that th</w:t>
      </w:r>
      <w:r w:rsidRPr="00CD1D16">
        <w:rPr>
          <w:sz w:val="24"/>
          <w:szCs w:val="24"/>
        </w:rPr>
        <w:t>ese wellbeing effects are</w:t>
      </w:r>
      <w:r w:rsidR="00972B80" w:rsidRPr="00CD1D16">
        <w:rPr>
          <w:sz w:val="24"/>
          <w:szCs w:val="24"/>
        </w:rPr>
        <w:t xml:space="preserve"> worth more to people with disability than the income generated from that employment</w:t>
      </w:r>
      <w:r w:rsidR="00A72CDD" w:rsidRPr="00CD1D16">
        <w:rPr>
          <w:sz w:val="24"/>
          <w:szCs w:val="24"/>
        </w:rPr>
        <w:t>.</w:t>
      </w:r>
      <w:r w:rsidR="00DC7DE9" w:rsidRPr="00CD1D16">
        <w:rPr>
          <w:sz w:val="24"/>
          <w:szCs w:val="24"/>
        </w:rPr>
        <w:t xml:space="preserve"> </w:t>
      </w:r>
      <w:r w:rsidR="00EC7E31" w:rsidRPr="00CD1D16">
        <w:rPr>
          <w:sz w:val="24"/>
          <w:szCs w:val="24"/>
        </w:rPr>
        <w:t>As such, the size of these benefits is likely significant. However, in line with the conservative approach to valuation adopted in this report, these benefits have not been estimated due to the inherent difficulty in placing financial value on these concepts</w:t>
      </w:r>
      <w:r w:rsidR="00497C9E" w:rsidRPr="00CD1D16">
        <w:rPr>
          <w:sz w:val="24"/>
          <w:szCs w:val="24"/>
        </w:rPr>
        <w:t xml:space="preserve">. As a result, these </w:t>
      </w:r>
      <w:r w:rsidR="004E6AF0" w:rsidRPr="00CD1D16">
        <w:rPr>
          <w:sz w:val="24"/>
          <w:szCs w:val="24"/>
        </w:rPr>
        <w:t xml:space="preserve">are not included in this model. </w:t>
      </w:r>
    </w:p>
    <w:p w14:paraId="28BBDDF9" w14:textId="77777777" w:rsidR="00E82B05" w:rsidRDefault="00E82B05">
      <w:pPr>
        <w:rPr>
          <w:rFonts w:cs="Arial"/>
          <w:sz w:val="24"/>
          <w:szCs w:val="24"/>
        </w:rPr>
      </w:pPr>
      <w:r>
        <w:rPr>
          <w:sz w:val="24"/>
          <w:szCs w:val="24"/>
        </w:rPr>
        <w:br w:type="page"/>
      </w:r>
    </w:p>
    <w:p w14:paraId="4A3F5087" w14:textId="77777777" w:rsidR="00901CA0" w:rsidRPr="00CD1D16" w:rsidRDefault="00B82975" w:rsidP="006113AF">
      <w:pPr>
        <w:pStyle w:val="Heading4"/>
      </w:pPr>
      <w:r w:rsidRPr="00CD1D16">
        <w:lastRenderedPageBreak/>
        <w:t>Early Intervention has life-long impacts</w:t>
      </w:r>
    </w:p>
    <w:p w14:paraId="7A013849" w14:textId="77777777" w:rsidR="00230067" w:rsidRPr="00CD1D16" w:rsidRDefault="00F82C27" w:rsidP="00230067">
      <w:pPr>
        <w:pStyle w:val="NoSpacing"/>
        <w:rPr>
          <w:sz w:val="24"/>
          <w:szCs w:val="24"/>
        </w:rPr>
      </w:pPr>
      <w:r w:rsidRPr="00CD1D16">
        <w:rPr>
          <w:sz w:val="24"/>
          <w:szCs w:val="24"/>
        </w:rPr>
        <w:t>C</w:t>
      </w:r>
      <w:r w:rsidR="00A86521" w:rsidRPr="00CD1D16">
        <w:rPr>
          <w:sz w:val="24"/>
          <w:szCs w:val="24"/>
        </w:rPr>
        <w:t xml:space="preserve">ompleting </w:t>
      </w:r>
      <w:r w:rsidR="002A475B" w:rsidRPr="00CD1D16">
        <w:rPr>
          <w:sz w:val="24"/>
          <w:szCs w:val="24"/>
        </w:rPr>
        <w:t>Y</w:t>
      </w:r>
      <w:r w:rsidR="003F5D17" w:rsidRPr="00CD1D16">
        <w:rPr>
          <w:sz w:val="24"/>
          <w:szCs w:val="24"/>
        </w:rPr>
        <w:t>ear 12</w:t>
      </w:r>
      <w:r w:rsidR="00A86521" w:rsidRPr="00CD1D16">
        <w:rPr>
          <w:sz w:val="24"/>
          <w:szCs w:val="24"/>
        </w:rPr>
        <w:t xml:space="preserve"> </w:t>
      </w:r>
      <w:r w:rsidR="003F5D17" w:rsidRPr="00CD1D16">
        <w:rPr>
          <w:sz w:val="24"/>
          <w:szCs w:val="24"/>
        </w:rPr>
        <w:t xml:space="preserve">and entering work or training </w:t>
      </w:r>
      <w:r w:rsidR="00A86521" w:rsidRPr="00CD1D16">
        <w:rPr>
          <w:sz w:val="24"/>
          <w:szCs w:val="24"/>
        </w:rPr>
        <w:t>have life-long impacts on income and wellbeing.</w:t>
      </w:r>
      <w:r w:rsidR="00EC7E31" w:rsidRPr="00CD1D16">
        <w:rPr>
          <w:sz w:val="24"/>
          <w:szCs w:val="24"/>
        </w:rPr>
        <w:t xml:space="preserve"> Completing school</w:t>
      </w:r>
      <w:r w:rsidR="005C6D6B" w:rsidRPr="00CD1D16">
        <w:rPr>
          <w:sz w:val="24"/>
          <w:szCs w:val="24"/>
        </w:rPr>
        <w:t xml:space="preserve"> and </w:t>
      </w:r>
      <w:r w:rsidR="00EC7E31" w:rsidRPr="00CD1D16">
        <w:rPr>
          <w:sz w:val="24"/>
          <w:szCs w:val="24"/>
        </w:rPr>
        <w:t>undertaking work experience while at school can accelerate the transition from school to work and reduce periods of unemployment. Shortening the length of periods out of the workforce will significantly reduce a young person’s risk of long-term economic insecurity and labour ma</w:t>
      </w:r>
      <w:r w:rsidR="00906C84" w:rsidRPr="00CD1D16">
        <w:rPr>
          <w:sz w:val="24"/>
          <w:szCs w:val="24"/>
        </w:rPr>
        <w:t>rket marginalisation (FYA 2016) (2019 Evaluation report p20 for a more detailed discussion)</w:t>
      </w:r>
    </w:p>
    <w:p w14:paraId="1BD94248" w14:textId="77777777" w:rsidR="00230067" w:rsidRPr="00CD1D16" w:rsidRDefault="00230067" w:rsidP="00230067">
      <w:pPr>
        <w:pStyle w:val="NoSpacing"/>
        <w:rPr>
          <w:sz w:val="24"/>
          <w:szCs w:val="24"/>
        </w:rPr>
      </w:pPr>
      <w:r w:rsidRPr="00CD1D16">
        <w:rPr>
          <w:sz w:val="24"/>
          <w:szCs w:val="24"/>
        </w:rPr>
        <w:t>For an unemployed person with disability, completing a training course at Cert III and above increases the likelihood of getting a job from 9 per cent to 29 per cent - a significant increase in employability. In comparison, for someone who is unemployed and does not have a disability, completing training increases the likelihood of employment from 52 per cent to 62 per cent - a 10 per cent increase for people without disability compared with twice the impact for people with disability (Polidano et al. 2010).</w:t>
      </w:r>
    </w:p>
    <w:p w14:paraId="78D07E13" w14:textId="77777777" w:rsidR="00EC7E31" w:rsidRPr="00CD1D16" w:rsidRDefault="00230067" w:rsidP="00230067">
      <w:pPr>
        <w:pStyle w:val="NoSpacing"/>
        <w:rPr>
          <w:sz w:val="24"/>
          <w:szCs w:val="24"/>
        </w:rPr>
      </w:pPr>
      <w:r w:rsidRPr="00CD1D16">
        <w:rPr>
          <w:sz w:val="24"/>
          <w:szCs w:val="24"/>
        </w:rPr>
        <w:t xml:space="preserve">Participation in VET apprenticeships and traineeships for people with a disability result in high workforce participation rates and income post training - comparable with similarly-aged Australians without disability.  A longitudinal study of apprentices and trainees with disability found </w:t>
      </w:r>
      <w:r w:rsidR="00C909C5" w:rsidRPr="00CD1D16">
        <w:rPr>
          <w:sz w:val="24"/>
          <w:szCs w:val="24"/>
        </w:rPr>
        <w:t xml:space="preserve">that </w:t>
      </w:r>
      <w:r w:rsidRPr="00CD1D16">
        <w:rPr>
          <w:sz w:val="24"/>
          <w:szCs w:val="24"/>
        </w:rPr>
        <w:t>87 per cent of the participants were in paid work</w:t>
      </w:r>
      <w:r w:rsidR="00C909C5" w:rsidRPr="00CD1D16">
        <w:rPr>
          <w:sz w:val="24"/>
          <w:szCs w:val="24"/>
        </w:rPr>
        <w:t xml:space="preserve"> a year after graduation</w:t>
      </w:r>
      <w:r w:rsidRPr="00CD1D16">
        <w:rPr>
          <w:sz w:val="24"/>
          <w:szCs w:val="24"/>
        </w:rPr>
        <w:t xml:space="preserve">. </w:t>
      </w:r>
      <w:r w:rsidR="009B74D1" w:rsidRPr="00CD1D16">
        <w:rPr>
          <w:sz w:val="24"/>
          <w:szCs w:val="24"/>
        </w:rPr>
        <w:t>Whereas</w:t>
      </w:r>
      <w:r w:rsidRPr="00CD1D16">
        <w:rPr>
          <w:sz w:val="24"/>
          <w:szCs w:val="24"/>
        </w:rPr>
        <w:t xml:space="preserve"> participation by people with disability in apprenticeships and traineeships remains very low at 2 per cent (Cocks and Thoresen 2013)</w:t>
      </w:r>
      <w:r w:rsidR="00DE063F" w:rsidRPr="00CD1D16">
        <w:rPr>
          <w:sz w:val="24"/>
          <w:szCs w:val="24"/>
        </w:rPr>
        <w:t>.</w:t>
      </w:r>
    </w:p>
    <w:p w14:paraId="71818866" w14:textId="77777777" w:rsidR="004A312E" w:rsidRPr="00CD1D16" w:rsidRDefault="0032166B" w:rsidP="008808E8">
      <w:pPr>
        <w:pStyle w:val="NoSpacing"/>
        <w:rPr>
          <w:sz w:val="24"/>
          <w:szCs w:val="24"/>
        </w:rPr>
      </w:pPr>
      <w:r w:rsidRPr="00CD1D16">
        <w:rPr>
          <w:sz w:val="24"/>
          <w:szCs w:val="24"/>
        </w:rPr>
        <w:t xml:space="preserve">This is also borne out by international longitudinal research that shows certain in-school programs for people with disability have long-term impacts on the likelihood that a person will be employed. For example, analysis of the US National Longitudinal Transition Study showed the impact of in-school initiatives on the likelihood of being employed over a period of 10 years (Park &amp; Bouck 2018). The authors found that the following initiatives </w:t>
      </w:r>
      <w:r w:rsidR="00C85BC1" w:rsidRPr="00CD1D16">
        <w:rPr>
          <w:sz w:val="24"/>
          <w:szCs w:val="24"/>
        </w:rPr>
        <w:t>(</w:t>
      </w:r>
      <w:r w:rsidRPr="00CD1D16">
        <w:rPr>
          <w:sz w:val="24"/>
          <w:szCs w:val="24"/>
        </w:rPr>
        <w:t>which are similar to those provided by Ticket to Work) were predictive of employment at follow-up:</w:t>
      </w:r>
    </w:p>
    <w:p w14:paraId="115AA7AB" w14:textId="77777777" w:rsidR="0032166B" w:rsidRPr="00CD1D16" w:rsidRDefault="0032166B" w:rsidP="00CD1D16">
      <w:pPr>
        <w:pStyle w:val="NoSpacing"/>
        <w:numPr>
          <w:ilvl w:val="0"/>
          <w:numId w:val="14"/>
        </w:numPr>
        <w:ind w:left="450"/>
        <w:rPr>
          <w:sz w:val="24"/>
          <w:szCs w:val="24"/>
        </w:rPr>
      </w:pPr>
      <w:r w:rsidRPr="00CD1D16">
        <w:rPr>
          <w:sz w:val="24"/>
          <w:szCs w:val="24"/>
          <w:u w:val="single"/>
        </w:rPr>
        <w:t>job readiness vocational services:</w:t>
      </w:r>
      <w:r w:rsidRPr="00CD1D16">
        <w:rPr>
          <w:sz w:val="24"/>
          <w:szCs w:val="24"/>
        </w:rPr>
        <w:t xml:space="preserve"> 7.36 times more likely to be in paid employment than those who did not receive these services</w:t>
      </w:r>
    </w:p>
    <w:p w14:paraId="5DDF1347" w14:textId="77777777" w:rsidR="0032166B" w:rsidRPr="00CD1D16" w:rsidRDefault="0032166B" w:rsidP="00CD1D16">
      <w:pPr>
        <w:pStyle w:val="NoSpacing"/>
        <w:numPr>
          <w:ilvl w:val="0"/>
          <w:numId w:val="14"/>
        </w:numPr>
        <w:ind w:left="450"/>
        <w:rPr>
          <w:sz w:val="24"/>
          <w:szCs w:val="24"/>
        </w:rPr>
      </w:pPr>
      <w:r w:rsidRPr="00CD1D16">
        <w:rPr>
          <w:sz w:val="24"/>
          <w:szCs w:val="24"/>
          <w:u w:val="single"/>
        </w:rPr>
        <w:t>instruction in looking for jobs:</w:t>
      </w:r>
      <w:r w:rsidRPr="00CD1D16">
        <w:rPr>
          <w:sz w:val="24"/>
          <w:szCs w:val="24"/>
        </w:rPr>
        <w:t xml:space="preserve"> 7.95 times more likely to have paid employment than those who did not receive the instruction </w:t>
      </w:r>
    </w:p>
    <w:p w14:paraId="51F3618F" w14:textId="77777777" w:rsidR="0032166B" w:rsidRPr="00CD1D16" w:rsidRDefault="0032166B" w:rsidP="00CD1D16">
      <w:pPr>
        <w:pStyle w:val="NoSpacing"/>
        <w:numPr>
          <w:ilvl w:val="0"/>
          <w:numId w:val="14"/>
        </w:numPr>
        <w:ind w:left="450"/>
        <w:rPr>
          <w:sz w:val="24"/>
          <w:szCs w:val="24"/>
        </w:rPr>
      </w:pPr>
      <w:r w:rsidRPr="00CD1D16">
        <w:rPr>
          <w:sz w:val="24"/>
          <w:szCs w:val="24"/>
          <w:u w:val="single"/>
        </w:rPr>
        <w:t>individuals who receive placement support:</w:t>
      </w:r>
      <w:r w:rsidRPr="00CD1D16">
        <w:rPr>
          <w:sz w:val="24"/>
          <w:szCs w:val="24"/>
        </w:rPr>
        <w:t xml:space="preserve"> 5.37 times more likely to be in paid employment </w:t>
      </w:r>
    </w:p>
    <w:p w14:paraId="00F291D4" w14:textId="77777777" w:rsidR="0032166B" w:rsidRPr="00CD1D16" w:rsidRDefault="0032166B" w:rsidP="00CD1D16">
      <w:pPr>
        <w:pStyle w:val="NoSpacing"/>
        <w:numPr>
          <w:ilvl w:val="0"/>
          <w:numId w:val="14"/>
        </w:numPr>
        <w:ind w:left="450"/>
        <w:rPr>
          <w:sz w:val="24"/>
          <w:szCs w:val="24"/>
        </w:rPr>
      </w:pPr>
      <w:r w:rsidRPr="00CD1D16">
        <w:rPr>
          <w:sz w:val="24"/>
          <w:szCs w:val="24"/>
          <w:u w:val="single"/>
        </w:rPr>
        <w:t>transition plans included open employment</w:t>
      </w:r>
      <w:r w:rsidRPr="00CD1D16">
        <w:rPr>
          <w:sz w:val="24"/>
          <w:szCs w:val="24"/>
        </w:rPr>
        <w:t>: 3.71 times more likely to be in paid employment</w:t>
      </w:r>
    </w:p>
    <w:p w14:paraId="74D1348D" w14:textId="77777777" w:rsidR="007563CF" w:rsidRPr="0060666C" w:rsidRDefault="004864CB" w:rsidP="0060666C">
      <w:pPr>
        <w:pStyle w:val="NoSpacing"/>
        <w:rPr>
          <w:b/>
          <w:sz w:val="24"/>
          <w:szCs w:val="24"/>
        </w:rPr>
      </w:pPr>
      <w:r w:rsidRPr="0060666C">
        <w:rPr>
          <w:b/>
          <w:sz w:val="24"/>
          <w:szCs w:val="24"/>
        </w:rPr>
        <w:lastRenderedPageBreak/>
        <w:t>We have conservatively calculated the benefits over a three-year period, but the life-long benefits are likely much larger</w:t>
      </w:r>
    </w:p>
    <w:p w14:paraId="18D9EA74" w14:textId="77777777" w:rsidR="00746896" w:rsidRPr="00CD1D16" w:rsidRDefault="0032166B" w:rsidP="0032166B">
      <w:pPr>
        <w:pStyle w:val="NoSpacing"/>
        <w:rPr>
          <w:sz w:val="24"/>
          <w:szCs w:val="24"/>
        </w:rPr>
      </w:pPr>
      <w:r w:rsidRPr="00CD1D16">
        <w:rPr>
          <w:sz w:val="24"/>
          <w:szCs w:val="24"/>
        </w:rPr>
        <w:t>Whilst the secondary research above indicates that these impacts are likely to persist over many years (and potentially lif</w:t>
      </w:r>
      <w:r w:rsidR="000219DB" w:rsidRPr="00CD1D16">
        <w:rPr>
          <w:sz w:val="24"/>
          <w:szCs w:val="24"/>
        </w:rPr>
        <w:t>e</w:t>
      </w:r>
      <w:r w:rsidRPr="00CD1D16">
        <w:rPr>
          <w:sz w:val="24"/>
          <w:szCs w:val="24"/>
        </w:rPr>
        <w:t>-long)</w:t>
      </w:r>
      <w:r w:rsidR="000C09FC" w:rsidRPr="00CD1D16">
        <w:rPr>
          <w:sz w:val="24"/>
          <w:szCs w:val="24"/>
        </w:rPr>
        <w:t>,</w:t>
      </w:r>
      <w:r w:rsidRPr="00CD1D16">
        <w:rPr>
          <w:sz w:val="24"/>
          <w:szCs w:val="24"/>
        </w:rPr>
        <w:t xml:space="preserve"> the sample data from the 2019 evaluation report covers participants who have completed Ticket to Work </w:t>
      </w:r>
      <w:r w:rsidR="00775C32" w:rsidRPr="00CD1D16">
        <w:rPr>
          <w:sz w:val="24"/>
          <w:szCs w:val="24"/>
        </w:rPr>
        <w:t xml:space="preserve">activities </w:t>
      </w:r>
      <w:r w:rsidRPr="00CD1D16">
        <w:rPr>
          <w:sz w:val="24"/>
          <w:szCs w:val="24"/>
        </w:rPr>
        <w:t xml:space="preserve">within the last few years. In particular, Ticket to Work survey respondents had worked for an average of 1.9 years after completing school, and up to a maximum of five years. As such, </w:t>
      </w:r>
      <w:r w:rsidR="00256B33" w:rsidRPr="00CD1D16">
        <w:rPr>
          <w:sz w:val="24"/>
          <w:szCs w:val="24"/>
        </w:rPr>
        <w:t xml:space="preserve">in line with our conservative posture, </w:t>
      </w:r>
      <w:r w:rsidRPr="00CD1D16">
        <w:rPr>
          <w:sz w:val="24"/>
          <w:szCs w:val="24"/>
        </w:rPr>
        <w:t>we can be</w:t>
      </w:r>
      <w:r w:rsidR="000219DB" w:rsidRPr="00CD1D16">
        <w:rPr>
          <w:sz w:val="24"/>
          <w:szCs w:val="24"/>
        </w:rPr>
        <w:t xml:space="preserve"> </w:t>
      </w:r>
      <w:r w:rsidRPr="00CD1D16">
        <w:rPr>
          <w:sz w:val="24"/>
          <w:szCs w:val="24"/>
        </w:rPr>
        <w:t>confident that</w:t>
      </w:r>
      <w:r w:rsidR="000219DB" w:rsidRPr="00CD1D16">
        <w:rPr>
          <w:sz w:val="24"/>
          <w:szCs w:val="24"/>
        </w:rPr>
        <w:t xml:space="preserve"> </w:t>
      </w:r>
      <w:r w:rsidR="00893E0F" w:rsidRPr="00CD1D16">
        <w:rPr>
          <w:sz w:val="24"/>
          <w:szCs w:val="24"/>
        </w:rPr>
        <w:t>the</w:t>
      </w:r>
      <w:r w:rsidR="000219DB" w:rsidRPr="00CD1D16">
        <w:rPr>
          <w:sz w:val="24"/>
          <w:szCs w:val="24"/>
        </w:rPr>
        <w:t xml:space="preserve"> data is indicative of</w:t>
      </w:r>
      <w:r w:rsidRPr="00CD1D16">
        <w:rPr>
          <w:sz w:val="24"/>
          <w:szCs w:val="24"/>
        </w:rPr>
        <w:t xml:space="preserve"> </w:t>
      </w:r>
      <w:r w:rsidR="00CC0EF2" w:rsidRPr="00CD1D16">
        <w:rPr>
          <w:sz w:val="24"/>
          <w:szCs w:val="24"/>
        </w:rPr>
        <w:t>Ticket to Work</w:t>
      </w:r>
      <w:r w:rsidR="00746896" w:rsidRPr="00CD1D16">
        <w:rPr>
          <w:sz w:val="24"/>
          <w:szCs w:val="24"/>
        </w:rPr>
        <w:t>’s impact over a p</w:t>
      </w:r>
      <w:r w:rsidR="00CC0EF2" w:rsidRPr="00CD1D16">
        <w:rPr>
          <w:sz w:val="24"/>
          <w:szCs w:val="24"/>
        </w:rPr>
        <w:t xml:space="preserve">eriod of </w:t>
      </w:r>
      <w:r w:rsidR="00AF0A8D" w:rsidRPr="00CD1D16">
        <w:rPr>
          <w:sz w:val="24"/>
          <w:szCs w:val="24"/>
        </w:rPr>
        <w:t>at least three</w:t>
      </w:r>
      <w:r w:rsidR="00CC0EF2" w:rsidRPr="00CD1D16">
        <w:rPr>
          <w:sz w:val="24"/>
          <w:szCs w:val="24"/>
        </w:rPr>
        <w:t xml:space="preserve"> years after a young person finishes school. </w:t>
      </w:r>
      <w:r w:rsidR="00864C2A" w:rsidRPr="00CD1D16">
        <w:rPr>
          <w:sz w:val="24"/>
          <w:szCs w:val="24"/>
        </w:rPr>
        <w:t>However, for completeness, a</w:t>
      </w:r>
      <w:r w:rsidR="00AA6171" w:rsidRPr="00CD1D16">
        <w:rPr>
          <w:sz w:val="24"/>
          <w:szCs w:val="24"/>
        </w:rPr>
        <w:t xml:space="preserve"> sensitivity test was conducted to estimate the value of</w:t>
      </w:r>
      <w:r w:rsidR="00864C2A" w:rsidRPr="00CD1D16">
        <w:rPr>
          <w:sz w:val="24"/>
          <w:szCs w:val="24"/>
        </w:rPr>
        <w:t xml:space="preserve"> the outcomes if they did persist over 10 years. </w:t>
      </w:r>
    </w:p>
    <w:p w14:paraId="43696B7C" w14:textId="77777777" w:rsidR="0032166B" w:rsidRPr="00CD1D16" w:rsidRDefault="00746896" w:rsidP="00F5779E">
      <w:pPr>
        <w:pStyle w:val="NoSpacing"/>
        <w:rPr>
          <w:sz w:val="24"/>
          <w:szCs w:val="24"/>
        </w:rPr>
        <w:sectPr w:rsidR="0032166B" w:rsidRPr="00CD1D16" w:rsidSect="00B32C81">
          <w:headerReference w:type="default" r:id="rId23"/>
          <w:footerReference w:type="default" r:id="rId24"/>
          <w:footerReference w:type="first" r:id="rId25"/>
          <w:pgSz w:w="11906" w:h="16838"/>
          <w:pgMar w:top="1440" w:right="1440" w:bottom="1440" w:left="1440" w:header="708" w:footer="283" w:gutter="0"/>
          <w:cols w:space="708"/>
          <w:docGrid w:linePitch="360"/>
        </w:sectPr>
      </w:pPr>
      <w:r w:rsidRPr="00CD1D16">
        <w:rPr>
          <w:sz w:val="24"/>
          <w:szCs w:val="24"/>
        </w:rPr>
        <w:t xml:space="preserve">Some </w:t>
      </w:r>
      <w:r w:rsidR="00E913F1" w:rsidRPr="00CD1D16">
        <w:rPr>
          <w:sz w:val="24"/>
          <w:szCs w:val="24"/>
        </w:rPr>
        <w:t xml:space="preserve">valuation </w:t>
      </w:r>
      <w:r w:rsidRPr="00CD1D16">
        <w:rPr>
          <w:sz w:val="24"/>
          <w:szCs w:val="24"/>
        </w:rPr>
        <w:t>methodologies (notably, Social Return on Investment) include discounts to</w:t>
      </w:r>
      <w:r w:rsidR="00091256" w:rsidRPr="00CD1D16">
        <w:rPr>
          <w:sz w:val="24"/>
          <w:szCs w:val="24"/>
        </w:rPr>
        <w:t xml:space="preserve"> the calculated impact to account for</w:t>
      </w:r>
      <w:r w:rsidR="004D16FB" w:rsidRPr="00CD1D16">
        <w:rPr>
          <w:sz w:val="24"/>
          <w:szCs w:val="24"/>
        </w:rPr>
        <w:t xml:space="preserve"> drop-off (</w:t>
      </w:r>
      <w:r w:rsidR="00664CF6" w:rsidRPr="00CD1D16">
        <w:rPr>
          <w:sz w:val="24"/>
          <w:szCs w:val="24"/>
        </w:rPr>
        <w:t xml:space="preserve">decline in </w:t>
      </w:r>
      <w:r w:rsidR="00BF606D" w:rsidRPr="00CD1D16">
        <w:rPr>
          <w:sz w:val="24"/>
          <w:szCs w:val="24"/>
        </w:rPr>
        <w:t xml:space="preserve">a program’s </w:t>
      </w:r>
      <w:r w:rsidR="00664CF6" w:rsidRPr="00CD1D16">
        <w:rPr>
          <w:sz w:val="24"/>
          <w:szCs w:val="24"/>
        </w:rPr>
        <w:t xml:space="preserve">impact over time) and deadweight (contribution of other programs to the impact). In light of the fact that the data uses a comparison group as a counterfactual, and that the data reflects average outcomes for people over </w:t>
      </w:r>
      <w:r w:rsidR="002C5912" w:rsidRPr="00CD1D16">
        <w:rPr>
          <w:sz w:val="24"/>
          <w:szCs w:val="24"/>
        </w:rPr>
        <w:t>a</w:t>
      </w:r>
      <w:r w:rsidR="00664CF6" w:rsidRPr="00CD1D16">
        <w:rPr>
          <w:sz w:val="24"/>
          <w:szCs w:val="24"/>
        </w:rPr>
        <w:t xml:space="preserve"> </w:t>
      </w:r>
      <w:r w:rsidR="00AF0A8D" w:rsidRPr="00CD1D16">
        <w:rPr>
          <w:sz w:val="24"/>
          <w:szCs w:val="24"/>
        </w:rPr>
        <w:t>three</w:t>
      </w:r>
      <w:r w:rsidR="00664CF6" w:rsidRPr="00CD1D16">
        <w:rPr>
          <w:sz w:val="24"/>
          <w:szCs w:val="24"/>
        </w:rPr>
        <w:t xml:space="preserve"> year impact period, we have </w:t>
      </w:r>
      <w:r w:rsidR="002C5912" w:rsidRPr="00CD1D16">
        <w:rPr>
          <w:sz w:val="24"/>
          <w:szCs w:val="24"/>
        </w:rPr>
        <w:t>assumed that these rates are zero.</w:t>
      </w:r>
      <w:r w:rsidR="00324083" w:rsidRPr="00CD1D16">
        <w:rPr>
          <w:sz w:val="24"/>
          <w:szCs w:val="24"/>
        </w:rPr>
        <w:t xml:space="preserve"> </w:t>
      </w:r>
      <w:r w:rsidR="00CA5E82" w:rsidRPr="00CD1D16">
        <w:rPr>
          <w:sz w:val="24"/>
          <w:szCs w:val="24"/>
        </w:rPr>
        <w:t xml:space="preserve">We have </w:t>
      </w:r>
      <w:r w:rsidR="00EC5EEB" w:rsidRPr="00CD1D16">
        <w:rPr>
          <w:sz w:val="24"/>
          <w:szCs w:val="24"/>
        </w:rPr>
        <w:t>used 2019</w:t>
      </w:r>
      <w:r w:rsidR="00CA5E82" w:rsidRPr="00CD1D16">
        <w:rPr>
          <w:sz w:val="24"/>
          <w:szCs w:val="24"/>
        </w:rPr>
        <w:t xml:space="preserve"> </w:t>
      </w:r>
      <w:r w:rsidR="00AE5921" w:rsidRPr="00CD1D16">
        <w:rPr>
          <w:sz w:val="24"/>
          <w:szCs w:val="24"/>
        </w:rPr>
        <w:t xml:space="preserve">dollar </w:t>
      </w:r>
      <w:r w:rsidR="00CA5E82" w:rsidRPr="00CD1D16">
        <w:rPr>
          <w:sz w:val="24"/>
          <w:szCs w:val="24"/>
        </w:rPr>
        <w:t xml:space="preserve">values </w:t>
      </w:r>
      <w:r w:rsidR="004611DA" w:rsidRPr="00CD1D16">
        <w:rPr>
          <w:sz w:val="24"/>
          <w:szCs w:val="24"/>
        </w:rPr>
        <w:t xml:space="preserve">for outcomes throughout. </w:t>
      </w:r>
    </w:p>
    <w:p w14:paraId="3E4D4532" w14:textId="77777777" w:rsidR="00D500C0" w:rsidRDefault="00FB5322" w:rsidP="00CD1D16">
      <w:pPr>
        <w:pStyle w:val="Heading3"/>
      </w:pPr>
      <w:bookmarkStart w:id="7" w:name="_Toc20652509"/>
      <w:bookmarkStart w:id="8" w:name="_Ref22879188"/>
      <w:r>
        <w:lastRenderedPageBreak/>
        <w:t>Summary of outcome valuations</w:t>
      </w:r>
      <w:bookmarkEnd w:id="7"/>
      <w:bookmarkEnd w:id="8"/>
    </w:p>
    <w:p w14:paraId="35645E24" w14:textId="77777777" w:rsidR="00A960F7" w:rsidRPr="00CD1D16" w:rsidRDefault="005C246A" w:rsidP="002A4EAB">
      <w:pPr>
        <w:rPr>
          <w:sz w:val="24"/>
          <w:szCs w:val="24"/>
        </w:rPr>
      </w:pPr>
      <w:r w:rsidRPr="00CD1D16">
        <w:rPr>
          <w:sz w:val="24"/>
          <w:szCs w:val="24"/>
        </w:rPr>
        <w:t xml:space="preserve">The following </w:t>
      </w:r>
      <w:r w:rsidR="009468A5" w:rsidRPr="00CD1D16">
        <w:rPr>
          <w:sz w:val="24"/>
          <w:szCs w:val="24"/>
        </w:rPr>
        <w:t>figure</w:t>
      </w:r>
      <w:r w:rsidRPr="00CD1D16">
        <w:rPr>
          <w:sz w:val="24"/>
          <w:szCs w:val="24"/>
        </w:rPr>
        <w:t xml:space="preserve"> shows </w:t>
      </w:r>
      <w:r w:rsidR="00983375" w:rsidRPr="00CD1D16">
        <w:rPr>
          <w:sz w:val="24"/>
          <w:szCs w:val="24"/>
        </w:rPr>
        <w:t xml:space="preserve">(in orange) the </w:t>
      </w:r>
      <w:r w:rsidR="007E3B5D" w:rsidRPr="00CD1D16">
        <w:rPr>
          <w:sz w:val="24"/>
          <w:szCs w:val="24"/>
        </w:rPr>
        <w:t xml:space="preserve">long-term </w:t>
      </w:r>
      <w:r w:rsidR="001016E6" w:rsidRPr="00CD1D16">
        <w:rPr>
          <w:sz w:val="24"/>
          <w:szCs w:val="24"/>
        </w:rPr>
        <w:t>outcomes of</w:t>
      </w:r>
      <w:r w:rsidR="00983375" w:rsidRPr="00CD1D16">
        <w:rPr>
          <w:sz w:val="24"/>
          <w:szCs w:val="24"/>
        </w:rPr>
        <w:t xml:space="preserve"> </w:t>
      </w:r>
      <w:r w:rsidR="009468A5" w:rsidRPr="00CD1D16">
        <w:rPr>
          <w:sz w:val="24"/>
          <w:szCs w:val="24"/>
        </w:rPr>
        <w:t>Ticket to Work</w:t>
      </w:r>
      <w:r w:rsidR="003D36C9" w:rsidRPr="00CD1D16">
        <w:rPr>
          <w:sz w:val="24"/>
          <w:szCs w:val="24"/>
        </w:rPr>
        <w:t xml:space="preserve"> that have been valued. It also shows the estimated value </w:t>
      </w:r>
      <w:r w:rsidR="00A960F7" w:rsidRPr="00CD1D16">
        <w:rPr>
          <w:sz w:val="24"/>
          <w:szCs w:val="24"/>
        </w:rPr>
        <w:t>per person over the three-year impact period</w:t>
      </w:r>
      <w:r w:rsidR="009468A5" w:rsidRPr="00CD1D16">
        <w:rPr>
          <w:sz w:val="24"/>
          <w:szCs w:val="24"/>
        </w:rPr>
        <w:t xml:space="preserve">. </w:t>
      </w:r>
      <w:r w:rsidR="00FB5322" w:rsidRPr="00CD1D16">
        <w:rPr>
          <w:sz w:val="24"/>
          <w:szCs w:val="24"/>
        </w:rPr>
        <w:t xml:space="preserve">The calculation steps for these numbers are explored in </w:t>
      </w:r>
      <w:r w:rsidR="00256B33" w:rsidRPr="00CD1D16">
        <w:rPr>
          <w:sz w:val="24"/>
          <w:szCs w:val="24"/>
        </w:rPr>
        <w:t xml:space="preserve">the appendix. </w:t>
      </w:r>
      <w:r w:rsidR="00FB5322" w:rsidRPr="00CD1D16">
        <w:rPr>
          <w:sz w:val="24"/>
          <w:szCs w:val="24"/>
        </w:rPr>
        <w:t xml:space="preserve"> </w:t>
      </w:r>
    </w:p>
    <w:p w14:paraId="667C4FC9" w14:textId="77777777" w:rsidR="00EC7E31" w:rsidRDefault="00BB53B4" w:rsidP="002A4EAB">
      <w:r>
        <w:rPr>
          <w:noProof/>
          <w:lang w:eastAsia="en-AU"/>
        </w:rPr>
        <w:drawing>
          <wp:inline distT="0" distB="0" distL="0" distR="0" wp14:anchorId="1CA33657" wp14:editId="542DB4A5">
            <wp:extent cx="5731510" cy="3200705"/>
            <wp:effectExtent l="0" t="0" r="2540" b="0"/>
            <wp:docPr id="5" name="Picture 5" descr="Ticket to Work Activities: Vocational outcomes, Micro-business,Career development, School based apprenticeships, After school work, Work experience placements.&#10;Participants more likely to finish year 12, particpants build career aspirations, particiapnts develop in demand work skills/experience, particpants develop personal skills and confidence. &#10;&#10;Short-medium term outcomes: participants likley to be disengaged from work/study, particpants more likley to go to further study/training, particpants more likley to be in employment, those employed more likley to be in open employment. &#10;&#10;carers have more time for work/recreation.&#10;&#10;long term social outcomes: Participants feel more independent,Participants increase social participation,  income for carers $4,900, incomes for participants $11,300, People with disability are present in the community.&#10;&#10;long term fiscal outcomes: Reduction in NDIS support $4,100, Increase in Disability Employment Services usage $11,000, Reduced income support $2,800, Increase in tax revenue $900, Reduction in DEA grants $4,1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3200705"/>
                    </a:xfrm>
                    <a:prstGeom prst="rect">
                      <a:avLst/>
                    </a:prstGeom>
                  </pic:spPr>
                </pic:pic>
              </a:graphicData>
            </a:graphic>
          </wp:inline>
        </w:drawing>
      </w:r>
    </w:p>
    <w:p w14:paraId="4A0DC183" w14:textId="77777777" w:rsidR="00A960F7" w:rsidRPr="00B23E3C" w:rsidRDefault="000505B7" w:rsidP="00BD36B5">
      <w:pPr>
        <w:pStyle w:val="Caption"/>
        <w:rPr>
          <w:i w:val="0"/>
          <w:color w:val="auto"/>
          <w:sz w:val="24"/>
          <w:szCs w:val="24"/>
        </w:rPr>
      </w:pPr>
      <w:bookmarkStart w:id="9" w:name="_Ref24372680"/>
      <w:r w:rsidRPr="00B23E3C">
        <w:rPr>
          <w:i w:val="0"/>
          <w:color w:val="auto"/>
          <w:sz w:val="24"/>
          <w:szCs w:val="24"/>
        </w:rPr>
        <w:t xml:space="preserve">Figure </w:t>
      </w:r>
      <w:r w:rsidR="00A37DAD" w:rsidRPr="00B23E3C">
        <w:rPr>
          <w:i w:val="0"/>
          <w:color w:val="auto"/>
          <w:sz w:val="24"/>
          <w:szCs w:val="24"/>
        </w:rPr>
        <w:fldChar w:fldCharType="begin"/>
      </w:r>
      <w:r w:rsidR="00A37DAD" w:rsidRPr="00B23E3C">
        <w:rPr>
          <w:i w:val="0"/>
          <w:color w:val="auto"/>
          <w:sz w:val="24"/>
          <w:szCs w:val="24"/>
        </w:rPr>
        <w:instrText xml:space="preserve"> SEQ Figure \* ARABIC </w:instrText>
      </w:r>
      <w:r w:rsidR="00A37DAD" w:rsidRPr="00B23E3C">
        <w:rPr>
          <w:i w:val="0"/>
          <w:color w:val="auto"/>
          <w:sz w:val="24"/>
          <w:szCs w:val="24"/>
        </w:rPr>
        <w:fldChar w:fldCharType="separate"/>
      </w:r>
      <w:r w:rsidR="004912C4" w:rsidRPr="00B23E3C">
        <w:rPr>
          <w:i w:val="0"/>
          <w:noProof/>
          <w:color w:val="auto"/>
          <w:sz w:val="24"/>
          <w:szCs w:val="24"/>
        </w:rPr>
        <w:t>6</w:t>
      </w:r>
      <w:r w:rsidR="00A37DAD" w:rsidRPr="00B23E3C">
        <w:rPr>
          <w:i w:val="0"/>
          <w:noProof/>
          <w:color w:val="auto"/>
          <w:sz w:val="24"/>
          <w:szCs w:val="24"/>
        </w:rPr>
        <w:fldChar w:fldCharType="end"/>
      </w:r>
      <w:bookmarkEnd w:id="9"/>
      <w:r w:rsidRPr="00B23E3C">
        <w:rPr>
          <w:i w:val="0"/>
          <w:color w:val="auto"/>
          <w:sz w:val="24"/>
          <w:szCs w:val="24"/>
        </w:rPr>
        <w:t xml:space="preserve">: </w:t>
      </w:r>
      <w:r w:rsidR="00801AE4" w:rsidRPr="00B23E3C">
        <w:rPr>
          <w:i w:val="0"/>
          <w:color w:val="auto"/>
          <w:sz w:val="24"/>
          <w:szCs w:val="24"/>
        </w:rPr>
        <w:t>P</w:t>
      </w:r>
      <w:r w:rsidRPr="00B23E3C">
        <w:rPr>
          <w:i w:val="0"/>
          <w:color w:val="auto"/>
          <w:sz w:val="24"/>
          <w:szCs w:val="24"/>
        </w:rPr>
        <w:t>rogram logic model showing the impacts that have been valued, and the estimated value of those impacts</w:t>
      </w:r>
      <w:r w:rsidR="00406CE4" w:rsidRPr="00B23E3C">
        <w:rPr>
          <w:i w:val="0"/>
          <w:color w:val="auto"/>
          <w:sz w:val="24"/>
          <w:szCs w:val="24"/>
        </w:rPr>
        <w:t xml:space="preserve"> over the three</w:t>
      </w:r>
      <w:r w:rsidR="0094768F" w:rsidRPr="00B23E3C">
        <w:rPr>
          <w:i w:val="0"/>
          <w:color w:val="auto"/>
          <w:sz w:val="24"/>
          <w:szCs w:val="24"/>
        </w:rPr>
        <w:t>-</w:t>
      </w:r>
      <w:r w:rsidR="007753F2" w:rsidRPr="00B23E3C">
        <w:rPr>
          <w:i w:val="0"/>
          <w:color w:val="auto"/>
          <w:sz w:val="24"/>
          <w:szCs w:val="24"/>
        </w:rPr>
        <w:t>year benefit period</w:t>
      </w:r>
    </w:p>
    <w:p w14:paraId="0CC5A339" w14:textId="77777777" w:rsidR="00CF5151" w:rsidRPr="00CD1D16" w:rsidRDefault="00851990" w:rsidP="003530B2">
      <w:pPr>
        <w:pStyle w:val="NoSpacing"/>
        <w:rPr>
          <w:sz w:val="24"/>
          <w:szCs w:val="24"/>
        </w:rPr>
      </w:pPr>
      <w:r w:rsidRPr="00CD1D16">
        <w:rPr>
          <w:sz w:val="24"/>
          <w:szCs w:val="24"/>
        </w:rPr>
        <w:t>These calculations estimate that the total social and fiscal benefits of the</w:t>
      </w:r>
      <w:r w:rsidR="00801AE4" w:rsidRPr="00CD1D16">
        <w:rPr>
          <w:sz w:val="24"/>
          <w:szCs w:val="24"/>
        </w:rPr>
        <w:t xml:space="preserve"> Ticket to Work</w:t>
      </w:r>
      <w:r w:rsidR="00DC703A" w:rsidRPr="00CD1D16">
        <w:rPr>
          <w:sz w:val="24"/>
          <w:szCs w:val="24"/>
        </w:rPr>
        <w:t xml:space="preserve"> model</w:t>
      </w:r>
      <w:r w:rsidRPr="00CD1D16">
        <w:rPr>
          <w:sz w:val="24"/>
          <w:szCs w:val="24"/>
        </w:rPr>
        <w:t xml:space="preserve">, calculated over </w:t>
      </w:r>
      <w:r w:rsidR="00E0148A" w:rsidRPr="00CD1D16">
        <w:rPr>
          <w:sz w:val="24"/>
          <w:szCs w:val="24"/>
        </w:rPr>
        <w:t xml:space="preserve">a </w:t>
      </w:r>
      <w:r w:rsidRPr="00CD1D16">
        <w:rPr>
          <w:sz w:val="24"/>
          <w:szCs w:val="24"/>
        </w:rPr>
        <w:t>three</w:t>
      </w:r>
      <w:r w:rsidR="00E0148A" w:rsidRPr="00CD1D16">
        <w:rPr>
          <w:sz w:val="24"/>
          <w:szCs w:val="24"/>
        </w:rPr>
        <w:t>-year impact period</w:t>
      </w:r>
      <w:r w:rsidRPr="00CD1D16">
        <w:rPr>
          <w:sz w:val="24"/>
          <w:szCs w:val="24"/>
        </w:rPr>
        <w:t xml:space="preserve"> are about $</w:t>
      </w:r>
      <w:r w:rsidR="000014C2" w:rsidRPr="00CD1D16">
        <w:rPr>
          <w:sz w:val="24"/>
          <w:szCs w:val="24"/>
        </w:rPr>
        <w:t>2</w:t>
      </w:r>
      <w:r w:rsidR="00AE5921" w:rsidRPr="00CD1D16">
        <w:rPr>
          <w:sz w:val="24"/>
          <w:szCs w:val="24"/>
        </w:rPr>
        <w:t>7</w:t>
      </w:r>
      <w:r w:rsidR="0093472D" w:rsidRPr="00CD1D16">
        <w:rPr>
          <w:sz w:val="24"/>
          <w:szCs w:val="24"/>
        </w:rPr>
        <w:t>,1</w:t>
      </w:r>
      <w:r w:rsidR="00AA65DC" w:rsidRPr="00CD1D16">
        <w:rPr>
          <w:sz w:val="24"/>
          <w:szCs w:val="24"/>
        </w:rPr>
        <w:t>00</w:t>
      </w:r>
      <w:r w:rsidRPr="00CD1D16">
        <w:rPr>
          <w:sz w:val="24"/>
          <w:szCs w:val="24"/>
        </w:rPr>
        <w:t xml:space="preserve"> per participant. </w:t>
      </w:r>
      <w:r w:rsidR="00D00360" w:rsidRPr="00CD1D16">
        <w:rPr>
          <w:sz w:val="24"/>
          <w:szCs w:val="24"/>
        </w:rPr>
        <w:t xml:space="preserve">The constituent elements of that benefit </w:t>
      </w:r>
      <w:r w:rsidR="00E968E7" w:rsidRPr="00CD1D16">
        <w:rPr>
          <w:sz w:val="24"/>
          <w:szCs w:val="24"/>
        </w:rPr>
        <w:t>per participant are</w:t>
      </w:r>
      <w:r w:rsidR="00D00360" w:rsidRPr="00CD1D16">
        <w:rPr>
          <w:sz w:val="24"/>
          <w:szCs w:val="24"/>
        </w:rPr>
        <w:t>:</w:t>
      </w:r>
    </w:p>
    <w:p w14:paraId="15137303" w14:textId="77777777" w:rsidR="00D80FDA" w:rsidRPr="00CD1D16" w:rsidRDefault="007E3B5D" w:rsidP="00B23E3C">
      <w:pPr>
        <w:pStyle w:val="Bulletlist"/>
        <w:numPr>
          <w:ilvl w:val="0"/>
          <w:numId w:val="0"/>
        </w:numPr>
        <w:rPr>
          <w:sz w:val="24"/>
          <w:szCs w:val="24"/>
        </w:rPr>
      </w:pPr>
      <w:r w:rsidRPr="00CD1D16">
        <w:rPr>
          <w:sz w:val="24"/>
          <w:szCs w:val="24"/>
        </w:rPr>
        <w:t>Long-term social</w:t>
      </w:r>
      <w:r w:rsidR="00D82A29" w:rsidRPr="00CD1D16">
        <w:rPr>
          <w:sz w:val="24"/>
          <w:szCs w:val="24"/>
        </w:rPr>
        <w:t xml:space="preserve">/economic </w:t>
      </w:r>
      <w:r w:rsidRPr="00CD1D16">
        <w:rPr>
          <w:sz w:val="24"/>
          <w:szCs w:val="24"/>
        </w:rPr>
        <w:t xml:space="preserve">outcomes: </w:t>
      </w:r>
    </w:p>
    <w:p w14:paraId="26300180" w14:textId="77777777" w:rsidR="00C63D57" w:rsidRPr="00C63D57" w:rsidRDefault="00C63D57" w:rsidP="00C63D57">
      <w:pPr>
        <w:pStyle w:val="Bulletlist"/>
        <w:ind w:left="450"/>
        <w:rPr>
          <w:sz w:val="24"/>
          <w:szCs w:val="24"/>
        </w:rPr>
      </w:pPr>
      <w:r w:rsidRPr="00CD1D16">
        <w:rPr>
          <w:b/>
          <w:sz w:val="24"/>
          <w:szCs w:val="24"/>
        </w:rPr>
        <w:t>$4,900 in additional income for carers</w:t>
      </w:r>
      <w:r w:rsidRPr="00CD1D16">
        <w:rPr>
          <w:sz w:val="24"/>
          <w:szCs w:val="24"/>
        </w:rPr>
        <w:t xml:space="preserve"> from increasing work hours</w:t>
      </w:r>
    </w:p>
    <w:p w14:paraId="1AB642F3" w14:textId="77777777" w:rsidR="0036421F" w:rsidRPr="00CD1D16" w:rsidRDefault="0036421F" w:rsidP="00B23E3C">
      <w:pPr>
        <w:pStyle w:val="Bulletlist"/>
        <w:ind w:left="450"/>
        <w:rPr>
          <w:sz w:val="24"/>
          <w:szCs w:val="24"/>
        </w:rPr>
      </w:pPr>
      <w:r w:rsidRPr="00CD1D16">
        <w:rPr>
          <w:b/>
          <w:sz w:val="24"/>
          <w:szCs w:val="24"/>
        </w:rPr>
        <w:t>$</w:t>
      </w:r>
      <w:r w:rsidR="005907A0" w:rsidRPr="00CD1D16">
        <w:rPr>
          <w:b/>
          <w:sz w:val="24"/>
          <w:szCs w:val="24"/>
        </w:rPr>
        <w:t>1</w:t>
      </w:r>
      <w:r w:rsidR="008F7782" w:rsidRPr="00CD1D16">
        <w:rPr>
          <w:b/>
          <w:sz w:val="24"/>
          <w:szCs w:val="24"/>
        </w:rPr>
        <w:t>1</w:t>
      </w:r>
      <w:r w:rsidR="00F078A5" w:rsidRPr="00CD1D16">
        <w:rPr>
          <w:b/>
          <w:sz w:val="24"/>
          <w:szCs w:val="24"/>
        </w:rPr>
        <w:t>,</w:t>
      </w:r>
      <w:r w:rsidR="008F7782" w:rsidRPr="00CD1D16">
        <w:rPr>
          <w:b/>
          <w:sz w:val="24"/>
          <w:szCs w:val="24"/>
        </w:rPr>
        <w:t>3</w:t>
      </w:r>
      <w:r w:rsidR="00F078A5" w:rsidRPr="00CD1D16">
        <w:rPr>
          <w:b/>
          <w:sz w:val="24"/>
          <w:szCs w:val="24"/>
        </w:rPr>
        <w:t>00</w:t>
      </w:r>
      <w:r w:rsidRPr="00CD1D16">
        <w:rPr>
          <w:b/>
          <w:sz w:val="24"/>
          <w:szCs w:val="24"/>
        </w:rPr>
        <w:t xml:space="preserve"> in increased income for </w:t>
      </w:r>
      <w:r w:rsidR="009716A8" w:rsidRPr="00CD1D16">
        <w:rPr>
          <w:b/>
          <w:sz w:val="24"/>
          <w:szCs w:val="24"/>
        </w:rPr>
        <w:t>people with disability</w:t>
      </w:r>
      <w:r w:rsidRPr="00CD1D16">
        <w:rPr>
          <w:b/>
          <w:sz w:val="24"/>
          <w:szCs w:val="24"/>
        </w:rPr>
        <w:t xml:space="preserve"> </w:t>
      </w:r>
      <w:r w:rsidRPr="00CD1D16">
        <w:rPr>
          <w:sz w:val="24"/>
          <w:szCs w:val="24"/>
        </w:rPr>
        <w:t xml:space="preserve">as a result of being more likely to work, and more likely to work in open employment where wages are higher </w:t>
      </w:r>
    </w:p>
    <w:p w14:paraId="5D3327A3" w14:textId="77777777" w:rsidR="00D80FDA" w:rsidRPr="00CD1D16" w:rsidRDefault="007E3B5D" w:rsidP="00C63D57">
      <w:pPr>
        <w:pStyle w:val="Bulletlist"/>
        <w:numPr>
          <w:ilvl w:val="0"/>
          <w:numId w:val="0"/>
        </w:numPr>
        <w:rPr>
          <w:sz w:val="24"/>
          <w:szCs w:val="24"/>
        </w:rPr>
      </w:pPr>
      <w:r w:rsidRPr="00CD1D16">
        <w:rPr>
          <w:sz w:val="24"/>
          <w:szCs w:val="24"/>
        </w:rPr>
        <w:t>Long-term fiscal outcomes</w:t>
      </w:r>
    </w:p>
    <w:p w14:paraId="0E847D5F" w14:textId="77777777" w:rsidR="00E968E7" w:rsidRPr="00CD1D16" w:rsidRDefault="00E968E7" w:rsidP="00B23E3C">
      <w:pPr>
        <w:pStyle w:val="Bulletlist"/>
        <w:ind w:left="450"/>
        <w:rPr>
          <w:sz w:val="24"/>
          <w:szCs w:val="24"/>
        </w:rPr>
      </w:pPr>
      <w:r w:rsidRPr="00CD1D16">
        <w:rPr>
          <w:b/>
          <w:sz w:val="24"/>
          <w:szCs w:val="24"/>
        </w:rPr>
        <w:t>$</w:t>
      </w:r>
      <w:r w:rsidR="00DA261F" w:rsidRPr="00CD1D16">
        <w:rPr>
          <w:b/>
          <w:sz w:val="24"/>
          <w:szCs w:val="24"/>
        </w:rPr>
        <w:t>4</w:t>
      </w:r>
      <w:r w:rsidR="00641753" w:rsidRPr="00CD1D16">
        <w:rPr>
          <w:b/>
          <w:sz w:val="24"/>
          <w:szCs w:val="24"/>
        </w:rPr>
        <w:t>,</w:t>
      </w:r>
      <w:r w:rsidR="00C63D57">
        <w:rPr>
          <w:b/>
          <w:sz w:val="24"/>
          <w:szCs w:val="24"/>
        </w:rPr>
        <w:t>2</w:t>
      </w:r>
      <w:r w:rsidR="00377663" w:rsidRPr="00CD1D16">
        <w:rPr>
          <w:b/>
          <w:sz w:val="24"/>
          <w:szCs w:val="24"/>
        </w:rPr>
        <w:t xml:space="preserve">00 reduction in NDIS expenditure </w:t>
      </w:r>
      <w:r w:rsidR="00377663" w:rsidRPr="00CD1D16">
        <w:rPr>
          <w:sz w:val="24"/>
          <w:szCs w:val="24"/>
        </w:rPr>
        <w:t xml:space="preserve">on community social supports as a result of participants meeting more of their social needs through </w:t>
      </w:r>
      <w:r w:rsidR="00D80FDA" w:rsidRPr="00CD1D16">
        <w:rPr>
          <w:sz w:val="24"/>
          <w:szCs w:val="24"/>
        </w:rPr>
        <w:t>work and study</w:t>
      </w:r>
    </w:p>
    <w:p w14:paraId="0BCA613C" w14:textId="77777777" w:rsidR="00D80FDA" w:rsidRPr="00CD1D16" w:rsidRDefault="00D80FDA" w:rsidP="00B23E3C">
      <w:pPr>
        <w:pStyle w:val="Bulletlist"/>
        <w:ind w:left="450"/>
        <w:rPr>
          <w:sz w:val="24"/>
          <w:szCs w:val="24"/>
        </w:rPr>
      </w:pPr>
      <w:r w:rsidRPr="00CD1D16">
        <w:rPr>
          <w:b/>
          <w:sz w:val="24"/>
          <w:szCs w:val="24"/>
        </w:rPr>
        <w:t>$</w:t>
      </w:r>
      <w:r w:rsidR="0084083B" w:rsidRPr="00CD1D16">
        <w:rPr>
          <w:b/>
          <w:sz w:val="24"/>
          <w:szCs w:val="24"/>
        </w:rPr>
        <w:t>1</w:t>
      </w:r>
      <w:r w:rsidR="00641753" w:rsidRPr="00CD1D16">
        <w:rPr>
          <w:b/>
          <w:sz w:val="24"/>
          <w:szCs w:val="24"/>
        </w:rPr>
        <w:t>,</w:t>
      </w:r>
      <w:r w:rsidR="0084083B" w:rsidRPr="00CD1D16">
        <w:rPr>
          <w:b/>
          <w:sz w:val="24"/>
          <w:szCs w:val="24"/>
        </w:rPr>
        <w:t>1</w:t>
      </w:r>
      <w:r w:rsidR="00AA65DC" w:rsidRPr="00CD1D16">
        <w:rPr>
          <w:b/>
          <w:sz w:val="24"/>
          <w:szCs w:val="24"/>
        </w:rPr>
        <w:t>00</w:t>
      </w:r>
      <w:r w:rsidRPr="00CD1D16">
        <w:rPr>
          <w:b/>
          <w:sz w:val="24"/>
          <w:szCs w:val="24"/>
        </w:rPr>
        <w:t xml:space="preserve"> i</w:t>
      </w:r>
      <w:r w:rsidR="007E33B7" w:rsidRPr="00CD1D16">
        <w:rPr>
          <w:b/>
          <w:sz w:val="24"/>
          <w:szCs w:val="24"/>
        </w:rPr>
        <w:t>ncrease in Disability Employment S</w:t>
      </w:r>
      <w:r w:rsidR="005C1271" w:rsidRPr="00CD1D16">
        <w:rPr>
          <w:b/>
          <w:sz w:val="24"/>
          <w:szCs w:val="24"/>
        </w:rPr>
        <w:t>ervices (DES)</w:t>
      </w:r>
      <w:r w:rsidR="007E33B7" w:rsidRPr="00CD1D16">
        <w:rPr>
          <w:b/>
          <w:sz w:val="24"/>
          <w:szCs w:val="24"/>
        </w:rPr>
        <w:t xml:space="preserve"> </w:t>
      </w:r>
      <w:r w:rsidR="007E33B7" w:rsidRPr="00CD1D16">
        <w:rPr>
          <w:sz w:val="24"/>
          <w:szCs w:val="24"/>
        </w:rPr>
        <w:t>as a result of</w:t>
      </w:r>
      <w:r w:rsidR="00B71AB9" w:rsidRPr="00CD1D16">
        <w:rPr>
          <w:sz w:val="24"/>
          <w:szCs w:val="24"/>
        </w:rPr>
        <w:t xml:space="preserve"> participants being more likely to participate in the workforce</w:t>
      </w:r>
      <w:r w:rsidR="0084083B" w:rsidRPr="00CD1D16">
        <w:rPr>
          <w:sz w:val="24"/>
          <w:szCs w:val="24"/>
        </w:rPr>
        <w:t xml:space="preserve"> and therefore </w:t>
      </w:r>
      <w:r w:rsidR="006A779B" w:rsidRPr="00CD1D16">
        <w:rPr>
          <w:sz w:val="24"/>
          <w:szCs w:val="24"/>
        </w:rPr>
        <w:t>more likely to need support to find and keep a job</w:t>
      </w:r>
    </w:p>
    <w:p w14:paraId="6E00E55B" w14:textId="77777777" w:rsidR="00B71AB9" w:rsidRPr="00CD1D16" w:rsidRDefault="00B71AB9" w:rsidP="00D00360">
      <w:pPr>
        <w:pStyle w:val="Bulletlist"/>
        <w:rPr>
          <w:sz w:val="24"/>
          <w:szCs w:val="24"/>
        </w:rPr>
      </w:pPr>
      <w:r w:rsidRPr="00CD1D16">
        <w:rPr>
          <w:b/>
          <w:sz w:val="24"/>
          <w:szCs w:val="24"/>
        </w:rPr>
        <w:lastRenderedPageBreak/>
        <w:t>$</w:t>
      </w:r>
      <w:r w:rsidR="000C0E67" w:rsidRPr="00CD1D16">
        <w:rPr>
          <w:b/>
          <w:sz w:val="24"/>
          <w:szCs w:val="24"/>
        </w:rPr>
        <w:t>2,8</w:t>
      </w:r>
      <w:r w:rsidR="00561266" w:rsidRPr="00CD1D16">
        <w:rPr>
          <w:b/>
          <w:sz w:val="24"/>
          <w:szCs w:val="24"/>
        </w:rPr>
        <w:t xml:space="preserve">00 </w:t>
      </w:r>
      <w:r w:rsidRPr="00CD1D16">
        <w:rPr>
          <w:b/>
          <w:sz w:val="24"/>
          <w:szCs w:val="24"/>
        </w:rPr>
        <w:t xml:space="preserve">reduction in </w:t>
      </w:r>
      <w:r w:rsidR="00D90F83" w:rsidRPr="00CD1D16">
        <w:rPr>
          <w:b/>
          <w:sz w:val="24"/>
          <w:szCs w:val="24"/>
        </w:rPr>
        <w:t xml:space="preserve">income support payments </w:t>
      </w:r>
      <w:r w:rsidR="00D90F83" w:rsidRPr="00CD1D16">
        <w:rPr>
          <w:sz w:val="24"/>
          <w:szCs w:val="24"/>
        </w:rPr>
        <w:t xml:space="preserve">as a result of reductions in disability support payments to participants who </w:t>
      </w:r>
      <w:r w:rsidR="001E63A3" w:rsidRPr="00CD1D16">
        <w:rPr>
          <w:sz w:val="24"/>
          <w:szCs w:val="24"/>
        </w:rPr>
        <w:t xml:space="preserve">earn more </w:t>
      </w:r>
      <w:r w:rsidR="00B4115D" w:rsidRPr="00CD1D16">
        <w:rPr>
          <w:sz w:val="24"/>
          <w:szCs w:val="24"/>
        </w:rPr>
        <w:t>(</w:t>
      </w:r>
      <w:r w:rsidR="001E63A3" w:rsidRPr="00CD1D16">
        <w:rPr>
          <w:sz w:val="24"/>
          <w:szCs w:val="24"/>
        </w:rPr>
        <w:t>assum</w:t>
      </w:r>
      <w:r w:rsidR="00B4115D" w:rsidRPr="00CD1D16">
        <w:rPr>
          <w:sz w:val="24"/>
          <w:szCs w:val="24"/>
        </w:rPr>
        <w:t>ing</w:t>
      </w:r>
      <w:r w:rsidR="001E63A3" w:rsidRPr="00CD1D16">
        <w:rPr>
          <w:sz w:val="24"/>
          <w:szCs w:val="24"/>
        </w:rPr>
        <w:t xml:space="preserve"> no change to carer payments</w:t>
      </w:r>
      <w:r w:rsidR="004217EC" w:rsidRPr="00CD1D16">
        <w:rPr>
          <w:sz w:val="24"/>
          <w:szCs w:val="24"/>
        </w:rPr>
        <w:t>)</w:t>
      </w:r>
      <w:r w:rsidR="001E63A3" w:rsidRPr="00CD1D16">
        <w:rPr>
          <w:sz w:val="24"/>
          <w:szCs w:val="24"/>
        </w:rPr>
        <w:t xml:space="preserve"> </w:t>
      </w:r>
    </w:p>
    <w:p w14:paraId="336BB47E" w14:textId="77777777" w:rsidR="00585846" w:rsidRPr="00CD1D16" w:rsidRDefault="00585846" w:rsidP="00D00360">
      <w:pPr>
        <w:pStyle w:val="Bulletlist"/>
        <w:rPr>
          <w:sz w:val="24"/>
          <w:szCs w:val="24"/>
        </w:rPr>
      </w:pPr>
      <w:r w:rsidRPr="00CD1D16">
        <w:rPr>
          <w:b/>
          <w:sz w:val="24"/>
          <w:szCs w:val="24"/>
        </w:rPr>
        <w:t>$</w:t>
      </w:r>
      <w:r w:rsidR="00797103" w:rsidRPr="00CD1D16">
        <w:rPr>
          <w:b/>
          <w:sz w:val="24"/>
          <w:szCs w:val="24"/>
        </w:rPr>
        <w:t>4,1</w:t>
      </w:r>
      <w:r w:rsidRPr="00CD1D16">
        <w:rPr>
          <w:b/>
          <w:sz w:val="24"/>
          <w:szCs w:val="24"/>
        </w:rPr>
        <w:t xml:space="preserve">00 reduction in Disability Employment Assistance </w:t>
      </w:r>
      <w:r w:rsidRPr="00CD1D16">
        <w:rPr>
          <w:sz w:val="24"/>
          <w:szCs w:val="24"/>
        </w:rPr>
        <w:t xml:space="preserve">grants as a result of </w:t>
      </w:r>
      <w:r w:rsidR="006D5E94" w:rsidRPr="00CD1D16">
        <w:rPr>
          <w:sz w:val="24"/>
          <w:szCs w:val="24"/>
        </w:rPr>
        <w:t>fewer participants working at an Australian Disability Enterprise</w:t>
      </w:r>
    </w:p>
    <w:p w14:paraId="45F816EC" w14:textId="77777777" w:rsidR="001E63A3" w:rsidRPr="00CD1D16" w:rsidRDefault="001E63A3" w:rsidP="00BD36B5">
      <w:pPr>
        <w:pStyle w:val="Bulletlist"/>
        <w:rPr>
          <w:bCs/>
          <w:sz w:val="24"/>
          <w:szCs w:val="24"/>
        </w:rPr>
      </w:pPr>
      <w:r w:rsidRPr="00CD1D16">
        <w:rPr>
          <w:b/>
          <w:sz w:val="24"/>
          <w:szCs w:val="24"/>
        </w:rPr>
        <w:t>$</w:t>
      </w:r>
      <w:r w:rsidR="00EB6458" w:rsidRPr="00CD1D16">
        <w:rPr>
          <w:b/>
          <w:sz w:val="24"/>
          <w:szCs w:val="24"/>
        </w:rPr>
        <w:t>9</w:t>
      </w:r>
      <w:r w:rsidR="00166473" w:rsidRPr="00CD1D16">
        <w:rPr>
          <w:b/>
          <w:sz w:val="24"/>
          <w:szCs w:val="24"/>
        </w:rPr>
        <w:t>0</w:t>
      </w:r>
      <w:r w:rsidRPr="00CD1D16">
        <w:rPr>
          <w:b/>
          <w:sz w:val="24"/>
          <w:szCs w:val="24"/>
        </w:rPr>
        <w:t>0 increase in tax revenue</w:t>
      </w:r>
      <w:r w:rsidR="006D5E94" w:rsidRPr="00CD1D16">
        <w:rPr>
          <w:b/>
          <w:sz w:val="24"/>
          <w:szCs w:val="24"/>
        </w:rPr>
        <w:t xml:space="preserve"> </w:t>
      </w:r>
      <w:r w:rsidR="006D5E94" w:rsidRPr="00CD1D16">
        <w:rPr>
          <w:sz w:val="24"/>
          <w:szCs w:val="24"/>
        </w:rPr>
        <w:t xml:space="preserve">as a result of carers increasing work and earnings </w:t>
      </w:r>
    </w:p>
    <w:p w14:paraId="59942AB5" w14:textId="77777777" w:rsidR="00953FA4" w:rsidRPr="00CD1D16" w:rsidRDefault="00953FA4" w:rsidP="00953FA4">
      <w:pPr>
        <w:pStyle w:val="Bulletlist"/>
        <w:numPr>
          <w:ilvl w:val="0"/>
          <w:numId w:val="0"/>
        </w:numPr>
        <w:rPr>
          <w:bCs/>
          <w:sz w:val="24"/>
          <w:szCs w:val="24"/>
        </w:rPr>
      </w:pPr>
      <w:r w:rsidRPr="00CD1D16">
        <w:rPr>
          <w:bCs/>
          <w:sz w:val="24"/>
          <w:szCs w:val="24"/>
        </w:rPr>
        <w:t xml:space="preserve">These impacts are summarised in the following </w:t>
      </w:r>
      <w:r w:rsidR="00DF706B" w:rsidRPr="00CD1D16">
        <w:rPr>
          <w:bCs/>
          <w:sz w:val="24"/>
          <w:szCs w:val="24"/>
        </w:rPr>
        <w:t>diagram:</w:t>
      </w:r>
    </w:p>
    <w:p w14:paraId="24374CD4" w14:textId="77777777" w:rsidR="00DF706B" w:rsidRDefault="00703CC9" w:rsidP="00DF706B">
      <w:pPr>
        <w:pStyle w:val="Bulletlist"/>
        <w:keepNext/>
        <w:numPr>
          <w:ilvl w:val="0"/>
          <w:numId w:val="0"/>
        </w:numPr>
      </w:pPr>
      <w:r>
        <w:rPr>
          <w:noProof/>
          <w:lang w:eastAsia="en-AU"/>
        </w:rPr>
        <w:drawing>
          <wp:inline distT="0" distB="0" distL="0" distR="0" wp14:anchorId="5EDE14A2" wp14:editId="08CA7FBE">
            <wp:extent cx="5778500" cy="2788940"/>
            <wp:effectExtent l="0" t="0" r="0" b="0"/>
            <wp:docPr id="9" name="Picture 9" descr="3. increased income for carers $4,900. 4. increased income for participants $11,300. 6. reduction in NDIS costs $4,200. 7. increase in DES costs -$1,100. 8. reducation in DSP and youth allowance $2,800. 9. tax revenue from carers $900. 10. Reduction in disability employment assistance costs $4,100. total $27,100. ticket to work cost per participant $8,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731" cy="2795326"/>
                    </a:xfrm>
                    <a:prstGeom prst="rect">
                      <a:avLst/>
                    </a:prstGeom>
                    <a:noFill/>
                  </pic:spPr>
                </pic:pic>
              </a:graphicData>
            </a:graphic>
          </wp:inline>
        </w:drawing>
      </w:r>
    </w:p>
    <w:p w14:paraId="788B2A24" w14:textId="77777777" w:rsidR="00953FA4" w:rsidRPr="00CD1D16" w:rsidRDefault="00DF706B" w:rsidP="00DF706B">
      <w:pPr>
        <w:pStyle w:val="Caption"/>
        <w:rPr>
          <w:bCs/>
          <w:i w:val="0"/>
          <w:color w:val="auto"/>
          <w:sz w:val="24"/>
          <w:szCs w:val="24"/>
        </w:rPr>
      </w:pPr>
      <w:r w:rsidRPr="00CD1D16">
        <w:rPr>
          <w:i w:val="0"/>
          <w:color w:val="auto"/>
          <w:sz w:val="24"/>
          <w:szCs w:val="24"/>
        </w:rPr>
        <w:t xml:space="preserve">Figure </w:t>
      </w:r>
      <w:r w:rsidR="00A37DAD" w:rsidRPr="00CD1D16">
        <w:rPr>
          <w:i w:val="0"/>
          <w:color w:val="auto"/>
          <w:sz w:val="24"/>
          <w:szCs w:val="24"/>
        </w:rPr>
        <w:fldChar w:fldCharType="begin"/>
      </w:r>
      <w:r w:rsidR="00A37DAD" w:rsidRPr="00CD1D16">
        <w:rPr>
          <w:i w:val="0"/>
          <w:color w:val="auto"/>
          <w:sz w:val="24"/>
          <w:szCs w:val="24"/>
        </w:rPr>
        <w:instrText xml:space="preserve"> SEQ Figure \* ARABIC </w:instrText>
      </w:r>
      <w:r w:rsidR="00A37DAD" w:rsidRPr="00CD1D16">
        <w:rPr>
          <w:i w:val="0"/>
          <w:color w:val="auto"/>
          <w:sz w:val="24"/>
          <w:szCs w:val="24"/>
        </w:rPr>
        <w:fldChar w:fldCharType="separate"/>
      </w:r>
      <w:r w:rsidR="004912C4" w:rsidRPr="00CD1D16">
        <w:rPr>
          <w:i w:val="0"/>
          <w:noProof/>
          <w:color w:val="auto"/>
          <w:sz w:val="24"/>
          <w:szCs w:val="24"/>
        </w:rPr>
        <w:t>7</w:t>
      </w:r>
      <w:r w:rsidR="00A37DAD" w:rsidRPr="00CD1D16">
        <w:rPr>
          <w:i w:val="0"/>
          <w:noProof/>
          <w:color w:val="auto"/>
          <w:sz w:val="24"/>
          <w:szCs w:val="24"/>
        </w:rPr>
        <w:fldChar w:fldCharType="end"/>
      </w:r>
      <w:r w:rsidRPr="00CD1D16">
        <w:rPr>
          <w:i w:val="0"/>
          <w:color w:val="auto"/>
          <w:sz w:val="24"/>
          <w:szCs w:val="24"/>
        </w:rPr>
        <w:t>: elements of social and fiscal benefits</w:t>
      </w:r>
    </w:p>
    <w:p w14:paraId="0DDCB213" w14:textId="77777777" w:rsidR="00B31867" w:rsidRPr="00CD1D16" w:rsidRDefault="00B31867" w:rsidP="003530B2">
      <w:pPr>
        <w:pStyle w:val="NoSpacing"/>
        <w:rPr>
          <w:b/>
          <w:sz w:val="28"/>
          <w:szCs w:val="28"/>
        </w:rPr>
      </w:pPr>
      <w:r w:rsidRPr="00CD1D16">
        <w:rPr>
          <w:b/>
          <w:sz w:val="28"/>
          <w:szCs w:val="28"/>
        </w:rPr>
        <w:t>Comparison with other studies</w:t>
      </w:r>
    </w:p>
    <w:p w14:paraId="66A83447" w14:textId="77777777" w:rsidR="004D2C1F" w:rsidRPr="00CD1D16" w:rsidRDefault="002705B2" w:rsidP="003530B2">
      <w:pPr>
        <w:pStyle w:val="NoSpacing"/>
        <w:rPr>
          <w:sz w:val="24"/>
          <w:szCs w:val="24"/>
        </w:rPr>
      </w:pPr>
      <w:r w:rsidRPr="00CD1D16">
        <w:rPr>
          <w:sz w:val="24"/>
          <w:szCs w:val="24"/>
        </w:rPr>
        <w:t>T</w:t>
      </w:r>
      <w:r w:rsidR="006B14B8" w:rsidRPr="00CD1D16">
        <w:rPr>
          <w:sz w:val="24"/>
          <w:szCs w:val="24"/>
        </w:rPr>
        <w:t>o test whether th</w:t>
      </w:r>
      <w:r w:rsidR="00851990" w:rsidRPr="00CD1D16">
        <w:rPr>
          <w:sz w:val="24"/>
          <w:szCs w:val="24"/>
        </w:rPr>
        <w:t>is is a</w:t>
      </w:r>
      <w:r w:rsidR="006B14B8" w:rsidRPr="00CD1D16">
        <w:rPr>
          <w:sz w:val="24"/>
          <w:szCs w:val="24"/>
        </w:rPr>
        <w:t xml:space="preserve"> reasonable estimate of the </w:t>
      </w:r>
      <w:r w:rsidR="00F507A2" w:rsidRPr="00CD1D16">
        <w:rPr>
          <w:sz w:val="24"/>
          <w:szCs w:val="24"/>
        </w:rPr>
        <w:t>impact of</w:t>
      </w:r>
      <w:r w:rsidR="00801AE4" w:rsidRPr="00CD1D16">
        <w:rPr>
          <w:sz w:val="24"/>
          <w:szCs w:val="24"/>
        </w:rPr>
        <w:t xml:space="preserve"> Ticket to Work</w:t>
      </w:r>
      <w:r w:rsidR="002B664C" w:rsidRPr="00CD1D16">
        <w:rPr>
          <w:sz w:val="24"/>
          <w:szCs w:val="24"/>
        </w:rPr>
        <w:t xml:space="preserve"> model</w:t>
      </w:r>
      <w:r w:rsidR="006B14B8" w:rsidRPr="00CD1D16">
        <w:rPr>
          <w:sz w:val="24"/>
          <w:szCs w:val="24"/>
        </w:rPr>
        <w:t xml:space="preserve">, </w:t>
      </w:r>
      <w:r w:rsidR="00C63D57">
        <w:rPr>
          <w:sz w:val="24"/>
          <w:szCs w:val="24"/>
        </w:rPr>
        <w:t>is outlined in</w:t>
      </w:r>
      <w:r w:rsidR="006B14B8" w:rsidRPr="00CD1D16">
        <w:rPr>
          <w:sz w:val="24"/>
          <w:szCs w:val="24"/>
        </w:rPr>
        <w:t xml:space="preserve"> a </w:t>
      </w:r>
      <w:r w:rsidR="008F5BF3" w:rsidRPr="00CD1D16">
        <w:rPr>
          <w:sz w:val="24"/>
          <w:szCs w:val="24"/>
        </w:rPr>
        <w:t xml:space="preserve">summary of </w:t>
      </w:r>
      <w:r w:rsidR="00841BFC" w:rsidRPr="00CD1D16">
        <w:rPr>
          <w:sz w:val="24"/>
          <w:szCs w:val="24"/>
        </w:rPr>
        <w:t xml:space="preserve">work done by other </w:t>
      </w:r>
      <w:r w:rsidR="00CF43D0" w:rsidRPr="00CD1D16">
        <w:rPr>
          <w:sz w:val="24"/>
          <w:szCs w:val="24"/>
        </w:rPr>
        <w:t>researchers</w:t>
      </w:r>
      <w:r w:rsidR="00841BFC" w:rsidRPr="00CD1D16">
        <w:rPr>
          <w:sz w:val="24"/>
          <w:szCs w:val="24"/>
        </w:rPr>
        <w:t xml:space="preserve"> to calculate </w:t>
      </w:r>
      <w:r w:rsidR="008F5BF3" w:rsidRPr="00CD1D16">
        <w:rPr>
          <w:sz w:val="24"/>
          <w:szCs w:val="24"/>
        </w:rPr>
        <w:t xml:space="preserve">the </w:t>
      </w:r>
      <w:r w:rsidR="00CE04F4" w:rsidRPr="00CD1D16">
        <w:rPr>
          <w:sz w:val="24"/>
          <w:szCs w:val="24"/>
        </w:rPr>
        <w:t>economic value of increasing employment amongst people with disability</w:t>
      </w:r>
      <w:r w:rsidR="00CF43D0" w:rsidRPr="00CD1D16">
        <w:rPr>
          <w:sz w:val="24"/>
          <w:szCs w:val="24"/>
        </w:rPr>
        <w:t xml:space="preserve"> in Australia</w:t>
      </w:r>
      <w:r w:rsidR="00B40EC6" w:rsidRPr="00CD1D16">
        <w:rPr>
          <w:sz w:val="24"/>
          <w:szCs w:val="24"/>
        </w:rPr>
        <w:t xml:space="preserve">. </w:t>
      </w:r>
      <w:r w:rsidR="00EA0683" w:rsidRPr="00CD1D16">
        <w:rPr>
          <w:sz w:val="24"/>
          <w:szCs w:val="24"/>
        </w:rPr>
        <w:t>Th</w:t>
      </w:r>
      <w:r w:rsidR="00CB07D9" w:rsidRPr="00CD1D16">
        <w:rPr>
          <w:sz w:val="24"/>
          <w:szCs w:val="24"/>
        </w:rPr>
        <w:t xml:space="preserve">ese papers were prepared to examine the </w:t>
      </w:r>
      <w:r w:rsidR="001A7DA8" w:rsidRPr="00CD1D16">
        <w:rPr>
          <w:sz w:val="24"/>
          <w:szCs w:val="24"/>
        </w:rPr>
        <w:t xml:space="preserve">productivity </w:t>
      </w:r>
      <w:r w:rsidR="00CB07D9" w:rsidRPr="00CD1D16">
        <w:rPr>
          <w:sz w:val="24"/>
          <w:szCs w:val="24"/>
        </w:rPr>
        <w:t xml:space="preserve">impact </w:t>
      </w:r>
      <w:r w:rsidR="00AB315A" w:rsidRPr="00CD1D16">
        <w:rPr>
          <w:sz w:val="24"/>
          <w:szCs w:val="24"/>
        </w:rPr>
        <w:t xml:space="preserve">a broad package of </w:t>
      </w:r>
      <w:r w:rsidR="00CB07D9" w:rsidRPr="00CD1D16">
        <w:rPr>
          <w:sz w:val="24"/>
          <w:szCs w:val="24"/>
        </w:rPr>
        <w:t>NDIS reforms</w:t>
      </w:r>
      <w:r w:rsidR="00F507A2" w:rsidRPr="00CD1D16">
        <w:rPr>
          <w:sz w:val="24"/>
          <w:szCs w:val="24"/>
        </w:rPr>
        <w:t xml:space="preserve"> </w:t>
      </w:r>
      <w:r w:rsidR="00374B5B" w:rsidRPr="00CD1D16">
        <w:rPr>
          <w:sz w:val="24"/>
          <w:szCs w:val="24"/>
        </w:rPr>
        <w:t>will have by enabling</w:t>
      </w:r>
      <w:r w:rsidR="00F507A2" w:rsidRPr="00CD1D16">
        <w:rPr>
          <w:sz w:val="24"/>
          <w:szCs w:val="24"/>
        </w:rPr>
        <w:t xml:space="preserve"> </w:t>
      </w:r>
      <w:r w:rsidR="00374B5B" w:rsidRPr="00CD1D16">
        <w:rPr>
          <w:sz w:val="24"/>
          <w:szCs w:val="24"/>
        </w:rPr>
        <w:t xml:space="preserve">people with disability and their carers to enter </w:t>
      </w:r>
      <w:r w:rsidR="00166473" w:rsidRPr="00CD1D16">
        <w:rPr>
          <w:sz w:val="24"/>
          <w:szCs w:val="24"/>
        </w:rPr>
        <w:t>work or</w:t>
      </w:r>
      <w:r w:rsidR="00374B5B" w:rsidRPr="00CD1D16">
        <w:rPr>
          <w:sz w:val="24"/>
          <w:szCs w:val="24"/>
        </w:rPr>
        <w:t xml:space="preserve"> increase their working hours. </w:t>
      </w:r>
    </w:p>
    <w:p w14:paraId="5DEA7C88" w14:textId="77777777" w:rsidR="004D2C1F" w:rsidRPr="00CD1D16" w:rsidRDefault="004D2C1F" w:rsidP="003530B2">
      <w:pPr>
        <w:pStyle w:val="NoSpacing"/>
        <w:rPr>
          <w:sz w:val="24"/>
          <w:szCs w:val="24"/>
        </w:rPr>
      </w:pPr>
      <w:r w:rsidRPr="00CD1D16">
        <w:rPr>
          <w:sz w:val="24"/>
          <w:szCs w:val="24"/>
        </w:rPr>
        <w:t>These models differ from ours in the following important ways:</w:t>
      </w:r>
    </w:p>
    <w:p w14:paraId="07B84719" w14:textId="77777777" w:rsidR="00DB6A98" w:rsidRPr="00CD1D16" w:rsidRDefault="004D2C1F" w:rsidP="00CD1D16">
      <w:pPr>
        <w:pStyle w:val="NoSpacing"/>
        <w:numPr>
          <w:ilvl w:val="0"/>
          <w:numId w:val="7"/>
        </w:numPr>
        <w:ind w:left="360"/>
        <w:rPr>
          <w:sz w:val="24"/>
          <w:szCs w:val="24"/>
        </w:rPr>
      </w:pPr>
      <w:r w:rsidRPr="00CD1D16">
        <w:rPr>
          <w:sz w:val="24"/>
          <w:szCs w:val="24"/>
        </w:rPr>
        <w:t>T</w:t>
      </w:r>
      <w:r w:rsidR="003D4419" w:rsidRPr="00CD1D16">
        <w:rPr>
          <w:sz w:val="24"/>
          <w:szCs w:val="24"/>
        </w:rPr>
        <w:t xml:space="preserve">hey </w:t>
      </w:r>
      <w:r w:rsidR="00B40EC6" w:rsidRPr="00CD1D16">
        <w:rPr>
          <w:sz w:val="24"/>
          <w:szCs w:val="24"/>
        </w:rPr>
        <w:t xml:space="preserve">calculate the </w:t>
      </w:r>
      <w:r w:rsidR="00260957" w:rsidRPr="00CD1D16">
        <w:rPr>
          <w:sz w:val="24"/>
          <w:szCs w:val="24"/>
        </w:rPr>
        <w:t>nation</w:t>
      </w:r>
      <w:r w:rsidR="00B40EC6" w:rsidRPr="00CD1D16">
        <w:rPr>
          <w:sz w:val="24"/>
          <w:szCs w:val="24"/>
        </w:rPr>
        <w:t xml:space="preserve">-wide effects of </w:t>
      </w:r>
      <w:r w:rsidR="005B2A8C" w:rsidRPr="00CD1D16">
        <w:rPr>
          <w:sz w:val="24"/>
          <w:szCs w:val="24"/>
        </w:rPr>
        <w:t xml:space="preserve">large </w:t>
      </w:r>
      <w:r w:rsidRPr="00CD1D16">
        <w:rPr>
          <w:sz w:val="24"/>
          <w:szCs w:val="24"/>
        </w:rPr>
        <w:t xml:space="preserve">policy </w:t>
      </w:r>
      <w:r w:rsidR="0019284E" w:rsidRPr="00CD1D16">
        <w:rPr>
          <w:sz w:val="24"/>
          <w:szCs w:val="24"/>
        </w:rPr>
        <w:t>changes</w:t>
      </w:r>
      <w:r w:rsidR="00FA50CD" w:rsidRPr="00CD1D16">
        <w:rPr>
          <w:sz w:val="24"/>
          <w:szCs w:val="24"/>
        </w:rPr>
        <w:t xml:space="preserve"> using </w:t>
      </w:r>
      <w:r w:rsidR="00260957" w:rsidRPr="00CD1D16">
        <w:rPr>
          <w:sz w:val="24"/>
          <w:szCs w:val="24"/>
        </w:rPr>
        <w:t>economic</w:t>
      </w:r>
      <w:r w:rsidR="00FA50CD" w:rsidRPr="00CD1D16">
        <w:rPr>
          <w:sz w:val="24"/>
          <w:szCs w:val="24"/>
        </w:rPr>
        <w:t xml:space="preserve"> models. </w:t>
      </w:r>
    </w:p>
    <w:p w14:paraId="438C4DD1" w14:textId="77777777" w:rsidR="00A629E3" w:rsidRPr="00CD1D16" w:rsidRDefault="00DB6A98" w:rsidP="00CD1D16">
      <w:pPr>
        <w:pStyle w:val="NoSpacing"/>
        <w:numPr>
          <w:ilvl w:val="0"/>
          <w:numId w:val="7"/>
        </w:numPr>
        <w:ind w:left="360"/>
        <w:rPr>
          <w:sz w:val="24"/>
          <w:szCs w:val="24"/>
        </w:rPr>
      </w:pPr>
      <w:r w:rsidRPr="00CD1D16">
        <w:rPr>
          <w:sz w:val="24"/>
          <w:szCs w:val="24"/>
        </w:rPr>
        <w:t>The methodology of some of these approaches is unclear, but m</w:t>
      </w:r>
      <w:r w:rsidR="00FA50CD" w:rsidRPr="00CD1D16">
        <w:rPr>
          <w:sz w:val="24"/>
          <w:szCs w:val="24"/>
        </w:rPr>
        <w:t>ost have used multipliers</w:t>
      </w:r>
      <w:r w:rsidR="003D4419" w:rsidRPr="00CD1D16">
        <w:rPr>
          <w:sz w:val="24"/>
          <w:szCs w:val="24"/>
        </w:rPr>
        <w:t>. Amongst other things, these multipliers</w:t>
      </w:r>
      <w:r w:rsidR="00CF43D0" w:rsidRPr="00CD1D16">
        <w:rPr>
          <w:sz w:val="24"/>
          <w:szCs w:val="24"/>
        </w:rPr>
        <w:t xml:space="preserve"> include </w:t>
      </w:r>
      <w:r w:rsidR="0019284E" w:rsidRPr="00CD1D16">
        <w:rPr>
          <w:sz w:val="24"/>
          <w:szCs w:val="24"/>
        </w:rPr>
        <w:t>the downstream jobs</w:t>
      </w:r>
      <w:r w:rsidR="003D4419" w:rsidRPr="00CD1D16">
        <w:rPr>
          <w:sz w:val="24"/>
          <w:szCs w:val="24"/>
        </w:rPr>
        <w:t xml:space="preserve"> and productivity</w:t>
      </w:r>
      <w:r w:rsidR="0019284E" w:rsidRPr="00CD1D16">
        <w:rPr>
          <w:sz w:val="24"/>
          <w:szCs w:val="24"/>
        </w:rPr>
        <w:t xml:space="preserve"> that </w:t>
      </w:r>
      <w:r w:rsidR="00FA50CD" w:rsidRPr="00CD1D16">
        <w:rPr>
          <w:sz w:val="24"/>
          <w:szCs w:val="24"/>
        </w:rPr>
        <w:t xml:space="preserve">are </w:t>
      </w:r>
      <w:r w:rsidR="0019284E" w:rsidRPr="00CD1D16">
        <w:rPr>
          <w:sz w:val="24"/>
          <w:szCs w:val="24"/>
        </w:rPr>
        <w:t xml:space="preserve">created as a result of </w:t>
      </w:r>
      <w:r w:rsidR="00825E4B" w:rsidRPr="00CD1D16">
        <w:rPr>
          <w:sz w:val="24"/>
          <w:szCs w:val="24"/>
        </w:rPr>
        <w:t xml:space="preserve">people being in employment. Following the advice of a </w:t>
      </w:r>
      <w:hyperlink r:id="rId27" w:history="1">
        <w:r w:rsidR="00825E4B" w:rsidRPr="00CD1D16">
          <w:rPr>
            <w:rStyle w:val="Hyperlink"/>
            <w:sz w:val="24"/>
            <w:szCs w:val="24"/>
          </w:rPr>
          <w:t>Productivity Commission paper</w:t>
        </w:r>
      </w:hyperlink>
      <w:r w:rsidR="00A67256" w:rsidRPr="00CD1D16">
        <w:rPr>
          <w:sz w:val="24"/>
          <w:szCs w:val="24"/>
        </w:rPr>
        <w:t xml:space="preserve"> </w:t>
      </w:r>
      <w:r w:rsidR="00825E4B" w:rsidRPr="00CD1D16">
        <w:rPr>
          <w:sz w:val="24"/>
          <w:szCs w:val="24"/>
        </w:rPr>
        <w:t xml:space="preserve">we have </w:t>
      </w:r>
      <w:r w:rsidR="00A83BD2" w:rsidRPr="00CD1D16">
        <w:rPr>
          <w:sz w:val="24"/>
          <w:szCs w:val="24"/>
        </w:rPr>
        <w:t xml:space="preserve">chosen </w:t>
      </w:r>
      <w:r w:rsidR="00825E4B" w:rsidRPr="00CD1D16">
        <w:rPr>
          <w:sz w:val="24"/>
          <w:szCs w:val="24"/>
        </w:rPr>
        <w:t xml:space="preserve">not </w:t>
      </w:r>
      <w:r w:rsidR="00A83BD2" w:rsidRPr="00CD1D16">
        <w:rPr>
          <w:sz w:val="24"/>
          <w:szCs w:val="24"/>
        </w:rPr>
        <w:t xml:space="preserve">to include </w:t>
      </w:r>
      <w:r w:rsidR="00A67256" w:rsidRPr="00CD1D16">
        <w:rPr>
          <w:sz w:val="24"/>
          <w:szCs w:val="24"/>
        </w:rPr>
        <w:t>multipliers in our calculations</w:t>
      </w:r>
      <w:r w:rsidR="00825E4B" w:rsidRPr="00CD1D16">
        <w:rPr>
          <w:sz w:val="24"/>
          <w:szCs w:val="24"/>
        </w:rPr>
        <w:t>.</w:t>
      </w:r>
    </w:p>
    <w:p w14:paraId="78922C8E" w14:textId="77777777" w:rsidR="00C212B1" w:rsidRPr="00CD1D16" w:rsidRDefault="00A905B9" w:rsidP="00CD1D16">
      <w:pPr>
        <w:pStyle w:val="NoSpacing"/>
        <w:numPr>
          <w:ilvl w:val="0"/>
          <w:numId w:val="7"/>
        </w:numPr>
        <w:ind w:left="540"/>
        <w:rPr>
          <w:sz w:val="24"/>
          <w:szCs w:val="24"/>
        </w:rPr>
      </w:pPr>
      <w:r w:rsidRPr="00CD1D16">
        <w:rPr>
          <w:sz w:val="24"/>
          <w:szCs w:val="24"/>
        </w:rPr>
        <w:lastRenderedPageBreak/>
        <w:t xml:space="preserve">With their </w:t>
      </w:r>
      <w:r w:rsidR="000F7A01" w:rsidRPr="00CD1D16">
        <w:rPr>
          <w:sz w:val="24"/>
          <w:szCs w:val="24"/>
        </w:rPr>
        <w:t>macro-policy</w:t>
      </w:r>
      <w:r w:rsidRPr="00CD1D16">
        <w:rPr>
          <w:sz w:val="24"/>
          <w:szCs w:val="24"/>
        </w:rPr>
        <w:t xml:space="preserve"> focus, these papers express changes </w:t>
      </w:r>
      <w:r w:rsidR="000F7A01" w:rsidRPr="00CD1D16">
        <w:rPr>
          <w:sz w:val="24"/>
          <w:szCs w:val="24"/>
        </w:rPr>
        <w:t xml:space="preserve">in terms of </w:t>
      </w:r>
      <w:r w:rsidR="00D97FF8" w:rsidRPr="00CD1D16">
        <w:rPr>
          <w:sz w:val="24"/>
          <w:szCs w:val="24"/>
        </w:rPr>
        <w:t xml:space="preserve">their impact on </w:t>
      </w:r>
      <w:r w:rsidR="000F7A01" w:rsidRPr="00CD1D16">
        <w:rPr>
          <w:sz w:val="24"/>
          <w:szCs w:val="24"/>
        </w:rPr>
        <w:t xml:space="preserve">GDP. Given the </w:t>
      </w:r>
      <w:r w:rsidR="007D0604" w:rsidRPr="00CD1D16">
        <w:rPr>
          <w:sz w:val="24"/>
          <w:szCs w:val="24"/>
        </w:rPr>
        <w:t xml:space="preserve">small </w:t>
      </w:r>
      <w:r w:rsidR="000F7A01" w:rsidRPr="00CD1D16">
        <w:rPr>
          <w:sz w:val="24"/>
          <w:szCs w:val="24"/>
        </w:rPr>
        <w:t xml:space="preserve">scale of Ticket to Work, </w:t>
      </w:r>
      <w:r w:rsidR="00215C48" w:rsidRPr="00CD1D16">
        <w:rPr>
          <w:sz w:val="24"/>
          <w:szCs w:val="24"/>
        </w:rPr>
        <w:t xml:space="preserve">we have recalculated these to an average GDP increase per additional </w:t>
      </w:r>
      <w:r w:rsidR="00D00EF7" w:rsidRPr="00CD1D16">
        <w:rPr>
          <w:sz w:val="24"/>
          <w:szCs w:val="24"/>
        </w:rPr>
        <w:t>full-time-equivalent (FTE) to</w:t>
      </w:r>
      <w:r w:rsidR="007D0604" w:rsidRPr="00CD1D16">
        <w:rPr>
          <w:sz w:val="24"/>
          <w:szCs w:val="24"/>
        </w:rPr>
        <w:t xml:space="preserve"> </w:t>
      </w:r>
      <w:r w:rsidR="00D97FF8" w:rsidRPr="00CD1D16">
        <w:rPr>
          <w:sz w:val="24"/>
          <w:szCs w:val="24"/>
        </w:rPr>
        <w:t xml:space="preserve">facilitate easier comparison. </w:t>
      </w:r>
    </w:p>
    <w:p w14:paraId="1AC4376D" w14:textId="77777777" w:rsidR="00906C84" w:rsidRPr="00CD1D16" w:rsidRDefault="00906C84" w:rsidP="00906C84">
      <w:pPr>
        <w:pStyle w:val="NoSpacing"/>
        <w:rPr>
          <w:b/>
          <w:sz w:val="28"/>
          <w:szCs w:val="28"/>
        </w:rPr>
      </w:pPr>
      <w:r w:rsidRPr="00CD1D16">
        <w:rPr>
          <w:b/>
          <w:sz w:val="28"/>
          <w:szCs w:val="28"/>
        </w:rPr>
        <w:t>Estimates of GDP impact of NDIS participants in Employment</w:t>
      </w:r>
    </w:p>
    <w:p w14:paraId="748F238A" w14:textId="77777777" w:rsidR="00906C84" w:rsidRPr="00CD1D16" w:rsidRDefault="00176E6A" w:rsidP="00906C84">
      <w:pPr>
        <w:pStyle w:val="NoSpacing"/>
        <w:rPr>
          <w:rStyle w:val="Hyperlink"/>
          <w:sz w:val="24"/>
          <w:szCs w:val="24"/>
        </w:rPr>
      </w:pPr>
      <w:hyperlink r:id="rId28" w:history="1">
        <w:r w:rsidR="00906C84" w:rsidRPr="00CD1D16">
          <w:rPr>
            <w:rStyle w:val="Hyperlink"/>
            <w:sz w:val="24"/>
            <w:szCs w:val="24"/>
          </w:rPr>
          <w:t>Productivity Commission (2011) at pp 960-963</w:t>
        </w:r>
      </w:hyperlink>
    </w:p>
    <w:p w14:paraId="32536842" w14:textId="77777777" w:rsidR="00906C84" w:rsidRPr="00E91EA2" w:rsidRDefault="00906C84" w:rsidP="00E91EA2">
      <w:pPr>
        <w:pStyle w:val="ListParagraph"/>
        <w:numPr>
          <w:ilvl w:val="0"/>
          <w:numId w:val="36"/>
        </w:numPr>
        <w:ind w:left="450"/>
        <w:rPr>
          <w:rFonts w:ascii="Arial" w:hAnsi="Arial" w:cs="Arial"/>
          <w:sz w:val="24"/>
          <w:szCs w:val="24"/>
        </w:rPr>
      </w:pPr>
      <w:r w:rsidRPr="00E91EA2">
        <w:rPr>
          <w:rFonts w:ascii="Arial" w:hAnsi="Arial" w:cs="Arial"/>
          <w:sz w:val="24"/>
          <w:szCs w:val="24"/>
        </w:rPr>
        <w:t xml:space="preserve">Increasing employment by 100,000 People with Disability by 2050 will increase GDP by about $8bn. </w:t>
      </w:r>
    </w:p>
    <w:p w14:paraId="44D38105" w14:textId="77777777" w:rsidR="00906C84" w:rsidRPr="00E91EA2" w:rsidRDefault="00906C84" w:rsidP="00E91EA2">
      <w:pPr>
        <w:pStyle w:val="ListParagraph"/>
        <w:numPr>
          <w:ilvl w:val="0"/>
          <w:numId w:val="36"/>
        </w:numPr>
        <w:ind w:left="450"/>
        <w:rPr>
          <w:rFonts w:ascii="Arial" w:hAnsi="Arial" w:cs="Arial"/>
          <w:sz w:val="24"/>
          <w:szCs w:val="24"/>
        </w:rPr>
      </w:pPr>
      <w:r w:rsidRPr="00E91EA2">
        <w:rPr>
          <w:rFonts w:ascii="Arial" w:hAnsi="Arial" w:cs="Arial"/>
          <w:sz w:val="24"/>
          <w:szCs w:val="24"/>
        </w:rPr>
        <w:t>$35,000 increase in annual GDP per person with disability FTE (2019 dollars (assuming a 2.8% inflation rate)</w:t>
      </w:r>
    </w:p>
    <w:p w14:paraId="01097CE1" w14:textId="77777777" w:rsidR="00906C84" w:rsidRPr="00CD1D16" w:rsidRDefault="00176E6A" w:rsidP="00906C84">
      <w:pPr>
        <w:pStyle w:val="NoSpacing"/>
        <w:rPr>
          <w:rStyle w:val="Hyperlink"/>
          <w:sz w:val="24"/>
          <w:szCs w:val="24"/>
        </w:rPr>
      </w:pPr>
      <w:hyperlink r:id="rId29" w:history="1">
        <w:r w:rsidR="00906C84" w:rsidRPr="00CD1D16">
          <w:rPr>
            <w:rStyle w:val="Hyperlink"/>
            <w:sz w:val="24"/>
            <w:szCs w:val="24"/>
          </w:rPr>
          <w:t>National Disability Insurance Agency (2018)</w:t>
        </w:r>
      </w:hyperlink>
    </w:p>
    <w:p w14:paraId="640871F8" w14:textId="77777777" w:rsidR="00906C84" w:rsidRPr="00E91EA2" w:rsidRDefault="00906C84" w:rsidP="00E91EA2">
      <w:pPr>
        <w:pStyle w:val="ListParagraph"/>
        <w:numPr>
          <w:ilvl w:val="0"/>
          <w:numId w:val="36"/>
        </w:numPr>
        <w:ind w:left="450"/>
        <w:rPr>
          <w:rFonts w:ascii="Arial" w:hAnsi="Arial" w:cs="Arial"/>
          <w:sz w:val="24"/>
          <w:szCs w:val="24"/>
        </w:rPr>
      </w:pPr>
      <w:r w:rsidRPr="00E91EA2">
        <w:rPr>
          <w:rFonts w:ascii="Arial" w:hAnsi="Arial" w:cs="Arial"/>
          <w:sz w:val="24"/>
          <w:szCs w:val="24"/>
        </w:rPr>
        <w:t>Increasing employment of people with disability and their carers by 117,000 by 2030 will increase GDP by $11.9bn</w:t>
      </w:r>
    </w:p>
    <w:p w14:paraId="330913B5" w14:textId="77777777" w:rsidR="00906C84" w:rsidRPr="00E91EA2" w:rsidRDefault="00906C84" w:rsidP="00E91EA2">
      <w:pPr>
        <w:pStyle w:val="ListParagraph"/>
        <w:numPr>
          <w:ilvl w:val="0"/>
          <w:numId w:val="36"/>
        </w:numPr>
        <w:ind w:left="450"/>
        <w:rPr>
          <w:rFonts w:ascii="Arial" w:hAnsi="Arial" w:cs="Arial"/>
          <w:sz w:val="24"/>
          <w:szCs w:val="24"/>
        </w:rPr>
      </w:pPr>
      <w:r w:rsidRPr="00E91EA2">
        <w:rPr>
          <w:rFonts w:ascii="Arial" w:hAnsi="Arial" w:cs="Arial"/>
          <w:sz w:val="24"/>
          <w:szCs w:val="24"/>
        </w:rPr>
        <w:t>$75,000 per carer or person with disability FTE (2019 dollars)</w:t>
      </w:r>
    </w:p>
    <w:p w14:paraId="7E45D92C" w14:textId="77777777" w:rsidR="002F0EDB" w:rsidRPr="00CD1D16" w:rsidRDefault="00176E6A" w:rsidP="002F0EDB">
      <w:pPr>
        <w:rPr>
          <w:rStyle w:val="Hyperlink"/>
          <w:sz w:val="24"/>
          <w:szCs w:val="24"/>
        </w:rPr>
      </w:pPr>
      <w:hyperlink r:id="rId30" w:history="1">
        <w:r w:rsidR="002F0EDB" w:rsidRPr="00CD1D16">
          <w:rPr>
            <w:rStyle w:val="Hyperlink"/>
            <w:sz w:val="24"/>
            <w:szCs w:val="24"/>
          </w:rPr>
          <w:t>Deloitte Access Economics (2011)</w:t>
        </w:r>
      </w:hyperlink>
    </w:p>
    <w:p w14:paraId="58A965B1" w14:textId="77777777" w:rsidR="002F0EDB" w:rsidRPr="00E91EA2" w:rsidRDefault="002F0EDB" w:rsidP="00E91EA2">
      <w:pPr>
        <w:pStyle w:val="ListParagraph"/>
        <w:numPr>
          <w:ilvl w:val="0"/>
          <w:numId w:val="36"/>
        </w:numPr>
        <w:ind w:left="450"/>
        <w:rPr>
          <w:rFonts w:ascii="Arial" w:hAnsi="Arial" w:cs="Arial"/>
          <w:sz w:val="24"/>
          <w:szCs w:val="24"/>
        </w:rPr>
      </w:pPr>
      <w:r w:rsidRPr="00E91EA2">
        <w:rPr>
          <w:rFonts w:ascii="Arial" w:hAnsi="Arial" w:cs="Arial"/>
          <w:sz w:val="24"/>
          <w:szCs w:val="24"/>
        </w:rPr>
        <w:t>GDP increase of $21.9b with an increase of 143,000 FTEs = $153k per additional FTE</w:t>
      </w:r>
    </w:p>
    <w:p w14:paraId="75AF291D" w14:textId="77777777" w:rsidR="002F0EDB" w:rsidRPr="00E91EA2" w:rsidRDefault="002F0EDB" w:rsidP="00E91EA2">
      <w:pPr>
        <w:pStyle w:val="ListParagraph"/>
        <w:numPr>
          <w:ilvl w:val="0"/>
          <w:numId w:val="36"/>
        </w:numPr>
        <w:ind w:left="450"/>
        <w:rPr>
          <w:rFonts w:ascii="Arial" w:hAnsi="Arial" w:cs="Arial"/>
          <w:sz w:val="24"/>
          <w:szCs w:val="24"/>
        </w:rPr>
      </w:pPr>
      <w:r w:rsidRPr="00E91EA2">
        <w:rPr>
          <w:rFonts w:ascii="Arial" w:hAnsi="Arial" w:cs="Arial"/>
          <w:sz w:val="24"/>
          <w:szCs w:val="24"/>
        </w:rPr>
        <w:t>$110,000 per person with disability FTE (2019 dollars)</w:t>
      </w:r>
    </w:p>
    <w:p w14:paraId="5BC93A5D" w14:textId="77777777" w:rsidR="002F0EDB" w:rsidRPr="00CD1D16" w:rsidRDefault="00176E6A" w:rsidP="002F0EDB">
      <w:pPr>
        <w:rPr>
          <w:rStyle w:val="Hyperlink"/>
          <w:sz w:val="24"/>
          <w:szCs w:val="24"/>
        </w:rPr>
      </w:pPr>
      <w:hyperlink r:id="rId31" w:history="1">
        <w:r w:rsidR="002F0EDB" w:rsidRPr="00CD1D16">
          <w:rPr>
            <w:rStyle w:val="Hyperlink"/>
            <w:sz w:val="24"/>
            <w:szCs w:val="24"/>
          </w:rPr>
          <w:t>NDS (2011)</w:t>
        </w:r>
      </w:hyperlink>
    </w:p>
    <w:p w14:paraId="51D0F34D" w14:textId="77777777" w:rsidR="002F0EDB" w:rsidRPr="00E91EA2" w:rsidRDefault="002F0EDB" w:rsidP="00E91EA2">
      <w:pPr>
        <w:pStyle w:val="ListParagraph"/>
        <w:numPr>
          <w:ilvl w:val="0"/>
          <w:numId w:val="36"/>
        </w:numPr>
        <w:ind w:left="450"/>
        <w:rPr>
          <w:rFonts w:ascii="Arial" w:hAnsi="Arial" w:cs="Arial"/>
          <w:sz w:val="24"/>
          <w:szCs w:val="24"/>
        </w:rPr>
      </w:pPr>
      <w:r w:rsidRPr="00E91EA2">
        <w:rPr>
          <w:rFonts w:ascii="Arial" w:hAnsi="Arial" w:cs="Arial"/>
          <w:sz w:val="24"/>
          <w:szCs w:val="24"/>
        </w:rPr>
        <w:t>$9.6bn from 35,000 new FTE jobs</w:t>
      </w:r>
    </w:p>
    <w:p w14:paraId="5812B1EE" w14:textId="77777777" w:rsidR="002F0EDB" w:rsidRPr="00E91EA2" w:rsidRDefault="002F0EDB" w:rsidP="00E91EA2">
      <w:pPr>
        <w:pStyle w:val="ListParagraph"/>
        <w:numPr>
          <w:ilvl w:val="0"/>
          <w:numId w:val="36"/>
        </w:numPr>
        <w:ind w:left="450"/>
        <w:rPr>
          <w:rFonts w:ascii="Arial" w:hAnsi="Arial" w:cs="Arial"/>
          <w:sz w:val="24"/>
          <w:szCs w:val="24"/>
        </w:rPr>
      </w:pPr>
      <w:r w:rsidRPr="00E91EA2">
        <w:rPr>
          <w:rFonts w:ascii="Arial" w:hAnsi="Arial" w:cs="Arial"/>
          <w:sz w:val="24"/>
          <w:szCs w:val="24"/>
        </w:rPr>
        <w:t>$274,000 per person with disability FTE (2011 dollars)</w:t>
      </w:r>
    </w:p>
    <w:p w14:paraId="6040D2F2" w14:textId="77777777" w:rsidR="002F0EDB" w:rsidRPr="00CD1D16" w:rsidRDefault="00176E6A" w:rsidP="002F0EDB">
      <w:pPr>
        <w:rPr>
          <w:rStyle w:val="Hyperlink"/>
          <w:sz w:val="24"/>
          <w:szCs w:val="24"/>
        </w:rPr>
      </w:pPr>
      <w:hyperlink r:id="rId32" w:history="1">
        <w:r w:rsidR="002F0EDB" w:rsidRPr="00CD1D16">
          <w:rPr>
            <w:rStyle w:val="Hyperlink"/>
            <w:sz w:val="24"/>
            <w:szCs w:val="24"/>
          </w:rPr>
          <w:t>CSU (2015)</w:t>
        </w:r>
      </w:hyperlink>
    </w:p>
    <w:p w14:paraId="31E985CD" w14:textId="77777777" w:rsidR="002F0EDB" w:rsidRPr="00E91EA2" w:rsidRDefault="002F0EDB" w:rsidP="00E91EA2">
      <w:pPr>
        <w:pStyle w:val="ListParagraph"/>
        <w:numPr>
          <w:ilvl w:val="0"/>
          <w:numId w:val="36"/>
        </w:numPr>
        <w:ind w:left="450"/>
        <w:rPr>
          <w:rFonts w:ascii="Arial" w:hAnsi="Arial" w:cs="Arial"/>
          <w:sz w:val="24"/>
          <w:szCs w:val="24"/>
        </w:rPr>
      </w:pPr>
      <w:r w:rsidRPr="00E91EA2">
        <w:rPr>
          <w:rFonts w:ascii="Arial" w:hAnsi="Arial" w:cs="Arial"/>
          <w:sz w:val="24"/>
          <w:szCs w:val="24"/>
        </w:rPr>
        <w:t>$7-11bn from 25,000 to 40,000 new people with disability FTE jobs $11bn from 34,000 new carer FTE jobs</w:t>
      </w:r>
    </w:p>
    <w:p w14:paraId="66BED4EC" w14:textId="77777777" w:rsidR="002F0EDB" w:rsidRPr="00E91EA2" w:rsidRDefault="002F0EDB" w:rsidP="00E91EA2">
      <w:pPr>
        <w:pStyle w:val="ListParagraph"/>
        <w:numPr>
          <w:ilvl w:val="0"/>
          <w:numId w:val="36"/>
        </w:numPr>
        <w:ind w:left="450"/>
        <w:rPr>
          <w:rFonts w:ascii="Arial" w:hAnsi="Arial" w:cs="Arial"/>
          <w:sz w:val="24"/>
          <w:szCs w:val="24"/>
        </w:rPr>
      </w:pPr>
      <w:r w:rsidRPr="00E91EA2">
        <w:rPr>
          <w:rFonts w:ascii="Arial" w:hAnsi="Arial" w:cs="Arial"/>
          <w:sz w:val="24"/>
          <w:szCs w:val="24"/>
        </w:rPr>
        <w:t>$280,000 per person with disability FTE. $324,000 per carer FTE (2015 dollars)</w:t>
      </w:r>
    </w:p>
    <w:p w14:paraId="41FB5E91" w14:textId="77777777" w:rsidR="00D36D1B" w:rsidRPr="00CD1D16" w:rsidRDefault="00860F32" w:rsidP="001A2644">
      <w:pPr>
        <w:pStyle w:val="NoSpacing"/>
        <w:rPr>
          <w:sz w:val="24"/>
          <w:szCs w:val="24"/>
        </w:rPr>
      </w:pPr>
      <w:r w:rsidRPr="00CD1D16">
        <w:rPr>
          <w:sz w:val="24"/>
          <w:szCs w:val="24"/>
        </w:rPr>
        <w:t xml:space="preserve">The numbers </w:t>
      </w:r>
      <w:r w:rsidR="00CB1907" w:rsidRPr="00CD1D16">
        <w:rPr>
          <w:sz w:val="24"/>
          <w:szCs w:val="24"/>
        </w:rPr>
        <w:t>above</w:t>
      </w:r>
      <w:r w:rsidRPr="00CD1D16">
        <w:rPr>
          <w:sz w:val="24"/>
          <w:szCs w:val="24"/>
        </w:rPr>
        <w:t xml:space="preserve"> are not directly comparable to the </w:t>
      </w:r>
      <w:r w:rsidR="00656251" w:rsidRPr="00CD1D16">
        <w:rPr>
          <w:sz w:val="24"/>
          <w:szCs w:val="24"/>
        </w:rPr>
        <w:t>impact calculated in this paper</w:t>
      </w:r>
      <w:r w:rsidR="00713CA5" w:rsidRPr="00CD1D16">
        <w:rPr>
          <w:sz w:val="24"/>
          <w:szCs w:val="24"/>
        </w:rPr>
        <w:t xml:space="preserve"> </w:t>
      </w:r>
      <w:r w:rsidR="00EE17E0" w:rsidRPr="00CD1D16">
        <w:rPr>
          <w:sz w:val="24"/>
          <w:szCs w:val="24"/>
        </w:rPr>
        <w:t xml:space="preserve">because those values </w:t>
      </w:r>
      <w:r w:rsidR="00713CA5" w:rsidRPr="00CD1D16">
        <w:rPr>
          <w:sz w:val="24"/>
          <w:szCs w:val="24"/>
        </w:rPr>
        <w:t xml:space="preserve">calculate the </w:t>
      </w:r>
      <w:r w:rsidR="007E2BE1" w:rsidRPr="00CD1D16">
        <w:rPr>
          <w:sz w:val="24"/>
          <w:szCs w:val="24"/>
        </w:rPr>
        <w:t>annual GDP impact per FTE employed</w:t>
      </w:r>
      <w:r w:rsidR="00EE17E0" w:rsidRPr="00CD1D16">
        <w:rPr>
          <w:sz w:val="24"/>
          <w:szCs w:val="24"/>
        </w:rPr>
        <w:t xml:space="preserve">, whereas </w:t>
      </w:r>
      <w:r w:rsidR="00713CA5" w:rsidRPr="00CD1D16">
        <w:rPr>
          <w:sz w:val="24"/>
          <w:szCs w:val="24"/>
        </w:rPr>
        <w:t>this paper calculates</w:t>
      </w:r>
      <w:r w:rsidR="00EE17E0" w:rsidRPr="00CD1D16">
        <w:rPr>
          <w:sz w:val="24"/>
          <w:szCs w:val="24"/>
        </w:rPr>
        <w:t xml:space="preserve"> the impact per </w:t>
      </w:r>
      <w:r w:rsidR="003F51FF" w:rsidRPr="00CD1D16">
        <w:rPr>
          <w:sz w:val="24"/>
          <w:szCs w:val="24"/>
        </w:rPr>
        <w:t xml:space="preserve">program participant over three years. However, they do indicate that our estimate of the impact of the program is likely </w:t>
      </w:r>
      <w:r w:rsidR="00713CA5" w:rsidRPr="00CD1D16">
        <w:rPr>
          <w:sz w:val="24"/>
          <w:szCs w:val="24"/>
        </w:rPr>
        <w:t xml:space="preserve">conservative. </w:t>
      </w:r>
      <w:r w:rsidR="00781E13" w:rsidRPr="00CD1D16">
        <w:rPr>
          <w:sz w:val="24"/>
          <w:szCs w:val="24"/>
        </w:rPr>
        <w:t xml:space="preserve"> </w:t>
      </w:r>
    </w:p>
    <w:p w14:paraId="6367ABAD" w14:textId="77777777" w:rsidR="00DC02F4" w:rsidRPr="00CD1D16" w:rsidRDefault="008F7EFC" w:rsidP="002F0EDB">
      <w:pPr>
        <w:rPr>
          <w:rFonts w:cs="Arial"/>
          <w:b/>
          <w:color w:val="002D62" w:themeColor="text2"/>
          <w:sz w:val="28"/>
          <w:szCs w:val="28"/>
        </w:rPr>
      </w:pPr>
      <w:r>
        <w:rPr>
          <w:b/>
          <w:color w:val="002D62" w:themeColor="text2"/>
        </w:rPr>
        <w:br w:type="page"/>
      </w:r>
      <w:r w:rsidR="00DC02F4" w:rsidRPr="00CD1D16">
        <w:rPr>
          <w:b/>
          <w:sz w:val="28"/>
          <w:szCs w:val="28"/>
        </w:rPr>
        <w:lastRenderedPageBreak/>
        <w:t>Sensitivity testing</w:t>
      </w:r>
    </w:p>
    <w:p w14:paraId="1B32053C" w14:textId="77777777" w:rsidR="002E5150" w:rsidRPr="00CD1D16" w:rsidRDefault="00E17D83" w:rsidP="002E5150">
      <w:pPr>
        <w:pStyle w:val="NoSpacing"/>
        <w:rPr>
          <w:sz w:val="24"/>
          <w:szCs w:val="24"/>
        </w:rPr>
      </w:pPr>
      <w:r w:rsidRPr="00CD1D16">
        <w:rPr>
          <w:sz w:val="24"/>
          <w:szCs w:val="24"/>
        </w:rPr>
        <w:t xml:space="preserve">The estimates of value provided in this report rest on a range of assumptions. </w:t>
      </w:r>
      <w:r w:rsidR="001552ED" w:rsidRPr="00CD1D16">
        <w:rPr>
          <w:sz w:val="24"/>
          <w:szCs w:val="24"/>
        </w:rPr>
        <w:t xml:space="preserve">Five sensitivity tests are set out below, with more detail on the calculation of these tests in the appendix. </w:t>
      </w:r>
      <w:r w:rsidR="002E5150" w:rsidRPr="00CD1D16">
        <w:rPr>
          <w:sz w:val="24"/>
          <w:szCs w:val="24"/>
        </w:rPr>
        <w:t xml:space="preserve"> </w:t>
      </w:r>
    </w:p>
    <w:p w14:paraId="68FF8C29" w14:textId="77777777" w:rsidR="002F0EDB" w:rsidRPr="00CD1D16" w:rsidRDefault="002F0EDB" w:rsidP="008D1153">
      <w:pPr>
        <w:ind w:right="2880"/>
        <w:rPr>
          <w:rFonts w:cs="Arial"/>
          <w:b/>
          <w:sz w:val="28"/>
          <w:szCs w:val="28"/>
        </w:rPr>
      </w:pPr>
      <w:r w:rsidRPr="00CD1D16">
        <w:rPr>
          <w:rFonts w:cs="Arial"/>
          <w:b/>
          <w:sz w:val="28"/>
          <w:szCs w:val="28"/>
        </w:rPr>
        <w:t>Sensitivity Test</w:t>
      </w:r>
    </w:p>
    <w:p w14:paraId="2EB0F808" w14:textId="77777777" w:rsidR="002F0EDB" w:rsidRPr="00CD1D16" w:rsidRDefault="00D91454">
      <w:pPr>
        <w:rPr>
          <w:rFonts w:cs="Arial"/>
          <w:b/>
          <w:sz w:val="28"/>
          <w:szCs w:val="28"/>
        </w:rPr>
      </w:pPr>
      <w:r w:rsidRPr="00CD1D16">
        <w:rPr>
          <w:rFonts w:cs="Arial"/>
          <w:b/>
          <w:sz w:val="28"/>
          <w:szCs w:val="28"/>
        </w:rPr>
        <w:t>Base case</w:t>
      </w:r>
      <w:r w:rsidR="009D1F32">
        <w:rPr>
          <w:rFonts w:cs="Arial"/>
          <w:b/>
          <w:sz w:val="28"/>
          <w:szCs w:val="28"/>
        </w:rPr>
        <w:t>- Valuation $27,100</w:t>
      </w:r>
    </w:p>
    <w:p w14:paraId="56281D67" w14:textId="77777777" w:rsidR="002F0EDB" w:rsidRPr="00CD1D16" w:rsidRDefault="002F0EDB" w:rsidP="00CD1D16">
      <w:pPr>
        <w:pStyle w:val="ListParagraph"/>
        <w:numPr>
          <w:ilvl w:val="0"/>
          <w:numId w:val="35"/>
        </w:numPr>
        <w:ind w:left="360"/>
        <w:rPr>
          <w:rFonts w:ascii="Arial" w:hAnsi="Arial" w:cs="Arial"/>
          <w:sz w:val="24"/>
          <w:szCs w:val="24"/>
        </w:rPr>
      </w:pPr>
      <w:r w:rsidRPr="00CD1D16">
        <w:rPr>
          <w:rFonts w:ascii="Arial" w:hAnsi="Arial" w:cs="Arial"/>
          <w:sz w:val="24"/>
          <w:szCs w:val="24"/>
        </w:rPr>
        <w:t>80% of participants have NDSI plan (from 56% in base case</w:t>
      </w:r>
      <w:r w:rsidR="00CB1907" w:rsidRPr="00CD1D16">
        <w:rPr>
          <w:rFonts w:ascii="Arial" w:hAnsi="Arial" w:cs="Arial"/>
          <w:sz w:val="24"/>
          <w:szCs w:val="24"/>
        </w:rPr>
        <w:t>)</w:t>
      </w:r>
      <w:r w:rsidR="009D1F32">
        <w:rPr>
          <w:rFonts w:ascii="Arial" w:hAnsi="Arial" w:cs="Arial"/>
          <w:sz w:val="24"/>
          <w:szCs w:val="24"/>
        </w:rPr>
        <w:t>- valuation $28,800</w:t>
      </w:r>
    </w:p>
    <w:p w14:paraId="5BFCD1BB" w14:textId="77777777" w:rsidR="002F0EDB" w:rsidRPr="00CD1D16" w:rsidRDefault="002F0EDB" w:rsidP="00CD1D16">
      <w:pPr>
        <w:pStyle w:val="ListParagraph"/>
        <w:numPr>
          <w:ilvl w:val="0"/>
          <w:numId w:val="35"/>
        </w:numPr>
        <w:ind w:left="360"/>
        <w:rPr>
          <w:rFonts w:ascii="Arial" w:hAnsi="Arial" w:cs="Arial"/>
          <w:sz w:val="24"/>
          <w:szCs w:val="24"/>
        </w:rPr>
      </w:pPr>
      <w:r w:rsidRPr="00CD1D16">
        <w:rPr>
          <w:rFonts w:ascii="Arial" w:hAnsi="Arial" w:cs="Arial"/>
          <w:sz w:val="24"/>
          <w:szCs w:val="24"/>
        </w:rPr>
        <w:t>There is a similar (10%) reduction in usage of NDIS group and individual supports as a result of increased work and independence (from 30% individual and 50% group in base case)</w:t>
      </w:r>
      <w:r w:rsidR="009D1F32">
        <w:rPr>
          <w:rFonts w:ascii="Arial" w:hAnsi="Arial" w:cs="Arial"/>
          <w:sz w:val="24"/>
          <w:szCs w:val="24"/>
        </w:rPr>
        <w:t>- valuation $23,900</w:t>
      </w:r>
    </w:p>
    <w:p w14:paraId="0D06E08F" w14:textId="77777777" w:rsidR="002F0EDB" w:rsidRPr="00CD1D16" w:rsidRDefault="002F0EDB" w:rsidP="00CD1D16">
      <w:pPr>
        <w:pStyle w:val="ListParagraph"/>
        <w:numPr>
          <w:ilvl w:val="0"/>
          <w:numId w:val="35"/>
        </w:numPr>
        <w:ind w:left="360"/>
        <w:rPr>
          <w:rFonts w:ascii="Arial" w:hAnsi="Arial" w:cs="Arial"/>
          <w:sz w:val="24"/>
          <w:szCs w:val="24"/>
        </w:rPr>
      </w:pPr>
      <w:r w:rsidRPr="00CD1D16">
        <w:rPr>
          <w:rFonts w:ascii="Arial" w:hAnsi="Arial" w:cs="Arial"/>
          <w:sz w:val="24"/>
          <w:szCs w:val="24"/>
        </w:rPr>
        <w:t>Impact persists for 10 years with a 10% drop-off rate, and 6.5% social discount rate</w:t>
      </w:r>
      <w:r w:rsidR="009D1F32">
        <w:rPr>
          <w:rFonts w:ascii="Arial" w:hAnsi="Arial" w:cs="Arial"/>
          <w:sz w:val="24"/>
          <w:szCs w:val="24"/>
        </w:rPr>
        <w:t>- valuation $50,000</w:t>
      </w:r>
      <w:r w:rsidRPr="00CD1D16">
        <w:rPr>
          <w:rFonts w:ascii="Arial" w:hAnsi="Arial" w:cs="Arial"/>
          <w:sz w:val="24"/>
          <w:szCs w:val="24"/>
        </w:rPr>
        <w:tab/>
      </w:r>
    </w:p>
    <w:p w14:paraId="5BE17775" w14:textId="77777777" w:rsidR="00855673" w:rsidRPr="00CD1D16" w:rsidRDefault="00855673" w:rsidP="00855673">
      <w:pPr>
        <w:pStyle w:val="ListParagraph"/>
        <w:ind w:left="450"/>
        <w:rPr>
          <w:rFonts w:ascii="Arial" w:hAnsi="Arial" w:cs="Arial"/>
          <w:sz w:val="24"/>
          <w:szCs w:val="24"/>
        </w:rPr>
      </w:pPr>
    </w:p>
    <w:p w14:paraId="73B0B578" w14:textId="77777777" w:rsidR="007D3ADE" w:rsidRPr="00CD1D16" w:rsidRDefault="007D3ADE" w:rsidP="00CD1D16">
      <w:pPr>
        <w:pStyle w:val="Heading3"/>
      </w:pPr>
      <w:bookmarkStart w:id="10" w:name="_Toc20652510"/>
      <w:r w:rsidRPr="00CD1D16">
        <w:t>Conclusion</w:t>
      </w:r>
      <w:bookmarkEnd w:id="10"/>
    </w:p>
    <w:p w14:paraId="5D2EA0FF" w14:textId="77777777" w:rsidR="0027483B" w:rsidRPr="00CD1D16" w:rsidRDefault="00E11680" w:rsidP="00D8772B">
      <w:pPr>
        <w:pStyle w:val="NoSpacing"/>
        <w:rPr>
          <w:sz w:val="24"/>
          <w:szCs w:val="24"/>
        </w:rPr>
      </w:pPr>
      <w:r w:rsidRPr="00CD1D16">
        <w:rPr>
          <w:sz w:val="24"/>
          <w:szCs w:val="24"/>
        </w:rPr>
        <w:t xml:space="preserve">Ticket to Work has an </w:t>
      </w:r>
      <w:r w:rsidR="007579A0" w:rsidRPr="00CD1D16">
        <w:rPr>
          <w:sz w:val="24"/>
          <w:szCs w:val="24"/>
        </w:rPr>
        <w:t xml:space="preserve">estimated </w:t>
      </w:r>
      <w:r w:rsidRPr="00CD1D16">
        <w:rPr>
          <w:sz w:val="24"/>
          <w:szCs w:val="24"/>
        </w:rPr>
        <w:t>average social and fiscal benefit of about $2</w:t>
      </w:r>
      <w:r w:rsidR="009D1F32">
        <w:rPr>
          <w:sz w:val="24"/>
          <w:szCs w:val="24"/>
        </w:rPr>
        <w:t>7,100</w:t>
      </w:r>
      <w:r w:rsidRPr="00CD1D16">
        <w:rPr>
          <w:sz w:val="24"/>
          <w:szCs w:val="24"/>
        </w:rPr>
        <w:t xml:space="preserve"> per participant over the three</w:t>
      </w:r>
      <w:r w:rsidR="00D757AD" w:rsidRPr="00CD1D16">
        <w:rPr>
          <w:sz w:val="24"/>
          <w:szCs w:val="24"/>
        </w:rPr>
        <w:t>-</w:t>
      </w:r>
      <w:r w:rsidRPr="00CD1D16">
        <w:rPr>
          <w:sz w:val="24"/>
          <w:szCs w:val="24"/>
        </w:rPr>
        <w:t xml:space="preserve">year benefit period. </w:t>
      </w:r>
      <w:r w:rsidR="00A244C4" w:rsidRPr="00CD1D16">
        <w:rPr>
          <w:sz w:val="24"/>
          <w:szCs w:val="24"/>
        </w:rPr>
        <w:t xml:space="preserve">Wherever possible, we have made conservative assumptions, so this is likely an underestimate </w:t>
      </w:r>
      <w:r w:rsidR="007579A0" w:rsidRPr="00CD1D16">
        <w:rPr>
          <w:sz w:val="24"/>
          <w:szCs w:val="24"/>
        </w:rPr>
        <w:t xml:space="preserve">of the impact of the program. </w:t>
      </w:r>
      <w:r w:rsidR="009D1F32" w:rsidRPr="009D1F32">
        <w:rPr>
          <w:sz w:val="24"/>
          <w:szCs w:val="24"/>
        </w:rPr>
        <w:t>Most significantly, many of the impacts of completing year 12, and transitioning smoothly into further work or study are likely to persist throughout life. Therefore, whilst we have estimated the benefits over a conservative three-year period, the life-long benefits may be larger.</w:t>
      </w:r>
    </w:p>
    <w:p w14:paraId="60E33FC2" w14:textId="77777777" w:rsidR="00E36E80" w:rsidRPr="00CD1D16" w:rsidRDefault="007579A0" w:rsidP="00D8772B">
      <w:pPr>
        <w:pStyle w:val="NoSpacing"/>
        <w:rPr>
          <w:sz w:val="24"/>
          <w:szCs w:val="24"/>
        </w:rPr>
      </w:pPr>
      <w:r w:rsidRPr="00CD1D16">
        <w:rPr>
          <w:sz w:val="24"/>
          <w:szCs w:val="24"/>
        </w:rPr>
        <w:t xml:space="preserve">The </w:t>
      </w:r>
      <w:r w:rsidR="005F04B1" w:rsidRPr="00CD1D16">
        <w:rPr>
          <w:sz w:val="24"/>
          <w:szCs w:val="24"/>
        </w:rPr>
        <w:t xml:space="preserve">constituent elements of the benefits are set out </w:t>
      </w:r>
      <w:r w:rsidR="0027483B" w:rsidRPr="00CD1D16">
        <w:rPr>
          <w:sz w:val="24"/>
          <w:szCs w:val="24"/>
        </w:rPr>
        <w:t xml:space="preserve">in the table below. </w:t>
      </w:r>
    </w:p>
    <w:p w14:paraId="0911EF9D" w14:textId="77777777" w:rsidR="008D5DAF" w:rsidRPr="00CD1D16" w:rsidRDefault="008D5DAF" w:rsidP="0079702C">
      <w:pPr>
        <w:pStyle w:val="TOCHeading"/>
        <w:rPr>
          <w:rFonts w:ascii="Arial" w:eastAsiaTheme="minorHAnsi" w:hAnsi="Arial" w:cs="Arial"/>
          <w:color w:val="auto"/>
          <w:sz w:val="24"/>
          <w:szCs w:val="24"/>
          <w:lang w:val="en-AU"/>
        </w:rPr>
      </w:pPr>
      <w:r w:rsidRPr="00CD1D16">
        <w:rPr>
          <w:rFonts w:ascii="Arial" w:eastAsiaTheme="minorHAnsi" w:hAnsi="Arial" w:cs="Arial"/>
          <w:b/>
          <w:color w:val="auto"/>
          <w:sz w:val="24"/>
          <w:szCs w:val="24"/>
          <w:lang w:val="en-AU"/>
        </w:rPr>
        <w:t>Estimated benefit (cost) over three years</w:t>
      </w:r>
      <w:r w:rsidR="00CD1584" w:rsidRPr="00CD1D16">
        <w:rPr>
          <w:rFonts w:ascii="Arial" w:eastAsiaTheme="minorHAnsi" w:hAnsi="Arial" w:cs="Arial"/>
          <w:color w:val="auto"/>
          <w:sz w:val="24"/>
          <w:szCs w:val="24"/>
          <w:lang w:val="en-AU"/>
        </w:rPr>
        <w:t xml:space="preserve"> (f</w:t>
      </w:r>
      <w:r w:rsidR="00C07460" w:rsidRPr="00CD1D16">
        <w:rPr>
          <w:rFonts w:ascii="Arial" w:eastAsiaTheme="minorHAnsi" w:hAnsi="Arial" w:cs="Arial"/>
          <w:color w:val="auto"/>
          <w:sz w:val="24"/>
          <w:szCs w:val="24"/>
          <w:lang w:val="en-AU"/>
        </w:rPr>
        <w:t>igures rounded to the nearest $100 or $100,000, so there may be variances in row and column totals)</w:t>
      </w:r>
    </w:p>
    <w:tbl>
      <w:tblPr>
        <w:tblStyle w:val="TableGrid"/>
        <w:tblW w:w="0" w:type="auto"/>
        <w:jc w:val="center"/>
        <w:tblLook w:val="04A0" w:firstRow="1" w:lastRow="0" w:firstColumn="1" w:lastColumn="0" w:noHBand="0" w:noVBand="1"/>
        <w:tblDescription w:val="Social and economic benefits are below: long term outcome 1: people with disability more independent. there is no estimated cost per participant. Long term outcome 2: people with disability increase social participation. there is no estimated cost. Long term outcome 3: increased income for carers. estimated cost per participant $4,900. estimated cost all 2316 participants is $15.7m. Long term outcome 4: increased income for participants. estimated benefit cost $11,300 per particpant and $36.5m all 2316 participants. Long term outcome 5: people with disability increase presence in community. there is no estimated cost.  Fiscal benefits are below. long term outcome 6: reduction in NDIS costs. $4,200 estimated cost per participant. $13.5m estimated cost for all 2316 participants. Long term outcome 7: increase in des costs. $1,100 estimated cost per participant. $3.4m estimated cost for all 2316 participants. Long term outcome 8: reduction in dsp and or youth allowance: $2,800 estimated cost per participant. $8.9m estimated cost for all 2316 participants. Long term outcome 9: tax revenue from carers: $900 estimated costs per participants and $3.0m estimated cost for all 2316 participants. Long term outcome 10: reduction in disability assistance costs. Estimated cost $4,100 and $13.2m for all 2316 participants. Total $27,100 estimated cost per participant and $87.4m for all 2316 participants. "/>
      </w:tblPr>
      <w:tblGrid>
        <w:gridCol w:w="2025"/>
        <w:gridCol w:w="3534"/>
        <w:gridCol w:w="1582"/>
        <w:gridCol w:w="1875"/>
      </w:tblGrid>
      <w:tr w:rsidR="00A65501" w:rsidRPr="00CD79FD" w14:paraId="355103AB" w14:textId="77777777" w:rsidTr="006C4FFC">
        <w:trPr>
          <w:trHeight w:val="20"/>
          <w:tblHeader/>
          <w:jc w:val="center"/>
        </w:trPr>
        <w:tc>
          <w:tcPr>
            <w:tcW w:w="0" w:type="auto"/>
            <w:shd w:val="clear" w:color="auto" w:fill="7F7F7F" w:themeFill="text1" w:themeFillTint="80"/>
          </w:tcPr>
          <w:p w14:paraId="1022105D" w14:textId="77777777" w:rsidR="00A65501" w:rsidRPr="00CD1D16" w:rsidRDefault="00A65501" w:rsidP="0079702C">
            <w:pPr>
              <w:pStyle w:val="Heading8"/>
              <w:outlineLvl w:val="7"/>
              <w:rPr>
                <w:sz w:val="24"/>
                <w:szCs w:val="24"/>
              </w:rPr>
            </w:pPr>
          </w:p>
        </w:tc>
        <w:tc>
          <w:tcPr>
            <w:tcW w:w="0" w:type="auto"/>
            <w:shd w:val="clear" w:color="auto" w:fill="7F7F7F" w:themeFill="text1" w:themeFillTint="80"/>
            <w:vAlign w:val="center"/>
          </w:tcPr>
          <w:p w14:paraId="05DA675A" w14:textId="77777777" w:rsidR="00A65501" w:rsidRPr="00CD1D16" w:rsidRDefault="00AC29AA" w:rsidP="0079702C">
            <w:pPr>
              <w:pStyle w:val="Heading8"/>
              <w:outlineLvl w:val="7"/>
              <w:rPr>
                <w:sz w:val="24"/>
                <w:szCs w:val="24"/>
              </w:rPr>
            </w:pPr>
            <w:r w:rsidRPr="00CD1D16">
              <w:rPr>
                <w:sz w:val="24"/>
                <w:szCs w:val="24"/>
              </w:rPr>
              <w:t>Basic (cost) element</w:t>
            </w:r>
          </w:p>
        </w:tc>
        <w:tc>
          <w:tcPr>
            <w:tcW w:w="0" w:type="auto"/>
            <w:shd w:val="clear" w:color="auto" w:fill="7F7F7F" w:themeFill="text1" w:themeFillTint="80"/>
          </w:tcPr>
          <w:p w14:paraId="26BB9794" w14:textId="77777777" w:rsidR="00A65501" w:rsidRPr="00CD1D16" w:rsidRDefault="004B3FFD" w:rsidP="0079702C">
            <w:pPr>
              <w:pStyle w:val="Heading8"/>
              <w:outlineLvl w:val="7"/>
              <w:rPr>
                <w:sz w:val="24"/>
                <w:szCs w:val="24"/>
              </w:rPr>
            </w:pPr>
            <w:r w:rsidRPr="00CD1D16">
              <w:rPr>
                <w:sz w:val="24"/>
                <w:szCs w:val="24"/>
              </w:rPr>
              <w:t>Per</w:t>
            </w:r>
            <w:r w:rsidR="00A65501" w:rsidRPr="00CD1D16">
              <w:rPr>
                <w:sz w:val="24"/>
                <w:szCs w:val="24"/>
              </w:rPr>
              <w:t xml:space="preserve"> participant</w:t>
            </w:r>
          </w:p>
        </w:tc>
        <w:tc>
          <w:tcPr>
            <w:tcW w:w="0" w:type="auto"/>
            <w:shd w:val="clear" w:color="auto" w:fill="7F7F7F" w:themeFill="text1" w:themeFillTint="80"/>
          </w:tcPr>
          <w:p w14:paraId="05B2BEDE" w14:textId="77777777" w:rsidR="00A65501" w:rsidRPr="00CD1D16" w:rsidRDefault="004B3FFD" w:rsidP="0079702C">
            <w:pPr>
              <w:pStyle w:val="Heading8"/>
              <w:outlineLvl w:val="7"/>
              <w:rPr>
                <w:sz w:val="24"/>
                <w:szCs w:val="24"/>
              </w:rPr>
            </w:pPr>
            <w:r w:rsidRPr="00CD1D16">
              <w:rPr>
                <w:sz w:val="24"/>
                <w:szCs w:val="24"/>
              </w:rPr>
              <w:t>All</w:t>
            </w:r>
            <w:r w:rsidR="00A65501" w:rsidRPr="00CD1D16">
              <w:rPr>
                <w:sz w:val="24"/>
                <w:szCs w:val="24"/>
              </w:rPr>
              <w:t xml:space="preserve"> 2316 participants</w:t>
            </w:r>
          </w:p>
        </w:tc>
      </w:tr>
      <w:tr w:rsidR="00A65501" w:rsidRPr="00CD79FD" w14:paraId="13A20325" w14:textId="77777777" w:rsidTr="00907E73">
        <w:trPr>
          <w:trHeight w:val="20"/>
          <w:jc w:val="center"/>
        </w:trPr>
        <w:tc>
          <w:tcPr>
            <w:tcW w:w="0" w:type="auto"/>
          </w:tcPr>
          <w:p w14:paraId="000699BB" w14:textId="77777777" w:rsidR="00A65501" w:rsidRPr="00CD1D16" w:rsidRDefault="00A65501" w:rsidP="00907E73">
            <w:pPr>
              <w:pStyle w:val="NoSpacing"/>
              <w:rPr>
                <w:b/>
                <w:sz w:val="24"/>
                <w:szCs w:val="24"/>
              </w:rPr>
            </w:pPr>
            <w:r w:rsidRPr="00CD1D16">
              <w:rPr>
                <w:b/>
                <w:sz w:val="24"/>
                <w:szCs w:val="24"/>
              </w:rPr>
              <w:t>Social and economic benefits</w:t>
            </w:r>
          </w:p>
          <w:p w14:paraId="18444FE9" w14:textId="77777777" w:rsidR="00A65501" w:rsidRPr="00CD1D16" w:rsidRDefault="00A65501" w:rsidP="00907E73">
            <w:pPr>
              <w:rPr>
                <w:rFonts w:cs="Arial"/>
                <w:sz w:val="24"/>
                <w:szCs w:val="24"/>
              </w:rPr>
            </w:pPr>
          </w:p>
        </w:tc>
        <w:tc>
          <w:tcPr>
            <w:tcW w:w="0" w:type="auto"/>
          </w:tcPr>
          <w:p w14:paraId="0FBA613C" w14:textId="77777777" w:rsidR="00A65501" w:rsidRPr="00CD1D16" w:rsidRDefault="00A65501" w:rsidP="00907E73">
            <w:pPr>
              <w:pStyle w:val="NoSpacing"/>
              <w:rPr>
                <w:sz w:val="24"/>
                <w:szCs w:val="24"/>
              </w:rPr>
            </w:pPr>
            <w:r w:rsidRPr="00CD1D16">
              <w:rPr>
                <w:b/>
                <w:sz w:val="24"/>
                <w:szCs w:val="24"/>
              </w:rPr>
              <w:t>Long-term outcome 1:</w:t>
            </w:r>
            <w:r w:rsidRPr="00CD1D16">
              <w:rPr>
                <w:sz w:val="24"/>
                <w:szCs w:val="24"/>
              </w:rPr>
              <w:t xml:space="preserve"> People with Disability feel more independent</w:t>
            </w:r>
          </w:p>
          <w:p w14:paraId="7C30F5C8" w14:textId="77777777" w:rsidR="00A65501" w:rsidRPr="00CD1D16" w:rsidRDefault="00A65501" w:rsidP="00907E73">
            <w:pPr>
              <w:rPr>
                <w:rFonts w:cs="Arial"/>
                <w:sz w:val="24"/>
                <w:szCs w:val="24"/>
              </w:rPr>
            </w:pPr>
          </w:p>
        </w:tc>
        <w:tc>
          <w:tcPr>
            <w:tcW w:w="0" w:type="auto"/>
            <w:vAlign w:val="center"/>
          </w:tcPr>
          <w:p w14:paraId="7D51F022" w14:textId="77777777" w:rsidR="00A65501" w:rsidRPr="00CD1D16" w:rsidRDefault="00AC29AA" w:rsidP="00907E73">
            <w:pPr>
              <w:rPr>
                <w:rFonts w:cs="Arial"/>
                <w:sz w:val="24"/>
                <w:szCs w:val="24"/>
              </w:rPr>
            </w:pPr>
            <w:r w:rsidRPr="00CD1D16">
              <w:rPr>
                <w:rFonts w:cs="Arial"/>
                <w:sz w:val="24"/>
                <w:szCs w:val="24"/>
              </w:rPr>
              <w:t>N</w:t>
            </w:r>
            <w:r w:rsidR="00A65501" w:rsidRPr="00CD1D16">
              <w:rPr>
                <w:rFonts w:cs="Arial"/>
                <w:sz w:val="24"/>
                <w:szCs w:val="24"/>
              </w:rPr>
              <w:t>ot estimated</w:t>
            </w:r>
          </w:p>
        </w:tc>
        <w:tc>
          <w:tcPr>
            <w:tcW w:w="0" w:type="auto"/>
            <w:vAlign w:val="center"/>
          </w:tcPr>
          <w:p w14:paraId="4B764781" w14:textId="77777777" w:rsidR="00A65501" w:rsidRPr="00CD1D16" w:rsidRDefault="00AC29AA" w:rsidP="00907E73">
            <w:pPr>
              <w:rPr>
                <w:rFonts w:cs="Arial"/>
                <w:sz w:val="24"/>
                <w:szCs w:val="24"/>
              </w:rPr>
            </w:pPr>
            <w:r w:rsidRPr="00CD1D16">
              <w:rPr>
                <w:rFonts w:cs="Arial"/>
                <w:sz w:val="24"/>
                <w:szCs w:val="24"/>
              </w:rPr>
              <w:t>N</w:t>
            </w:r>
            <w:r w:rsidR="00A65501" w:rsidRPr="00CD1D16">
              <w:rPr>
                <w:rFonts w:cs="Arial"/>
                <w:sz w:val="24"/>
                <w:szCs w:val="24"/>
              </w:rPr>
              <w:t>ot estimated</w:t>
            </w:r>
          </w:p>
        </w:tc>
      </w:tr>
      <w:tr w:rsidR="00A65501" w:rsidRPr="00CD79FD" w14:paraId="1897F1E4" w14:textId="77777777" w:rsidTr="00855673">
        <w:trPr>
          <w:trHeight w:val="20"/>
          <w:jc w:val="center"/>
        </w:trPr>
        <w:tc>
          <w:tcPr>
            <w:tcW w:w="0" w:type="auto"/>
          </w:tcPr>
          <w:p w14:paraId="495F6FC4" w14:textId="77777777" w:rsidR="00A65501" w:rsidRPr="00CD1D16" w:rsidRDefault="00A65501" w:rsidP="00907E73">
            <w:pPr>
              <w:pStyle w:val="NoSpacing"/>
              <w:rPr>
                <w:b/>
                <w:sz w:val="24"/>
                <w:szCs w:val="24"/>
              </w:rPr>
            </w:pPr>
            <w:r w:rsidRPr="00CD1D16">
              <w:rPr>
                <w:b/>
                <w:sz w:val="24"/>
                <w:szCs w:val="24"/>
              </w:rPr>
              <w:t>Social and economic benefits</w:t>
            </w:r>
          </w:p>
          <w:p w14:paraId="6D4F9D6C" w14:textId="77777777" w:rsidR="00A65501" w:rsidRPr="00CD1D16" w:rsidRDefault="00A65501" w:rsidP="00907E73">
            <w:pPr>
              <w:rPr>
                <w:rFonts w:cs="Arial"/>
                <w:sz w:val="24"/>
                <w:szCs w:val="24"/>
              </w:rPr>
            </w:pPr>
          </w:p>
        </w:tc>
        <w:tc>
          <w:tcPr>
            <w:tcW w:w="0" w:type="auto"/>
          </w:tcPr>
          <w:p w14:paraId="225735AB" w14:textId="77777777" w:rsidR="00A65501" w:rsidRPr="00CD1D16" w:rsidRDefault="00A65501" w:rsidP="00907E73">
            <w:pPr>
              <w:pStyle w:val="NoSpacing"/>
              <w:rPr>
                <w:sz w:val="24"/>
                <w:szCs w:val="24"/>
              </w:rPr>
            </w:pPr>
            <w:r w:rsidRPr="00CD1D16">
              <w:rPr>
                <w:b/>
                <w:sz w:val="24"/>
                <w:szCs w:val="24"/>
              </w:rPr>
              <w:t>Long-term outcome 2</w:t>
            </w:r>
            <w:r w:rsidR="00AC29AA" w:rsidRPr="00CD1D16">
              <w:rPr>
                <w:sz w:val="24"/>
                <w:szCs w:val="24"/>
              </w:rPr>
              <w:t>: P</w:t>
            </w:r>
            <w:r w:rsidRPr="00CD1D16">
              <w:rPr>
                <w:sz w:val="24"/>
                <w:szCs w:val="24"/>
              </w:rPr>
              <w:t>eople with disability increase social participation</w:t>
            </w:r>
          </w:p>
          <w:p w14:paraId="06B2974C" w14:textId="77777777" w:rsidR="00A65501" w:rsidRPr="00CD1D16" w:rsidRDefault="00A65501" w:rsidP="00907E73">
            <w:pPr>
              <w:rPr>
                <w:rFonts w:cs="Arial"/>
                <w:sz w:val="24"/>
                <w:szCs w:val="24"/>
              </w:rPr>
            </w:pPr>
          </w:p>
        </w:tc>
        <w:tc>
          <w:tcPr>
            <w:tcW w:w="0" w:type="auto"/>
            <w:vAlign w:val="center"/>
          </w:tcPr>
          <w:p w14:paraId="0C62FE9A" w14:textId="77777777" w:rsidR="00A65501" w:rsidRPr="00CD1D16" w:rsidRDefault="00AC29AA" w:rsidP="00907E73">
            <w:pPr>
              <w:rPr>
                <w:rFonts w:cs="Arial"/>
                <w:sz w:val="24"/>
                <w:szCs w:val="24"/>
              </w:rPr>
            </w:pPr>
            <w:r w:rsidRPr="00CD1D16">
              <w:rPr>
                <w:rFonts w:cs="Arial"/>
                <w:sz w:val="24"/>
                <w:szCs w:val="24"/>
              </w:rPr>
              <w:t>N</w:t>
            </w:r>
            <w:r w:rsidR="00A65501" w:rsidRPr="00CD1D16">
              <w:rPr>
                <w:rFonts w:cs="Arial"/>
                <w:sz w:val="24"/>
                <w:szCs w:val="24"/>
              </w:rPr>
              <w:t>ot estimated</w:t>
            </w:r>
          </w:p>
        </w:tc>
        <w:tc>
          <w:tcPr>
            <w:tcW w:w="0" w:type="auto"/>
            <w:vAlign w:val="center"/>
          </w:tcPr>
          <w:p w14:paraId="4CCE1211" w14:textId="77777777" w:rsidR="00A65501" w:rsidRPr="00CD1D16" w:rsidRDefault="00AC29AA" w:rsidP="00907E73">
            <w:pPr>
              <w:rPr>
                <w:rFonts w:cs="Arial"/>
                <w:sz w:val="24"/>
                <w:szCs w:val="24"/>
              </w:rPr>
            </w:pPr>
            <w:r w:rsidRPr="00CD1D16">
              <w:rPr>
                <w:rFonts w:cs="Arial"/>
                <w:sz w:val="24"/>
                <w:szCs w:val="24"/>
              </w:rPr>
              <w:t>N</w:t>
            </w:r>
            <w:r w:rsidR="00A65501" w:rsidRPr="00CD1D16">
              <w:rPr>
                <w:rFonts w:cs="Arial"/>
                <w:sz w:val="24"/>
                <w:szCs w:val="24"/>
              </w:rPr>
              <w:t>ot estimated</w:t>
            </w:r>
          </w:p>
        </w:tc>
      </w:tr>
      <w:tr w:rsidR="00A65501" w:rsidRPr="00CD79FD" w14:paraId="3BFFFCF6" w14:textId="77777777" w:rsidTr="00907E73">
        <w:trPr>
          <w:trHeight w:val="20"/>
          <w:jc w:val="center"/>
        </w:trPr>
        <w:tc>
          <w:tcPr>
            <w:tcW w:w="0" w:type="auto"/>
          </w:tcPr>
          <w:p w14:paraId="182777E5" w14:textId="77777777" w:rsidR="00A65501" w:rsidRPr="00CD1D16" w:rsidRDefault="00A65501" w:rsidP="00907E73">
            <w:pPr>
              <w:pStyle w:val="NoSpacing"/>
              <w:rPr>
                <w:b/>
                <w:sz w:val="24"/>
                <w:szCs w:val="24"/>
              </w:rPr>
            </w:pPr>
            <w:r w:rsidRPr="00CD1D16">
              <w:rPr>
                <w:b/>
                <w:sz w:val="24"/>
                <w:szCs w:val="24"/>
              </w:rPr>
              <w:t>Social and economic benefits</w:t>
            </w:r>
          </w:p>
          <w:p w14:paraId="3D2F4B48" w14:textId="77777777" w:rsidR="00A65501" w:rsidRPr="00CD1D16" w:rsidRDefault="00A65501" w:rsidP="00907E73">
            <w:pPr>
              <w:rPr>
                <w:rFonts w:cs="Arial"/>
                <w:sz w:val="24"/>
                <w:szCs w:val="24"/>
              </w:rPr>
            </w:pPr>
          </w:p>
        </w:tc>
        <w:tc>
          <w:tcPr>
            <w:tcW w:w="0" w:type="auto"/>
          </w:tcPr>
          <w:p w14:paraId="5A67E0BF" w14:textId="77777777" w:rsidR="00A65501" w:rsidRPr="00CD1D16" w:rsidRDefault="00A65501" w:rsidP="00907E73">
            <w:pPr>
              <w:pStyle w:val="NoSpacing"/>
              <w:rPr>
                <w:sz w:val="24"/>
                <w:szCs w:val="24"/>
              </w:rPr>
            </w:pPr>
            <w:r w:rsidRPr="00CD1D16">
              <w:rPr>
                <w:b/>
                <w:sz w:val="24"/>
                <w:szCs w:val="24"/>
              </w:rPr>
              <w:lastRenderedPageBreak/>
              <w:t>Long-term outcome 3</w:t>
            </w:r>
            <w:r w:rsidRPr="00CD1D16">
              <w:rPr>
                <w:sz w:val="24"/>
                <w:szCs w:val="24"/>
              </w:rPr>
              <w:t>: Increased income for carers</w:t>
            </w:r>
          </w:p>
          <w:p w14:paraId="5E25E630" w14:textId="77777777" w:rsidR="00A65501" w:rsidRPr="00CD1D16" w:rsidRDefault="00A65501" w:rsidP="00907E73">
            <w:pPr>
              <w:rPr>
                <w:rFonts w:cs="Arial"/>
                <w:sz w:val="24"/>
                <w:szCs w:val="24"/>
              </w:rPr>
            </w:pPr>
          </w:p>
        </w:tc>
        <w:tc>
          <w:tcPr>
            <w:tcW w:w="0" w:type="auto"/>
            <w:vAlign w:val="center"/>
          </w:tcPr>
          <w:p w14:paraId="6EFCA15E" w14:textId="77777777" w:rsidR="00A65501" w:rsidRPr="00CD1D16" w:rsidRDefault="00A65501" w:rsidP="00907E73">
            <w:pPr>
              <w:rPr>
                <w:rFonts w:cs="Arial"/>
                <w:sz w:val="24"/>
                <w:szCs w:val="24"/>
              </w:rPr>
            </w:pPr>
            <w:r w:rsidRPr="00CD1D16">
              <w:rPr>
                <w:rFonts w:cs="Arial"/>
                <w:sz w:val="24"/>
                <w:szCs w:val="24"/>
              </w:rPr>
              <w:t>$4,900</w:t>
            </w:r>
          </w:p>
        </w:tc>
        <w:tc>
          <w:tcPr>
            <w:tcW w:w="0" w:type="auto"/>
            <w:vAlign w:val="center"/>
          </w:tcPr>
          <w:p w14:paraId="6CC77C7F" w14:textId="77777777" w:rsidR="00A65501" w:rsidRPr="00CD1D16" w:rsidRDefault="00A65501" w:rsidP="00907E73">
            <w:pPr>
              <w:rPr>
                <w:rFonts w:cs="Arial"/>
                <w:sz w:val="24"/>
                <w:szCs w:val="24"/>
              </w:rPr>
            </w:pPr>
            <w:r w:rsidRPr="00CD1D16">
              <w:rPr>
                <w:rFonts w:cs="Arial"/>
                <w:sz w:val="24"/>
                <w:szCs w:val="24"/>
              </w:rPr>
              <w:t>$15.7m</w:t>
            </w:r>
          </w:p>
        </w:tc>
      </w:tr>
      <w:tr w:rsidR="00A65501" w:rsidRPr="00CD79FD" w14:paraId="32F13159" w14:textId="77777777" w:rsidTr="00907E73">
        <w:trPr>
          <w:trHeight w:val="20"/>
          <w:jc w:val="center"/>
        </w:trPr>
        <w:tc>
          <w:tcPr>
            <w:tcW w:w="0" w:type="auto"/>
          </w:tcPr>
          <w:p w14:paraId="669847B3" w14:textId="77777777" w:rsidR="00A65501" w:rsidRPr="00CD1D16" w:rsidRDefault="00A65501" w:rsidP="00907E73">
            <w:pPr>
              <w:pStyle w:val="NoSpacing"/>
              <w:rPr>
                <w:b/>
                <w:sz w:val="24"/>
                <w:szCs w:val="24"/>
              </w:rPr>
            </w:pPr>
            <w:r w:rsidRPr="00CD1D16">
              <w:rPr>
                <w:b/>
                <w:sz w:val="24"/>
                <w:szCs w:val="24"/>
              </w:rPr>
              <w:t>Social and economic benefits</w:t>
            </w:r>
          </w:p>
          <w:p w14:paraId="7B03922A" w14:textId="77777777" w:rsidR="00A65501" w:rsidRPr="00CD1D16" w:rsidRDefault="00A65501" w:rsidP="00907E73">
            <w:pPr>
              <w:rPr>
                <w:rFonts w:cs="Arial"/>
                <w:sz w:val="24"/>
                <w:szCs w:val="24"/>
              </w:rPr>
            </w:pPr>
          </w:p>
        </w:tc>
        <w:tc>
          <w:tcPr>
            <w:tcW w:w="0" w:type="auto"/>
          </w:tcPr>
          <w:p w14:paraId="530B43ED" w14:textId="77777777" w:rsidR="00A65501" w:rsidRPr="00CD1D16" w:rsidRDefault="00A65501" w:rsidP="00907E73">
            <w:pPr>
              <w:rPr>
                <w:rFonts w:cs="Arial"/>
                <w:sz w:val="24"/>
                <w:szCs w:val="24"/>
              </w:rPr>
            </w:pPr>
            <w:r w:rsidRPr="00CD1D16">
              <w:rPr>
                <w:rFonts w:cs="Arial"/>
                <w:b/>
                <w:sz w:val="24"/>
                <w:szCs w:val="24"/>
              </w:rPr>
              <w:t>Long-term outcome 4:</w:t>
            </w:r>
            <w:r w:rsidRPr="00CD1D16">
              <w:rPr>
                <w:rFonts w:cs="Arial"/>
                <w:sz w:val="24"/>
                <w:szCs w:val="24"/>
              </w:rPr>
              <w:t xml:space="preserve"> </w:t>
            </w:r>
            <w:r w:rsidRPr="00CD1D16">
              <w:rPr>
                <w:rFonts w:cs="Arial"/>
                <w:sz w:val="24"/>
                <w:szCs w:val="24"/>
              </w:rPr>
              <w:br/>
              <w:t xml:space="preserve">Increased income for participants  </w:t>
            </w:r>
          </w:p>
        </w:tc>
        <w:tc>
          <w:tcPr>
            <w:tcW w:w="0" w:type="auto"/>
            <w:vAlign w:val="center"/>
          </w:tcPr>
          <w:p w14:paraId="7239BFE0" w14:textId="77777777" w:rsidR="00A65501" w:rsidRPr="00CD1D16" w:rsidRDefault="00A65501" w:rsidP="00907E73">
            <w:pPr>
              <w:rPr>
                <w:rFonts w:cs="Arial"/>
                <w:sz w:val="24"/>
                <w:szCs w:val="24"/>
              </w:rPr>
            </w:pPr>
            <w:r w:rsidRPr="00CD1D16">
              <w:rPr>
                <w:rFonts w:cs="Arial"/>
                <w:sz w:val="24"/>
                <w:szCs w:val="24"/>
              </w:rPr>
              <w:t>$11,300</w:t>
            </w:r>
          </w:p>
        </w:tc>
        <w:tc>
          <w:tcPr>
            <w:tcW w:w="0" w:type="auto"/>
            <w:vAlign w:val="center"/>
          </w:tcPr>
          <w:p w14:paraId="2C82D9FB" w14:textId="77777777" w:rsidR="00A65501" w:rsidRPr="00CD1D16" w:rsidRDefault="009D1F32" w:rsidP="00907E73">
            <w:pPr>
              <w:rPr>
                <w:rFonts w:cs="Arial"/>
                <w:sz w:val="24"/>
                <w:szCs w:val="24"/>
              </w:rPr>
            </w:pPr>
            <w:r>
              <w:rPr>
                <w:rFonts w:cs="Arial"/>
                <w:sz w:val="24"/>
                <w:szCs w:val="24"/>
              </w:rPr>
              <w:t>$36.5</w:t>
            </w:r>
            <w:r w:rsidR="00A65501" w:rsidRPr="00CD1D16">
              <w:rPr>
                <w:rFonts w:cs="Arial"/>
                <w:sz w:val="24"/>
                <w:szCs w:val="24"/>
              </w:rPr>
              <w:t>m</w:t>
            </w:r>
          </w:p>
        </w:tc>
      </w:tr>
      <w:tr w:rsidR="00A65501" w:rsidRPr="00CD79FD" w14:paraId="516B1DD8" w14:textId="77777777" w:rsidTr="00907E73">
        <w:trPr>
          <w:trHeight w:val="20"/>
          <w:jc w:val="center"/>
        </w:trPr>
        <w:tc>
          <w:tcPr>
            <w:tcW w:w="0" w:type="auto"/>
          </w:tcPr>
          <w:p w14:paraId="69FF01E4" w14:textId="77777777" w:rsidR="00A65501" w:rsidRPr="00CD1D16" w:rsidRDefault="00A65501" w:rsidP="00907E73">
            <w:pPr>
              <w:pStyle w:val="NoSpacing"/>
              <w:rPr>
                <w:b/>
                <w:sz w:val="24"/>
                <w:szCs w:val="24"/>
              </w:rPr>
            </w:pPr>
            <w:r w:rsidRPr="00CD1D16">
              <w:rPr>
                <w:b/>
                <w:sz w:val="24"/>
                <w:szCs w:val="24"/>
              </w:rPr>
              <w:t>Social and economic benefits</w:t>
            </w:r>
          </w:p>
          <w:p w14:paraId="76F86A81" w14:textId="77777777" w:rsidR="00A65501" w:rsidRPr="00CD1D16" w:rsidRDefault="00A65501" w:rsidP="00907E73">
            <w:pPr>
              <w:rPr>
                <w:rFonts w:cs="Arial"/>
                <w:sz w:val="24"/>
                <w:szCs w:val="24"/>
              </w:rPr>
            </w:pPr>
          </w:p>
        </w:tc>
        <w:tc>
          <w:tcPr>
            <w:tcW w:w="0" w:type="auto"/>
          </w:tcPr>
          <w:p w14:paraId="331ADF89" w14:textId="77777777" w:rsidR="00A65501" w:rsidRPr="00CD1D16" w:rsidRDefault="00A65501" w:rsidP="00907E73">
            <w:pPr>
              <w:rPr>
                <w:rFonts w:cs="Arial"/>
                <w:sz w:val="24"/>
                <w:szCs w:val="24"/>
              </w:rPr>
            </w:pPr>
            <w:r w:rsidRPr="00CD1D16">
              <w:rPr>
                <w:rFonts w:cs="Arial"/>
                <w:b/>
                <w:sz w:val="24"/>
                <w:szCs w:val="24"/>
              </w:rPr>
              <w:t>Long-term outcome 5:</w:t>
            </w:r>
            <w:r w:rsidRPr="00CD1D16">
              <w:rPr>
                <w:rFonts w:cs="Arial"/>
                <w:sz w:val="24"/>
                <w:szCs w:val="24"/>
              </w:rPr>
              <w:br/>
              <w:t>People with Disability increase presence in community</w:t>
            </w:r>
          </w:p>
        </w:tc>
        <w:tc>
          <w:tcPr>
            <w:tcW w:w="0" w:type="auto"/>
            <w:vAlign w:val="center"/>
          </w:tcPr>
          <w:p w14:paraId="28FE4A3C" w14:textId="77777777" w:rsidR="00A65501" w:rsidRPr="00CD1D16" w:rsidRDefault="00A65501" w:rsidP="00907E73">
            <w:pPr>
              <w:rPr>
                <w:rFonts w:cs="Arial"/>
                <w:sz w:val="24"/>
                <w:szCs w:val="24"/>
              </w:rPr>
            </w:pPr>
            <w:r w:rsidRPr="00CD1D16">
              <w:rPr>
                <w:rFonts w:cs="Arial"/>
                <w:sz w:val="24"/>
                <w:szCs w:val="24"/>
              </w:rPr>
              <w:t>Not estimated</w:t>
            </w:r>
          </w:p>
        </w:tc>
        <w:tc>
          <w:tcPr>
            <w:tcW w:w="0" w:type="auto"/>
            <w:vAlign w:val="center"/>
          </w:tcPr>
          <w:p w14:paraId="3E72B3DE" w14:textId="77777777" w:rsidR="00A65501" w:rsidRPr="00CD1D16" w:rsidRDefault="00A65501" w:rsidP="00907E73">
            <w:pPr>
              <w:rPr>
                <w:rFonts w:cs="Arial"/>
                <w:sz w:val="24"/>
                <w:szCs w:val="24"/>
              </w:rPr>
            </w:pPr>
            <w:r w:rsidRPr="00CD1D16">
              <w:rPr>
                <w:rFonts w:cs="Arial"/>
                <w:sz w:val="24"/>
                <w:szCs w:val="24"/>
              </w:rPr>
              <w:t>Not estimated</w:t>
            </w:r>
          </w:p>
        </w:tc>
      </w:tr>
      <w:tr w:rsidR="00A65501" w:rsidRPr="00CD79FD" w14:paraId="396BB1B3" w14:textId="77777777" w:rsidTr="00907E73">
        <w:trPr>
          <w:trHeight w:val="20"/>
          <w:jc w:val="center"/>
        </w:trPr>
        <w:tc>
          <w:tcPr>
            <w:tcW w:w="0" w:type="auto"/>
          </w:tcPr>
          <w:p w14:paraId="1564CB47" w14:textId="77777777" w:rsidR="00A65501" w:rsidRPr="00CD1D16" w:rsidRDefault="00A65501" w:rsidP="00907E73">
            <w:pPr>
              <w:pStyle w:val="NoSpacing"/>
              <w:rPr>
                <w:b/>
                <w:sz w:val="24"/>
                <w:szCs w:val="24"/>
              </w:rPr>
            </w:pPr>
            <w:r w:rsidRPr="00CD1D16">
              <w:rPr>
                <w:b/>
                <w:sz w:val="24"/>
                <w:szCs w:val="24"/>
              </w:rPr>
              <w:t>Fiscal benefits</w:t>
            </w:r>
          </w:p>
          <w:p w14:paraId="56D7142B" w14:textId="77777777" w:rsidR="00A65501" w:rsidRPr="00CD1D16" w:rsidRDefault="00A65501" w:rsidP="00907E73">
            <w:pPr>
              <w:pStyle w:val="NoSpacing"/>
              <w:rPr>
                <w:b/>
                <w:sz w:val="24"/>
                <w:szCs w:val="24"/>
              </w:rPr>
            </w:pPr>
          </w:p>
        </w:tc>
        <w:tc>
          <w:tcPr>
            <w:tcW w:w="0" w:type="auto"/>
          </w:tcPr>
          <w:p w14:paraId="142DAA5D" w14:textId="77777777" w:rsidR="00A65501" w:rsidRPr="00CD1D16" w:rsidRDefault="00A65501" w:rsidP="00907E73">
            <w:pPr>
              <w:rPr>
                <w:rFonts w:cs="Arial"/>
                <w:b/>
                <w:sz w:val="24"/>
                <w:szCs w:val="24"/>
              </w:rPr>
            </w:pPr>
            <w:r w:rsidRPr="00CD1D16">
              <w:rPr>
                <w:rFonts w:cs="Arial"/>
                <w:b/>
                <w:sz w:val="24"/>
                <w:szCs w:val="24"/>
              </w:rPr>
              <w:t>Long-term outcome 6:</w:t>
            </w:r>
            <w:r w:rsidRPr="00CD1D16">
              <w:rPr>
                <w:rFonts w:cs="Arial"/>
                <w:sz w:val="24"/>
                <w:szCs w:val="24"/>
              </w:rPr>
              <w:br/>
              <w:t>Reduction in NDIS costs</w:t>
            </w:r>
          </w:p>
        </w:tc>
        <w:tc>
          <w:tcPr>
            <w:tcW w:w="0" w:type="auto"/>
            <w:vAlign w:val="center"/>
          </w:tcPr>
          <w:p w14:paraId="36ED651D" w14:textId="77777777" w:rsidR="00A65501" w:rsidRPr="00CD1D16" w:rsidRDefault="00A65501" w:rsidP="00907E73">
            <w:pPr>
              <w:rPr>
                <w:rFonts w:cs="Arial"/>
                <w:sz w:val="24"/>
                <w:szCs w:val="24"/>
              </w:rPr>
            </w:pPr>
            <w:r w:rsidRPr="00CD1D16">
              <w:rPr>
                <w:rFonts w:cs="Arial"/>
                <w:sz w:val="24"/>
                <w:szCs w:val="24"/>
              </w:rPr>
              <w:t xml:space="preserve">$4,200   </w:t>
            </w:r>
          </w:p>
        </w:tc>
        <w:tc>
          <w:tcPr>
            <w:tcW w:w="0" w:type="auto"/>
            <w:vAlign w:val="center"/>
          </w:tcPr>
          <w:p w14:paraId="4C4CCD45" w14:textId="77777777" w:rsidR="00A65501" w:rsidRPr="00CD1D16" w:rsidRDefault="00A65501" w:rsidP="00907E73">
            <w:pPr>
              <w:rPr>
                <w:rFonts w:cs="Arial"/>
                <w:sz w:val="24"/>
                <w:szCs w:val="24"/>
              </w:rPr>
            </w:pPr>
            <w:r w:rsidRPr="00CD1D16">
              <w:rPr>
                <w:rFonts w:cs="Arial"/>
                <w:sz w:val="24"/>
                <w:szCs w:val="24"/>
              </w:rPr>
              <w:t>$13.5m</w:t>
            </w:r>
          </w:p>
        </w:tc>
      </w:tr>
      <w:tr w:rsidR="00A65501" w:rsidRPr="00CD79FD" w14:paraId="6C5D4C61" w14:textId="77777777" w:rsidTr="00907E73">
        <w:trPr>
          <w:trHeight w:val="503"/>
          <w:jc w:val="center"/>
        </w:trPr>
        <w:tc>
          <w:tcPr>
            <w:tcW w:w="0" w:type="auto"/>
          </w:tcPr>
          <w:p w14:paraId="738CED80" w14:textId="77777777" w:rsidR="00A65501" w:rsidRPr="00CD1D16" w:rsidRDefault="00A65501" w:rsidP="00907E73">
            <w:pPr>
              <w:pStyle w:val="NoSpacing"/>
              <w:rPr>
                <w:b/>
                <w:sz w:val="24"/>
                <w:szCs w:val="24"/>
              </w:rPr>
            </w:pPr>
            <w:r w:rsidRPr="00CD1D16">
              <w:rPr>
                <w:b/>
                <w:sz w:val="24"/>
                <w:szCs w:val="24"/>
              </w:rPr>
              <w:t>Fiscal benefits</w:t>
            </w:r>
          </w:p>
          <w:p w14:paraId="008040AA" w14:textId="77777777" w:rsidR="00A65501" w:rsidRPr="00CD1D16" w:rsidRDefault="00A65501" w:rsidP="00907E73">
            <w:pPr>
              <w:pStyle w:val="NoSpacing"/>
              <w:rPr>
                <w:b/>
                <w:sz w:val="24"/>
                <w:szCs w:val="24"/>
              </w:rPr>
            </w:pPr>
          </w:p>
        </w:tc>
        <w:tc>
          <w:tcPr>
            <w:tcW w:w="0" w:type="auto"/>
          </w:tcPr>
          <w:p w14:paraId="533D624B" w14:textId="77777777" w:rsidR="00A65501" w:rsidRPr="00CD1D16" w:rsidRDefault="00A65501" w:rsidP="00907E73">
            <w:pPr>
              <w:rPr>
                <w:rFonts w:cs="Arial"/>
                <w:b/>
                <w:sz w:val="24"/>
                <w:szCs w:val="24"/>
              </w:rPr>
            </w:pPr>
            <w:r w:rsidRPr="00CD1D16">
              <w:rPr>
                <w:rFonts w:cs="Arial"/>
                <w:b/>
                <w:sz w:val="24"/>
                <w:szCs w:val="24"/>
              </w:rPr>
              <w:t>Long-term outcome 7:</w:t>
            </w:r>
            <w:r w:rsidRPr="00CD1D16">
              <w:rPr>
                <w:rFonts w:cs="Arial"/>
                <w:sz w:val="24"/>
                <w:szCs w:val="24"/>
              </w:rPr>
              <w:br/>
              <w:t>Increase in DES costs</w:t>
            </w:r>
          </w:p>
        </w:tc>
        <w:tc>
          <w:tcPr>
            <w:tcW w:w="0" w:type="auto"/>
            <w:vAlign w:val="center"/>
          </w:tcPr>
          <w:p w14:paraId="74F0BB59" w14:textId="77777777" w:rsidR="00A65501" w:rsidRPr="00CD1D16" w:rsidRDefault="00A65501" w:rsidP="00907E73">
            <w:pPr>
              <w:rPr>
                <w:rFonts w:cs="Arial"/>
                <w:sz w:val="24"/>
                <w:szCs w:val="24"/>
              </w:rPr>
            </w:pPr>
            <w:r w:rsidRPr="00CD1D16">
              <w:rPr>
                <w:rFonts w:cs="Arial"/>
                <w:sz w:val="24"/>
                <w:szCs w:val="24"/>
              </w:rPr>
              <w:t>($1,100)</w:t>
            </w:r>
          </w:p>
        </w:tc>
        <w:tc>
          <w:tcPr>
            <w:tcW w:w="0" w:type="auto"/>
            <w:vAlign w:val="center"/>
          </w:tcPr>
          <w:p w14:paraId="52504469" w14:textId="77777777" w:rsidR="00A65501" w:rsidRPr="00CD1D16" w:rsidRDefault="00A65501" w:rsidP="00907E73">
            <w:pPr>
              <w:rPr>
                <w:rFonts w:cs="Arial"/>
                <w:sz w:val="24"/>
                <w:szCs w:val="24"/>
              </w:rPr>
            </w:pPr>
            <w:r w:rsidRPr="00CD1D16">
              <w:rPr>
                <w:rFonts w:cs="Arial"/>
                <w:sz w:val="24"/>
                <w:szCs w:val="24"/>
              </w:rPr>
              <w:t>$3.4m</w:t>
            </w:r>
          </w:p>
        </w:tc>
      </w:tr>
      <w:tr w:rsidR="00A65501" w:rsidRPr="00CD79FD" w14:paraId="542E266E" w14:textId="77777777" w:rsidTr="00907E73">
        <w:trPr>
          <w:trHeight w:val="20"/>
          <w:jc w:val="center"/>
        </w:trPr>
        <w:tc>
          <w:tcPr>
            <w:tcW w:w="0" w:type="auto"/>
          </w:tcPr>
          <w:p w14:paraId="52481614" w14:textId="77777777" w:rsidR="00A65501" w:rsidRPr="00CD1D16" w:rsidRDefault="00A65501" w:rsidP="00907E73">
            <w:pPr>
              <w:pStyle w:val="NoSpacing"/>
              <w:rPr>
                <w:b/>
                <w:sz w:val="24"/>
                <w:szCs w:val="24"/>
              </w:rPr>
            </w:pPr>
            <w:r w:rsidRPr="00CD1D16">
              <w:rPr>
                <w:b/>
                <w:sz w:val="24"/>
                <w:szCs w:val="24"/>
              </w:rPr>
              <w:t>Fiscal benefits</w:t>
            </w:r>
          </w:p>
          <w:p w14:paraId="3283EC63" w14:textId="77777777" w:rsidR="00A65501" w:rsidRPr="00CD1D16" w:rsidRDefault="00A65501" w:rsidP="00907E73">
            <w:pPr>
              <w:pStyle w:val="NoSpacing"/>
              <w:rPr>
                <w:b/>
                <w:sz w:val="24"/>
                <w:szCs w:val="24"/>
              </w:rPr>
            </w:pPr>
          </w:p>
        </w:tc>
        <w:tc>
          <w:tcPr>
            <w:tcW w:w="0" w:type="auto"/>
          </w:tcPr>
          <w:p w14:paraId="0A1053C1" w14:textId="77777777" w:rsidR="00A65501" w:rsidRPr="00CD1D16" w:rsidRDefault="00A65501" w:rsidP="00907E73">
            <w:pPr>
              <w:pStyle w:val="NoSpacing"/>
              <w:rPr>
                <w:b/>
                <w:sz w:val="24"/>
                <w:szCs w:val="24"/>
              </w:rPr>
            </w:pPr>
            <w:r w:rsidRPr="00CD1D16">
              <w:rPr>
                <w:b/>
                <w:sz w:val="24"/>
                <w:szCs w:val="24"/>
              </w:rPr>
              <w:t>Long-term outcome 8:</w:t>
            </w:r>
          </w:p>
          <w:p w14:paraId="2F69D906" w14:textId="77777777" w:rsidR="00A65501" w:rsidRPr="00CD1D16" w:rsidRDefault="00A65501" w:rsidP="00907E73">
            <w:pPr>
              <w:pStyle w:val="NoSpacing"/>
              <w:rPr>
                <w:b/>
                <w:sz w:val="24"/>
                <w:szCs w:val="24"/>
              </w:rPr>
            </w:pPr>
            <w:r w:rsidRPr="00CD1D16">
              <w:rPr>
                <w:sz w:val="24"/>
                <w:szCs w:val="24"/>
              </w:rPr>
              <w:t xml:space="preserve">Reduction in DSP and/or Youth Allowance  </w:t>
            </w:r>
          </w:p>
        </w:tc>
        <w:tc>
          <w:tcPr>
            <w:tcW w:w="0" w:type="auto"/>
            <w:vAlign w:val="center"/>
          </w:tcPr>
          <w:p w14:paraId="0AB780B7" w14:textId="77777777" w:rsidR="00A65501" w:rsidRPr="00CD1D16" w:rsidRDefault="00A65501" w:rsidP="00907E73">
            <w:pPr>
              <w:rPr>
                <w:rFonts w:cs="Arial"/>
                <w:sz w:val="24"/>
                <w:szCs w:val="24"/>
              </w:rPr>
            </w:pPr>
            <w:r w:rsidRPr="00CD1D16">
              <w:rPr>
                <w:rFonts w:cs="Arial"/>
                <w:sz w:val="24"/>
                <w:szCs w:val="24"/>
              </w:rPr>
              <w:t>$2,800</w:t>
            </w:r>
          </w:p>
        </w:tc>
        <w:tc>
          <w:tcPr>
            <w:tcW w:w="0" w:type="auto"/>
            <w:vAlign w:val="center"/>
          </w:tcPr>
          <w:p w14:paraId="3CD1B589" w14:textId="77777777" w:rsidR="00A65501" w:rsidRPr="00CD1D16" w:rsidRDefault="00A65501" w:rsidP="00907E73">
            <w:pPr>
              <w:rPr>
                <w:rFonts w:cs="Arial"/>
                <w:sz w:val="24"/>
                <w:szCs w:val="24"/>
              </w:rPr>
            </w:pPr>
            <w:r w:rsidRPr="00CD1D16">
              <w:rPr>
                <w:rFonts w:cs="Arial"/>
                <w:sz w:val="24"/>
                <w:szCs w:val="24"/>
              </w:rPr>
              <w:t>$8.9m</w:t>
            </w:r>
          </w:p>
        </w:tc>
      </w:tr>
      <w:tr w:rsidR="00A65501" w:rsidRPr="00CD79FD" w14:paraId="30A1716F" w14:textId="77777777" w:rsidTr="00907E73">
        <w:trPr>
          <w:trHeight w:val="20"/>
          <w:jc w:val="center"/>
        </w:trPr>
        <w:tc>
          <w:tcPr>
            <w:tcW w:w="0" w:type="auto"/>
          </w:tcPr>
          <w:p w14:paraId="098525C0" w14:textId="77777777" w:rsidR="00A65501" w:rsidRPr="00CD1D16" w:rsidRDefault="00A65501" w:rsidP="00907E73">
            <w:pPr>
              <w:pStyle w:val="NoSpacing"/>
              <w:rPr>
                <w:b/>
                <w:sz w:val="24"/>
                <w:szCs w:val="24"/>
              </w:rPr>
            </w:pPr>
            <w:r w:rsidRPr="00CD1D16">
              <w:rPr>
                <w:b/>
                <w:sz w:val="24"/>
                <w:szCs w:val="24"/>
              </w:rPr>
              <w:t>Fiscal benefits</w:t>
            </w:r>
          </w:p>
          <w:p w14:paraId="5405FDC8" w14:textId="77777777" w:rsidR="00A65501" w:rsidRPr="00CD1D16" w:rsidRDefault="00A65501" w:rsidP="00907E73">
            <w:pPr>
              <w:pStyle w:val="NoSpacing"/>
              <w:rPr>
                <w:b/>
                <w:sz w:val="24"/>
                <w:szCs w:val="24"/>
              </w:rPr>
            </w:pPr>
          </w:p>
        </w:tc>
        <w:tc>
          <w:tcPr>
            <w:tcW w:w="0" w:type="auto"/>
          </w:tcPr>
          <w:p w14:paraId="04E5C2FE" w14:textId="77777777" w:rsidR="00A65501" w:rsidRPr="00CD1D16" w:rsidRDefault="00A65501" w:rsidP="00907E73">
            <w:pPr>
              <w:pStyle w:val="NoSpacing"/>
              <w:rPr>
                <w:b/>
                <w:sz w:val="24"/>
                <w:szCs w:val="24"/>
              </w:rPr>
            </w:pPr>
            <w:r w:rsidRPr="00CD1D16">
              <w:rPr>
                <w:b/>
                <w:sz w:val="24"/>
                <w:szCs w:val="24"/>
              </w:rPr>
              <w:t>Long-term outcome 9:</w:t>
            </w:r>
            <w:r w:rsidRPr="00CD1D16">
              <w:rPr>
                <w:sz w:val="24"/>
                <w:szCs w:val="24"/>
              </w:rPr>
              <w:br/>
              <w:t>Tax revenue from carers</w:t>
            </w:r>
          </w:p>
        </w:tc>
        <w:tc>
          <w:tcPr>
            <w:tcW w:w="0" w:type="auto"/>
            <w:vAlign w:val="center"/>
          </w:tcPr>
          <w:p w14:paraId="7D763BDF" w14:textId="77777777" w:rsidR="00A65501" w:rsidRPr="00CD1D16" w:rsidRDefault="00A65501" w:rsidP="00907E73">
            <w:pPr>
              <w:rPr>
                <w:rFonts w:cs="Arial"/>
                <w:sz w:val="24"/>
                <w:szCs w:val="24"/>
              </w:rPr>
            </w:pPr>
            <w:r w:rsidRPr="00CD1D16">
              <w:rPr>
                <w:rFonts w:cs="Arial"/>
                <w:sz w:val="24"/>
                <w:szCs w:val="24"/>
              </w:rPr>
              <w:t>$900</w:t>
            </w:r>
          </w:p>
        </w:tc>
        <w:tc>
          <w:tcPr>
            <w:tcW w:w="0" w:type="auto"/>
            <w:vAlign w:val="center"/>
          </w:tcPr>
          <w:p w14:paraId="3BE3E3A8" w14:textId="77777777" w:rsidR="00A65501" w:rsidRPr="00CD1D16" w:rsidRDefault="00A65501" w:rsidP="00907E73">
            <w:pPr>
              <w:rPr>
                <w:rFonts w:cs="Arial"/>
                <w:sz w:val="24"/>
                <w:szCs w:val="24"/>
              </w:rPr>
            </w:pPr>
            <w:r w:rsidRPr="00CD1D16">
              <w:rPr>
                <w:rFonts w:cs="Arial"/>
                <w:sz w:val="24"/>
                <w:szCs w:val="24"/>
              </w:rPr>
              <w:t>$3.0m</w:t>
            </w:r>
          </w:p>
        </w:tc>
      </w:tr>
      <w:tr w:rsidR="00A65501" w:rsidRPr="00CD79FD" w14:paraId="6CFD0E87" w14:textId="77777777" w:rsidTr="00855673">
        <w:trPr>
          <w:trHeight w:val="1142"/>
          <w:jc w:val="center"/>
        </w:trPr>
        <w:tc>
          <w:tcPr>
            <w:tcW w:w="0" w:type="auto"/>
          </w:tcPr>
          <w:p w14:paraId="3C897B27" w14:textId="77777777" w:rsidR="00A65501" w:rsidRPr="00CD1D16" w:rsidRDefault="00A65501" w:rsidP="00907E73">
            <w:pPr>
              <w:pStyle w:val="NoSpacing"/>
              <w:rPr>
                <w:b/>
                <w:sz w:val="24"/>
                <w:szCs w:val="24"/>
              </w:rPr>
            </w:pPr>
            <w:r w:rsidRPr="00CD1D16">
              <w:rPr>
                <w:b/>
                <w:sz w:val="24"/>
                <w:szCs w:val="24"/>
              </w:rPr>
              <w:t>Fiscal benefits</w:t>
            </w:r>
          </w:p>
          <w:p w14:paraId="01465A1E" w14:textId="77777777" w:rsidR="00A65501" w:rsidRPr="00CD1D16" w:rsidRDefault="00A65501" w:rsidP="00907E73">
            <w:pPr>
              <w:pStyle w:val="NoSpacing"/>
              <w:rPr>
                <w:b/>
                <w:sz w:val="24"/>
                <w:szCs w:val="24"/>
              </w:rPr>
            </w:pPr>
          </w:p>
        </w:tc>
        <w:tc>
          <w:tcPr>
            <w:tcW w:w="0" w:type="auto"/>
          </w:tcPr>
          <w:p w14:paraId="02FBE74D" w14:textId="77777777" w:rsidR="00A65501" w:rsidRPr="00CD1D16" w:rsidRDefault="00A65501" w:rsidP="00907E73">
            <w:pPr>
              <w:pStyle w:val="NoSpacing"/>
              <w:rPr>
                <w:b/>
                <w:sz w:val="24"/>
                <w:szCs w:val="24"/>
              </w:rPr>
            </w:pPr>
            <w:r w:rsidRPr="00CD1D16">
              <w:rPr>
                <w:b/>
                <w:sz w:val="24"/>
                <w:szCs w:val="24"/>
              </w:rPr>
              <w:t>Long-term outcome 10:</w:t>
            </w:r>
            <w:r w:rsidRPr="00CD1D16">
              <w:rPr>
                <w:sz w:val="24"/>
                <w:szCs w:val="24"/>
              </w:rPr>
              <w:br/>
              <w:t>Reduction in Disability Employment Assistance costs</w:t>
            </w:r>
            <w:r w:rsidRPr="00CD1D16">
              <w:rPr>
                <w:sz w:val="24"/>
                <w:szCs w:val="24"/>
              </w:rPr>
              <w:tab/>
            </w:r>
          </w:p>
        </w:tc>
        <w:tc>
          <w:tcPr>
            <w:tcW w:w="0" w:type="auto"/>
            <w:vAlign w:val="center"/>
          </w:tcPr>
          <w:p w14:paraId="14E52382" w14:textId="77777777" w:rsidR="00A65501" w:rsidRPr="00CD1D16" w:rsidRDefault="00A65501" w:rsidP="00907E73">
            <w:pPr>
              <w:rPr>
                <w:rFonts w:cs="Arial"/>
                <w:sz w:val="24"/>
                <w:szCs w:val="24"/>
              </w:rPr>
            </w:pPr>
            <w:r w:rsidRPr="00CD1D16">
              <w:rPr>
                <w:rFonts w:cs="Arial"/>
                <w:sz w:val="24"/>
                <w:szCs w:val="24"/>
              </w:rPr>
              <w:t>$4,100</w:t>
            </w:r>
            <w:r w:rsidRPr="00CD1D16">
              <w:rPr>
                <w:rFonts w:cs="Arial"/>
                <w:sz w:val="24"/>
                <w:szCs w:val="24"/>
              </w:rPr>
              <w:tab/>
            </w:r>
          </w:p>
        </w:tc>
        <w:tc>
          <w:tcPr>
            <w:tcW w:w="0" w:type="auto"/>
            <w:vAlign w:val="center"/>
          </w:tcPr>
          <w:p w14:paraId="358FE97C" w14:textId="77777777" w:rsidR="00A65501" w:rsidRPr="00CD1D16" w:rsidRDefault="00A65501" w:rsidP="00907E73">
            <w:pPr>
              <w:rPr>
                <w:rFonts w:cs="Arial"/>
                <w:sz w:val="24"/>
                <w:szCs w:val="24"/>
              </w:rPr>
            </w:pPr>
            <w:r w:rsidRPr="00CD1D16">
              <w:rPr>
                <w:rFonts w:cs="Arial"/>
                <w:sz w:val="24"/>
                <w:szCs w:val="24"/>
              </w:rPr>
              <w:t>$13.2m</w:t>
            </w:r>
          </w:p>
        </w:tc>
      </w:tr>
      <w:tr w:rsidR="00A65501" w:rsidRPr="00CD79FD" w14:paraId="09ABF6AA" w14:textId="77777777" w:rsidTr="00855673">
        <w:trPr>
          <w:trHeight w:val="20"/>
          <w:jc w:val="center"/>
        </w:trPr>
        <w:tc>
          <w:tcPr>
            <w:tcW w:w="0" w:type="auto"/>
          </w:tcPr>
          <w:p w14:paraId="43233659" w14:textId="77777777" w:rsidR="00A65501" w:rsidRPr="00CD1D16" w:rsidRDefault="00A65501" w:rsidP="00907E73">
            <w:pPr>
              <w:pStyle w:val="NoSpacing"/>
              <w:rPr>
                <w:b/>
                <w:sz w:val="24"/>
                <w:szCs w:val="24"/>
              </w:rPr>
            </w:pPr>
            <w:r w:rsidRPr="00CD1D16">
              <w:rPr>
                <w:b/>
                <w:sz w:val="24"/>
                <w:szCs w:val="24"/>
              </w:rPr>
              <w:t>Total</w:t>
            </w:r>
          </w:p>
        </w:tc>
        <w:tc>
          <w:tcPr>
            <w:tcW w:w="0" w:type="auto"/>
          </w:tcPr>
          <w:p w14:paraId="38E8BDFD" w14:textId="77777777" w:rsidR="00A65501" w:rsidRPr="00CD1D16" w:rsidRDefault="00A65501" w:rsidP="00907E73">
            <w:pPr>
              <w:pStyle w:val="NoSpacing"/>
              <w:rPr>
                <w:b/>
                <w:sz w:val="24"/>
                <w:szCs w:val="24"/>
              </w:rPr>
            </w:pPr>
          </w:p>
        </w:tc>
        <w:tc>
          <w:tcPr>
            <w:tcW w:w="0" w:type="auto"/>
            <w:vAlign w:val="center"/>
          </w:tcPr>
          <w:p w14:paraId="53CD5B97" w14:textId="77777777" w:rsidR="00A65501" w:rsidRPr="00CD1D16" w:rsidRDefault="00A65501" w:rsidP="00907E73">
            <w:pPr>
              <w:rPr>
                <w:rFonts w:cs="Arial"/>
                <w:b/>
                <w:sz w:val="24"/>
                <w:szCs w:val="24"/>
              </w:rPr>
            </w:pPr>
            <w:r w:rsidRPr="00CD1D16">
              <w:rPr>
                <w:rFonts w:cs="Arial"/>
                <w:b/>
                <w:sz w:val="24"/>
                <w:szCs w:val="24"/>
              </w:rPr>
              <w:t>$27,100</w:t>
            </w:r>
            <w:r w:rsidRPr="00CD1D16">
              <w:rPr>
                <w:rFonts w:cs="Arial"/>
                <w:b/>
                <w:sz w:val="24"/>
                <w:szCs w:val="24"/>
              </w:rPr>
              <w:tab/>
            </w:r>
          </w:p>
        </w:tc>
        <w:tc>
          <w:tcPr>
            <w:tcW w:w="0" w:type="auto"/>
          </w:tcPr>
          <w:p w14:paraId="083F910B" w14:textId="77777777" w:rsidR="00A65501" w:rsidRPr="00CD1D16" w:rsidRDefault="009D1F32" w:rsidP="00907E73">
            <w:pPr>
              <w:rPr>
                <w:rFonts w:cs="Arial"/>
                <w:b/>
                <w:sz w:val="24"/>
                <w:szCs w:val="24"/>
              </w:rPr>
            </w:pPr>
            <w:r>
              <w:rPr>
                <w:rFonts w:cs="Arial"/>
                <w:b/>
                <w:sz w:val="24"/>
                <w:szCs w:val="24"/>
              </w:rPr>
              <w:t>$87.3m</w:t>
            </w:r>
          </w:p>
        </w:tc>
      </w:tr>
    </w:tbl>
    <w:p w14:paraId="25229CEB" w14:textId="77777777" w:rsidR="00A712BB" w:rsidRPr="009D1F32" w:rsidRDefault="009D1F32">
      <w:pPr>
        <w:rPr>
          <w:rFonts w:cs="Arial"/>
          <w:sz w:val="24"/>
          <w:szCs w:val="24"/>
        </w:rPr>
      </w:pPr>
      <w:r w:rsidRPr="009D1F32">
        <w:rPr>
          <w:sz w:val="24"/>
          <w:szCs w:val="24"/>
        </w:rPr>
        <w:t xml:space="preserve">Figures rounded to the nearest $100 or $100,000, so there may be variances in row and column totals </w:t>
      </w:r>
      <w:r w:rsidR="00A712BB" w:rsidRPr="009D1F32">
        <w:rPr>
          <w:sz w:val="24"/>
          <w:szCs w:val="24"/>
        </w:rPr>
        <w:br w:type="page"/>
      </w:r>
    </w:p>
    <w:p w14:paraId="3BEAAFF3" w14:textId="77777777" w:rsidR="001B3FFF" w:rsidRDefault="00BD4243" w:rsidP="00CD1D16">
      <w:pPr>
        <w:pStyle w:val="Heading3"/>
        <w:numPr>
          <w:ilvl w:val="0"/>
          <w:numId w:val="0"/>
        </w:numPr>
      </w:pPr>
      <w:bookmarkStart w:id="11" w:name="_Toc20652511"/>
      <w:r>
        <w:lastRenderedPageBreak/>
        <w:t xml:space="preserve">Appendix: </w:t>
      </w:r>
      <w:r w:rsidR="002E37F9">
        <w:t>Calculations</w:t>
      </w:r>
      <w:bookmarkEnd w:id="11"/>
    </w:p>
    <w:p w14:paraId="356CC92E" w14:textId="77777777" w:rsidR="00EF6CF7" w:rsidRPr="00CD1D16" w:rsidRDefault="009762AE" w:rsidP="006113AF">
      <w:pPr>
        <w:pStyle w:val="Heading4"/>
      </w:pPr>
      <w:bookmarkStart w:id="12" w:name="_Hlk20494338"/>
      <w:r w:rsidRPr="00CD1D16">
        <w:t xml:space="preserve">Long Term Outcome </w:t>
      </w:r>
      <w:r w:rsidR="00EF6CF7" w:rsidRPr="00CD1D16">
        <w:t>1.</w:t>
      </w:r>
      <w:bookmarkEnd w:id="12"/>
      <w:r w:rsidR="00EF6CF7" w:rsidRPr="00CD1D16">
        <w:t xml:space="preserve"> </w:t>
      </w:r>
      <w:r w:rsidR="00C40B79" w:rsidRPr="00CD1D16">
        <w:t>Participants feel more independent</w:t>
      </w:r>
    </w:p>
    <w:p w14:paraId="296EC3A0" w14:textId="77777777" w:rsidR="00EF6CF7" w:rsidRPr="00CD1D16" w:rsidRDefault="00C40B79" w:rsidP="00EF6CF7">
      <w:pPr>
        <w:rPr>
          <w:sz w:val="24"/>
          <w:szCs w:val="24"/>
        </w:rPr>
      </w:pPr>
      <w:r w:rsidRPr="00CD1D16">
        <w:rPr>
          <w:sz w:val="24"/>
          <w:szCs w:val="24"/>
        </w:rPr>
        <w:t xml:space="preserve">Financial </w:t>
      </w:r>
      <w:r w:rsidR="000149A8" w:rsidRPr="00CD1D16">
        <w:rPr>
          <w:sz w:val="24"/>
          <w:szCs w:val="24"/>
        </w:rPr>
        <w:t>value</w:t>
      </w:r>
      <w:r w:rsidRPr="00CD1D16">
        <w:rPr>
          <w:sz w:val="24"/>
          <w:szCs w:val="24"/>
        </w:rPr>
        <w:t xml:space="preserve"> not estimated</w:t>
      </w:r>
    </w:p>
    <w:p w14:paraId="1953A9C5" w14:textId="77777777" w:rsidR="00EF6CF7" w:rsidRPr="00CD1D16" w:rsidRDefault="009762AE" w:rsidP="006113AF">
      <w:pPr>
        <w:pStyle w:val="Heading4"/>
      </w:pPr>
      <w:r w:rsidRPr="00CD1D16">
        <w:t xml:space="preserve">Long Term Outcome </w:t>
      </w:r>
      <w:r w:rsidR="00EF6CF7" w:rsidRPr="00CD1D16">
        <w:t>2.</w:t>
      </w:r>
      <w:r w:rsidR="00C40B79" w:rsidRPr="00CD1D16">
        <w:t xml:space="preserve"> Participants increase social participation</w:t>
      </w:r>
    </w:p>
    <w:p w14:paraId="39A49979" w14:textId="77777777" w:rsidR="00EF6CF7" w:rsidRPr="00CD1D16" w:rsidRDefault="00C40B79">
      <w:pPr>
        <w:rPr>
          <w:rFonts w:cs="Arial"/>
          <w:b/>
          <w:color w:val="002D62"/>
          <w:sz w:val="24"/>
          <w:szCs w:val="24"/>
        </w:rPr>
      </w:pPr>
      <w:r w:rsidRPr="00CD1D16">
        <w:rPr>
          <w:sz w:val="24"/>
          <w:szCs w:val="24"/>
        </w:rPr>
        <w:t xml:space="preserve">Financial </w:t>
      </w:r>
      <w:r w:rsidR="000149A8" w:rsidRPr="00CD1D16">
        <w:rPr>
          <w:sz w:val="24"/>
          <w:szCs w:val="24"/>
        </w:rPr>
        <w:t>value</w:t>
      </w:r>
      <w:r w:rsidRPr="00CD1D16">
        <w:rPr>
          <w:sz w:val="24"/>
          <w:szCs w:val="24"/>
        </w:rPr>
        <w:t xml:space="preserve"> not estimated</w:t>
      </w:r>
    </w:p>
    <w:p w14:paraId="7AA0858E" w14:textId="77777777" w:rsidR="00AB6B5C" w:rsidRPr="00CD1D16" w:rsidRDefault="009762AE" w:rsidP="006113AF">
      <w:pPr>
        <w:pStyle w:val="Heading4"/>
      </w:pPr>
      <w:r w:rsidRPr="00CD1D16">
        <w:t xml:space="preserve">Long Term Outcome </w:t>
      </w:r>
      <w:r w:rsidR="001A5961" w:rsidRPr="00CD1D16">
        <w:t>3. Carers Earn Increase</w:t>
      </w:r>
      <w:r w:rsidR="00F56233" w:rsidRPr="00CD1D16">
        <w:t>d</w:t>
      </w:r>
      <w:r w:rsidR="001A5961" w:rsidRPr="00CD1D16">
        <w:t xml:space="preserve"> Incomes</w:t>
      </w:r>
    </w:p>
    <w:p w14:paraId="7B30872D" w14:textId="77777777" w:rsidR="00741C8F" w:rsidRPr="00CD1D16" w:rsidRDefault="009762AE" w:rsidP="00FE4ECA">
      <w:pPr>
        <w:rPr>
          <w:rFonts w:cs="Arial"/>
          <w:b/>
          <w:sz w:val="28"/>
          <w:szCs w:val="28"/>
        </w:rPr>
      </w:pPr>
      <w:r w:rsidRPr="00CD1D16">
        <w:rPr>
          <w:rFonts w:cs="Arial"/>
          <w:b/>
          <w:sz w:val="28"/>
          <w:szCs w:val="28"/>
        </w:rPr>
        <w:t xml:space="preserve">Long Term Outcome </w:t>
      </w:r>
      <w:r w:rsidR="00741C8F" w:rsidRPr="00CD1D16">
        <w:rPr>
          <w:rFonts w:cs="Arial"/>
          <w:b/>
          <w:sz w:val="28"/>
          <w:szCs w:val="28"/>
        </w:rPr>
        <w:t>3: what outcomes do participants experience as a result of being involved in Ticket to Work</w:t>
      </w:r>
      <w:r w:rsidR="00617D02" w:rsidRPr="00CD1D16">
        <w:rPr>
          <w:rFonts w:cs="Arial"/>
          <w:b/>
          <w:sz w:val="28"/>
          <w:szCs w:val="28"/>
        </w:rPr>
        <w:t>?</w:t>
      </w:r>
    </w:p>
    <w:p w14:paraId="0FBECD73" w14:textId="77777777" w:rsidR="00380D14" w:rsidRPr="00CD1D16" w:rsidRDefault="00380D14" w:rsidP="00380D14">
      <w:pPr>
        <w:rPr>
          <w:sz w:val="24"/>
          <w:szCs w:val="24"/>
        </w:rPr>
      </w:pPr>
      <w:r w:rsidRPr="00CD1D16">
        <w:rPr>
          <w:sz w:val="24"/>
          <w:szCs w:val="24"/>
        </w:rPr>
        <w:t xml:space="preserve">There is extensive evidence to indicate that the many primary carers of people with disability want to increase their workforce participation. However, carers are often unable to do so because of the care needs of the person they care for. Research from the </w:t>
      </w:r>
      <w:r w:rsidRPr="00CD1D16">
        <w:rPr>
          <w:rFonts w:cs="Arial"/>
          <w:sz w:val="24"/>
          <w:szCs w:val="24"/>
        </w:rPr>
        <w:t>NDIA (2018)</w:t>
      </w:r>
      <w:r w:rsidRPr="00CD1D16">
        <w:rPr>
          <w:sz w:val="24"/>
          <w:szCs w:val="24"/>
        </w:rPr>
        <w:t xml:space="preserve">, </w:t>
      </w:r>
      <w:r w:rsidRPr="00CD1D16">
        <w:rPr>
          <w:rFonts w:cs="Arial"/>
          <w:sz w:val="24"/>
          <w:szCs w:val="24"/>
        </w:rPr>
        <w:t>Productivity Commission (2011)</w:t>
      </w:r>
      <w:r w:rsidRPr="00CD1D16">
        <w:rPr>
          <w:sz w:val="24"/>
          <w:szCs w:val="24"/>
        </w:rPr>
        <w:t xml:space="preserve">, </w:t>
      </w:r>
      <w:r w:rsidRPr="00CD1D16">
        <w:rPr>
          <w:rFonts w:cs="Arial"/>
          <w:sz w:val="24"/>
          <w:szCs w:val="24"/>
        </w:rPr>
        <w:t>Deloitte Access Economics (2011)</w:t>
      </w:r>
      <w:r w:rsidRPr="00CD1D16">
        <w:rPr>
          <w:sz w:val="24"/>
          <w:szCs w:val="24"/>
        </w:rPr>
        <w:t xml:space="preserve">, and </w:t>
      </w:r>
      <w:r w:rsidRPr="00CD1D16">
        <w:rPr>
          <w:rFonts w:cs="Arial"/>
          <w:sz w:val="24"/>
          <w:szCs w:val="24"/>
        </w:rPr>
        <w:t>PWC (2012</w:t>
      </w:r>
      <w:r w:rsidRPr="00CD1D16">
        <w:rPr>
          <w:sz w:val="24"/>
          <w:szCs w:val="24"/>
        </w:rPr>
        <w:t xml:space="preserve">) has indicated that the NDIS rollout will enable carers to return to work or increase their work hours as a result of reduced care responsibilities. </w:t>
      </w:r>
    </w:p>
    <w:p w14:paraId="25DC713F" w14:textId="77777777" w:rsidR="00380D14" w:rsidRPr="00CD1D16" w:rsidRDefault="00380D14" w:rsidP="00050FB1">
      <w:pPr>
        <w:rPr>
          <w:sz w:val="24"/>
          <w:szCs w:val="24"/>
        </w:rPr>
      </w:pPr>
      <w:r w:rsidRPr="00CD1D16">
        <w:rPr>
          <w:sz w:val="24"/>
          <w:szCs w:val="24"/>
        </w:rPr>
        <w:t xml:space="preserve">We adopt a similar approach here, working from the assumption that an increase in the working hours of a person with disability will mean that carers may also be able to increase their work hours. The NDIA is actively researching the extent to which carers are actually returning to work as a result of the NDIS. Early research indicates that there has been a small increase in the number of carers who have increased work (NDIA 2018). </w:t>
      </w:r>
    </w:p>
    <w:p w14:paraId="14F147C5" w14:textId="77777777" w:rsidR="00050FB1" w:rsidRPr="00CD1D16" w:rsidRDefault="009762AE" w:rsidP="00050FB1">
      <w:pPr>
        <w:rPr>
          <w:rFonts w:cs="Arial"/>
          <w:b/>
          <w:sz w:val="28"/>
          <w:szCs w:val="28"/>
        </w:rPr>
      </w:pPr>
      <w:r w:rsidRPr="00CD1D16">
        <w:rPr>
          <w:rFonts w:cs="Arial"/>
          <w:b/>
          <w:sz w:val="28"/>
          <w:szCs w:val="28"/>
        </w:rPr>
        <w:t xml:space="preserve">Long Term Outcome </w:t>
      </w:r>
      <w:r w:rsidR="00050FB1" w:rsidRPr="00CD1D16">
        <w:rPr>
          <w:rFonts w:cs="Arial"/>
          <w:b/>
          <w:sz w:val="28"/>
          <w:szCs w:val="28"/>
        </w:rPr>
        <w:t xml:space="preserve">3: what </w:t>
      </w:r>
      <w:r w:rsidR="00DE0B01" w:rsidRPr="00CD1D16">
        <w:rPr>
          <w:rFonts w:cs="Arial"/>
          <w:b/>
          <w:sz w:val="28"/>
          <w:szCs w:val="28"/>
        </w:rPr>
        <w:t>benefits or costs can reasonably</w:t>
      </w:r>
      <w:r w:rsidR="00050FB1" w:rsidRPr="00CD1D16">
        <w:rPr>
          <w:rFonts w:cs="Arial"/>
          <w:b/>
          <w:sz w:val="28"/>
          <w:szCs w:val="28"/>
        </w:rPr>
        <w:t xml:space="preserve"> be expected to occur as a result of that outcome?</w:t>
      </w:r>
    </w:p>
    <w:p w14:paraId="075B07CB" w14:textId="77777777" w:rsidR="006356DF" w:rsidRPr="00CD1D16" w:rsidRDefault="006356DF" w:rsidP="006356DF">
      <w:pPr>
        <w:rPr>
          <w:b/>
          <w:sz w:val="24"/>
          <w:szCs w:val="24"/>
        </w:rPr>
      </w:pPr>
      <w:r w:rsidRPr="00CD1D16">
        <w:rPr>
          <w:sz w:val="24"/>
          <w:szCs w:val="24"/>
        </w:rPr>
        <w:t>Carers were not interviewed as part of the 2019 ARTD evaluation, and no comparison group was established. As such, it is necessary to extrapolate the likely impact on carers from other research. For carers the key assumptions are:</w:t>
      </w:r>
    </w:p>
    <w:tbl>
      <w:tblPr>
        <w:tblStyle w:val="TableGrid"/>
        <w:tblW w:w="0" w:type="auto"/>
        <w:tblLook w:val="04A0" w:firstRow="1" w:lastRow="0" w:firstColumn="1" w:lastColumn="0" w:noHBand="0" w:noVBand="1"/>
        <w:tblDescription w:val="Group Carers. Assumption 47% of carers, want to work more, but are prevented from doing so by care responsbilities. Source 52% of family members would like to work more, 91% of whom are prevented from doing so by care responsbilities (NDIA)(2019). Calculated as 91% of 52%. Assumption- 94.8% of carers who want to work more are able to find work. Source- inverse of 5.2% general unemployment rate (ABS 2019b). Assumption- carers earn $31.93 per hour of additional work ($29.16 plus 9.5% superannuation). source carers are typically older and are expereinced in the workforce. We assume they earn 70% of average weekly earnings (converted to an hourly rate)(ABS 2019a). Long (2015) assumed average weekly earnings in his modelling for carer employment, but we have adopted a slighlty more conservative approach. Assumption- carers who are able to work more increase their own work hours by half the amount that the person they care for works. source- we know from NDIA (2018) that 75% of carers already work more than 15hours per week, so work hour increases are likely to be moderate. This is more conservative than long (2015), who estimated approximately 1:1 ratio of FTE carer to person with disability employment changes. assumption carers pay a marginal tax rate of 19.5%. source marginal tax rate for someone earning average weekly earnings (ATO 2019).  assumption no change to carer support payments. source: The eligbility rules for carer support payments rely on an array of factors, including residence status of the person with disability, assests and spouse income. Assumption one carer per person with disability is able to increase work hours. Source- whilst many people with disability have multiple carers, our model assumes only one of these carers is able to change work habitis as a result of the person with disability going to work. Again, Long (2015)'s model shows a 1:1 FTE ratio of employment between carers and people with disability, so this assumption is likely reasonable. "/>
      </w:tblPr>
      <w:tblGrid>
        <w:gridCol w:w="937"/>
        <w:gridCol w:w="3113"/>
        <w:gridCol w:w="4966"/>
      </w:tblGrid>
      <w:tr w:rsidR="00BF5342" w:rsidRPr="006126B2" w14:paraId="1A8D1921" w14:textId="77777777" w:rsidTr="006C4FFC">
        <w:trPr>
          <w:tblHeader/>
        </w:trPr>
        <w:tc>
          <w:tcPr>
            <w:tcW w:w="0" w:type="auto"/>
            <w:shd w:val="clear" w:color="auto" w:fill="7F7F7F" w:themeFill="text1" w:themeFillTint="80"/>
          </w:tcPr>
          <w:p w14:paraId="4A46A534" w14:textId="77777777" w:rsidR="00BF5342" w:rsidRPr="00CD1D16" w:rsidRDefault="00BF5342" w:rsidP="00BF5342">
            <w:pPr>
              <w:rPr>
                <w:sz w:val="24"/>
                <w:szCs w:val="24"/>
              </w:rPr>
            </w:pPr>
            <w:r w:rsidRPr="00CD1D16">
              <w:rPr>
                <w:color w:val="FFFFFF" w:themeColor="background1"/>
                <w:sz w:val="24"/>
                <w:szCs w:val="24"/>
              </w:rPr>
              <w:t>Group</w:t>
            </w:r>
          </w:p>
        </w:tc>
        <w:tc>
          <w:tcPr>
            <w:tcW w:w="0" w:type="auto"/>
            <w:shd w:val="clear" w:color="auto" w:fill="7F7F7F" w:themeFill="text1" w:themeFillTint="80"/>
          </w:tcPr>
          <w:p w14:paraId="133C870C" w14:textId="77777777" w:rsidR="00BF5342" w:rsidRPr="00CD1D16" w:rsidRDefault="00BF5342" w:rsidP="00BF5342">
            <w:pPr>
              <w:rPr>
                <w:color w:val="FFFFFF" w:themeColor="background1"/>
                <w:sz w:val="24"/>
                <w:szCs w:val="24"/>
              </w:rPr>
            </w:pPr>
            <w:r w:rsidRPr="00CD1D16">
              <w:rPr>
                <w:color w:val="FFFFFF" w:themeColor="background1"/>
                <w:sz w:val="24"/>
                <w:szCs w:val="24"/>
              </w:rPr>
              <w:t>Assumption</w:t>
            </w:r>
          </w:p>
        </w:tc>
        <w:tc>
          <w:tcPr>
            <w:tcW w:w="0" w:type="auto"/>
            <w:shd w:val="clear" w:color="auto" w:fill="7F7F7F" w:themeFill="text1" w:themeFillTint="80"/>
          </w:tcPr>
          <w:p w14:paraId="141591F5" w14:textId="77777777" w:rsidR="00BF5342" w:rsidRPr="00CD1D16" w:rsidRDefault="00BF5342" w:rsidP="00BF5342">
            <w:pPr>
              <w:rPr>
                <w:color w:val="FFFFFF" w:themeColor="background1"/>
                <w:sz w:val="24"/>
                <w:szCs w:val="24"/>
              </w:rPr>
            </w:pPr>
            <w:r w:rsidRPr="00CD1D16">
              <w:rPr>
                <w:color w:val="FFFFFF" w:themeColor="background1"/>
                <w:sz w:val="24"/>
                <w:szCs w:val="24"/>
              </w:rPr>
              <w:t>Source</w:t>
            </w:r>
          </w:p>
        </w:tc>
      </w:tr>
      <w:tr w:rsidR="00BF5342" w:rsidRPr="006126B2" w14:paraId="58A9793C" w14:textId="77777777" w:rsidTr="00BF5342">
        <w:tc>
          <w:tcPr>
            <w:tcW w:w="0" w:type="auto"/>
          </w:tcPr>
          <w:p w14:paraId="3209D883" w14:textId="77777777" w:rsidR="00BF5342" w:rsidRPr="00CD1D16" w:rsidRDefault="00BF5342" w:rsidP="00BF5342">
            <w:pPr>
              <w:rPr>
                <w:sz w:val="24"/>
                <w:szCs w:val="24"/>
              </w:rPr>
            </w:pPr>
            <w:r w:rsidRPr="00CD1D16">
              <w:rPr>
                <w:sz w:val="24"/>
                <w:szCs w:val="24"/>
              </w:rPr>
              <w:t>Carers</w:t>
            </w:r>
          </w:p>
        </w:tc>
        <w:tc>
          <w:tcPr>
            <w:tcW w:w="0" w:type="auto"/>
          </w:tcPr>
          <w:p w14:paraId="3EC3E50B" w14:textId="77777777" w:rsidR="00BF5342" w:rsidRPr="00CD1D16" w:rsidRDefault="00BF5342" w:rsidP="00BF5342">
            <w:pPr>
              <w:rPr>
                <w:sz w:val="24"/>
                <w:szCs w:val="24"/>
              </w:rPr>
            </w:pPr>
            <w:r w:rsidRPr="00CD1D16">
              <w:rPr>
                <w:sz w:val="24"/>
                <w:szCs w:val="24"/>
              </w:rPr>
              <w:t>47% of carers want to work more, but are prevented from doing so by care responsibilities</w:t>
            </w:r>
          </w:p>
        </w:tc>
        <w:tc>
          <w:tcPr>
            <w:tcW w:w="0" w:type="auto"/>
          </w:tcPr>
          <w:p w14:paraId="7C36AD76" w14:textId="77777777" w:rsidR="00BF5342" w:rsidRPr="00CD1D16" w:rsidRDefault="00BF5342" w:rsidP="00BF5342">
            <w:pPr>
              <w:rPr>
                <w:sz w:val="24"/>
                <w:szCs w:val="24"/>
              </w:rPr>
            </w:pPr>
            <w:r w:rsidRPr="00CD1D16">
              <w:rPr>
                <w:sz w:val="24"/>
                <w:szCs w:val="24"/>
              </w:rPr>
              <w:t>52% of family members would like to work more, 91% of whom are prevented from doing so by care responsibilities (NDIA (2019)). Calculated as 91% of 52%.</w:t>
            </w:r>
          </w:p>
        </w:tc>
      </w:tr>
      <w:tr w:rsidR="00BF5342" w:rsidRPr="006126B2" w14:paraId="56A16089" w14:textId="77777777" w:rsidTr="00BF5342">
        <w:tc>
          <w:tcPr>
            <w:tcW w:w="0" w:type="auto"/>
          </w:tcPr>
          <w:p w14:paraId="789CC5E4" w14:textId="77777777" w:rsidR="00BF5342" w:rsidRPr="00CD1D16" w:rsidRDefault="00BF5342" w:rsidP="00BF5342">
            <w:pPr>
              <w:rPr>
                <w:sz w:val="24"/>
                <w:szCs w:val="24"/>
              </w:rPr>
            </w:pPr>
            <w:r w:rsidRPr="00CD1D16">
              <w:rPr>
                <w:sz w:val="24"/>
                <w:szCs w:val="24"/>
              </w:rPr>
              <w:t>Carers</w:t>
            </w:r>
          </w:p>
        </w:tc>
        <w:tc>
          <w:tcPr>
            <w:tcW w:w="0" w:type="auto"/>
          </w:tcPr>
          <w:p w14:paraId="3160A687" w14:textId="77777777" w:rsidR="00BF5342" w:rsidRPr="00CD1D16" w:rsidRDefault="00BF5342" w:rsidP="00BF5342">
            <w:pPr>
              <w:rPr>
                <w:sz w:val="24"/>
                <w:szCs w:val="24"/>
              </w:rPr>
            </w:pPr>
            <w:r w:rsidRPr="00CD1D16">
              <w:rPr>
                <w:sz w:val="24"/>
                <w:szCs w:val="24"/>
              </w:rPr>
              <w:t>94.8% of carers who want to work more are able to find work</w:t>
            </w:r>
          </w:p>
        </w:tc>
        <w:tc>
          <w:tcPr>
            <w:tcW w:w="0" w:type="auto"/>
          </w:tcPr>
          <w:p w14:paraId="63E155B1" w14:textId="77777777" w:rsidR="00BF5342" w:rsidRPr="00CD1D16" w:rsidRDefault="00BF5342" w:rsidP="00BF5342">
            <w:pPr>
              <w:rPr>
                <w:sz w:val="24"/>
                <w:szCs w:val="24"/>
              </w:rPr>
            </w:pPr>
            <w:r w:rsidRPr="00CD1D16">
              <w:rPr>
                <w:sz w:val="24"/>
                <w:szCs w:val="24"/>
              </w:rPr>
              <w:t>Inverse of 5.2% general unemployment rate (ABS 2019b)</w:t>
            </w:r>
          </w:p>
        </w:tc>
      </w:tr>
      <w:tr w:rsidR="00BF5342" w:rsidRPr="006126B2" w14:paraId="2AF078B3" w14:textId="77777777" w:rsidTr="00BF5342">
        <w:tc>
          <w:tcPr>
            <w:tcW w:w="0" w:type="auto"/>
          </w:tcPr>
          <w:p w14:paraId="08013D91" w14:textId="77777777" w:rsidR="00BF5342" w:rsidRPr="00CD1D16" w:rsidRDefault="00BF5342" w:rsidP="00BF5342">
            <w:pPr>
              <w:rPr>
                <w:sz w:val="24"/>
                <w:szCs w:val="24"/>
              </w:rPr>
            </w:pPr>
            <w:r w:rsidRPr="00CD1D16">
              <w:rPr>
                <w:sz w:val="24"/>
                <w:szCs w:val="24"/>
              </w:rPr>
              <w:lastRenderedPageBreak/>
              <w:t>Carers</w:t>
            </w:r>
          </w:p>
        </w:tc>
        <w:tc>
          <w:tcPr>
            <w:tcW w:w="0" w:type="auto"/>
          </w:tcPr>
          <w:p w14:paraId="32A39654" w14:textId="77777777" w:rsidR="00BF5342" w:rsidRPr="00CD1D16" w:rsidRDefault="00BF5342" w:rsidP="00BF5342">
            <w:pPr>
              <w:rPr>
                <w:sz w:val="24"/>
                <w:szCs w:val="24"/>
              </w:rPr>
            </w:pPr>
            <w:r w:rsidRPr="00CD1D16">
              <w:rPr>
                <w:sz w:val="24"/>
                <w:szCs w:val="24"/>
              </w:rPr>
              <w:t>Carers earn $31.93 per hour of additional work ($29.16 plus 9.5% superannuation)</w:t>
            </w:r>
          </w:p>
        </w:tc>
        <w:tc>
          <w:tcPr>
            <w:tcW w:w="0" w:type="auto"/>
          </w:tcPr>
          <w:p w14:paraId="48CAE643" w14:textId="77777777" w:rsidR="00BF5342" w:rsidRPr="00CD1D16" w:rsidRDefault="00BF5342" w:rsidP="00BF5342">
            <w:pPr>
              <w:rPr>
                <w:sz w:val="24"/>
                <w:szCs w:val="24"/>
              </w:rPr>
            </w:pPr>
            <w:r w:rsidRPr="00CD1D16">
              <w:rPr>
                <w:sz w:val="24"/>
                <w:szCs w:val="24"/>
              </w:rPr>
              <w:t>Carers are typically older and are experienced in the workforce. We assume they earn 70% of average weekly earnings (converted to an hourly rate) (ABS 2019a). Long (2015) assumed average weekly earnings in his modelling for carer employment, but we have adopted a slightly more conservative approach.</w:t>
            </w:r>
          </w:p>
        </w:tc>
      </w:tr>
      <w:tr w:rsidR="00BF5342" w:rsidRPr="006126B2" w14:paraId="59FB395B" w14:textId="77777777" w:rsidTr="00BF5342">
        <w:tc>
          <w:tcPr>
            <w:tcW w:w="0" w:type="auto"/>
          </w:tcPr>
          <w:p w14:paraId="66533521" w14:textId="77777777" w:rsidR="00BF5342" w:rsidRPr="00CD1D16" w:rsidRDefault="00BF5342" w:rsidP="00BF5342">
            <w:pPr>
              <w:rPr>
                <w:sz w:val="24"/>
                <w:szCs w:val="24"/>
              </w:rPr>
            </w:pPr>
            <w:r w:rsidRPr="00CD1D16">
              <w:rPr>
                <w:sz w:val="24"/>
                <w:szCs w:val="24"/>
              </w:rPr>
              <w:t>Carers</w:t>
            </w:r>
          </w:p>
        </w:tc>
        <w:tc>
          <w:tcPr>
            <w:tcW w:w="0" w:type="auto"/>
          </w:tcPr>
          <w:p w14:paraId="212A257B" w14:textId="77777777" w:rsidR="00BF5342" w:rsidRPr="00CD1D16" w:rsidRDefault="00BF5342" w:rsidP="00BF5342">
            <w:pPr>
              <w:rPr>
                <w:sz w:val="24"/>
                <w:szCs w:val="24"/>
              </w:rPr>
            </w:pPr>
            <w:r w:rsidRPr="00CD1D16">
              <w:rPr>
                <w:sz w:val="24"/>
                <w:szCs w:val="24"/>
              </w:rPr>
              <w:t>Carers who are able to work more increase their own work hours by half the amount that the person they care for works</w:t>
            </w:r>
          </w:p>
        </w:tc>
        <w:tc>
          <w:tcPr>
            <w:tcW w:w="0" w:type="auto"/>
          </w:tcPr>
          <w:p w14:paraId="68ECA823" w14:textId="77777777" w:rsidR="00BF5342" w:rsidRPr="00CD1D16" w:rsidRDefault="00BF5342" w:rsidP="00BF5342">
            <w:pPr>
              <w:rPr>
                <w:sz w:val="24"/>
                <w:szCs w:val="24"/>
              </w:rPr>
            </w:pPr>
            <w:r w:rsidRPr="00CD1D16">
              <w:rPr>
                <w:sz w:val="24"/>
                <w:szCs w:val="24"/>
              </w:rPr>
              <w:t>We know from NDIA (2018) that 75% of carers already work more than 15 hours per week, so work hour increases are likely to be moderate. This is more conservative than Long (2015), who estimated approximately 1:1 ratio of FTE carer to person with disability employment changes.</w:t>
            </w:r>
          </w:p>
        </w:tc>
      </w:tr>
      <w:tr w:rsidR="00BF5342" w:rsidRPr="006126B2" w14:paraId="5B297BC4" w14:textId="77777777" w:rsidTr="00BF5342">
        <w:tc>
          <w:tcPr>
            <w:tcW w:w="0" w:type="auto"/>
          </w:tcPr>
          <w:p w14:paraId="15D42E74" w14:textId="77777777" w:rsidR="00BF5342" w:rsidRPr="00CD1D16" w:rsidRDefault="00BF5342" w:rsidP="00BF5342">
            <w:pPr>
              <w:rPr>
                <w:sz w:val="24"/>
                <w:szCs w:val="24"/>
              </w:rPr>
            </w:pPr>
            <w:r w:rsidRPr="00CD1D16">
              <w:rPr>
                <w:sz w:val="24"/>
                <w:szCs w:val="24"/>
              </w:rPr>
              <w:t>Carers</w:t>
            </w:r>
          </w:p>
        </w:tc>
        <w:tc>
          <w:tcPr>
            <w:tcW w:w="0" w:type="auto"/>
          </w:tcPr>
          <w:p w14:paraId="0806DC2E" w14:textId="77777777" w:rsidR="00BF5342" w:rsidRPr="00CD1D16" w:rsidRDefault="00BF5342" w:rsidP="00BF5342">
            <w:pPr>
              <w:rPr>
                <w:sz w:val="24"/>
                <w:szCs w:val="24"/>
              </w:rPr>
            </w:pPr>
            <w:r w:rsidRPr="00CD1D16">
              <w:rPr>
                <w:sz w:val="24"/>
                <w:szCs w:val="24"/>
              </w:rPr>
              <w:t>Carers pay a marginal tax rate of 19.5%</w:t>
            </w:r>
          </w:p>
        </w:tc>
        <w:tc>
          <w:tcPr>
            <w:tcW w:w="0" w:type="auto"/>
          </w:tcPr>
          <w:p w14:paraId="0A39817E" w14:textId="77777777" w:rsidR="00BF5342" w:rsidRPr="00CD1D16" w:rsidRDefault="00BF5342" w:rsidP="00BF5342">
            <w:pPr>
              <w:rPr>
                <w:sz w:val="24"/>
                <w:szCs w:val="24"/>
              </w:rPr>
            </w:pPr>
            <w:r w:rsidRPr="00CD1D16">
              <w:rPr>
                <w:sz w:val="24"/>
                <w:szCs w:val="24"/>
              </w:rPr>
              <w:t>Marginal tax rate for someone earning average weekly earnings (ATO 2019)</w:t>
            </w:r>
          </w:p>
        </w:tc>
      </w:tr>
      <w:tr w:rsidR="00BF5342" w:rsidRPr="006126B2" w14:paraId="6BED2CCF" w14:textId="77777777" w:rsidTr="00BF5342">
        <w:tc>
          <w:tcPr>
            <w:tcW w:w="0" w:type="auto"/>
          </w:tcPr>
          <w:p w14:paraId="617DE27F" w14:textId="77777777" w:rsidR="00BF5342" w:rsidRPr="00CD1D16" w:rsidRDefault="00BF5342" w:rsidP="00BF5342">
            <w:pPr>
              <w:rPr>
                <w:sz w:val="24"/>
                <w:szCs w:val="24"/>
              </w:rPr>
            </w:pPr>
            <w:r w:rsidRPr="00CD1D16">
              <w:rPr>
                <w:sz w:val="24"/>
                <w:szCs w:val="24"/>
              </w:rPr>
              <w:t>Carers</w:t>
            </w:r>
          </w:p>
        </w:tc>
        <w:tc>
          <w:tcPr>
            <w:tcW w:w="0" w:type="auto"/>
          </w:tcPr>
          <w:p w14:paraId="3567093D" w14:textId="77777777" w:rsidR="00BF5342" w:rsidRPr="00CD1D16" w:rsidRDefault="00BF5342" w:rsidP="00BF5342">
            <w:pPr>
              <w:rPr>
                <w:sz w:val="24"/>
                <w:szCs w:val="24"/>
              </w:rPr>
            </w:pPr>
            <w:r w:rsidRPr="00CD1D16">
              <w:rPr>
                <w:sz w:val="24"/>
                <w:szCs w:val="24"/>
              </w:rPr>
              <w:t>No change to carer support payments</w:t>
            </w:r>
          </w:p>
        </w:tc>
        <w:tc>
          <w:tcPr>
            <w:tcW w:w="0" w:type="auto"/>
          </w:tcPr>
          <w:p w14:paraId="4CDA409A" w14:textId="77777777" w:rsidR="00BF5342" w:rsidRPr="00CD1D16" w:rsidRDefault="00BF5342" w:rsidP="00BF5342">
            <w:pPr>
              <w:rPr>
                <w:sz w:val="24"/>
                <w:szCs w:val="24"/>
              </w:rPr>
            </w:pPr>
            <w:r w:rsidRPr="00CD1D16">
              <w:rPr>
                <w:sz w:val="24"/>
                <w:szCs w:val="24"/>
              </w:rPr>
              <w:t>The eligibility rules for carer support payments rely on an array of factors, including residence status of the person with disability, assets, and spouse income.</w:t>
            </w:r>
          </w:p>
        </w:tc>
      </w:tr>
      <w:tr w:rsidR="00BF5342" w:rsidRPr="006126B2" w14:paraId="381E08E4" w14:textId="77777777" w:rsidTr="00BF5342">
        <w:tc>
          <w:tcPr>
            <w:tcW w:w="0" w:type="auto"/>
          </w:tcPr>
          <w:p w14:paraId="04DCEB60" w14:textId="77777777" w:rsidR="00BF5342" w:rsidRPr="00CD1D16" w:rsidRDefault="00BF5342" w:rsidP="00BF5342">
            <w:pPr>
              <w:rPr>
                <w:sz w:val="24"/>
                <w:szCs w:val="24"/>
              </w:rPr>
            </w:pPr>
            <w:r w:rsidRPr="00CD1D16">
              <w:rPr>
                <w:sz w:val="24"/>
                <w:szCs w:val="24"/>
              </w:rPr>
              <w:t>Carers</w:t>
            </w:r>
          </w:p>
        </w:tc>
        <w:tc>
          <w:tcPr>
            <w:tcW w:w="0" w:type="auto"/>
          </w:tcPr>
          <w:p w14:paraId="2A3E8430" w14:textId="77777777" w:rsidR="00BF5342" w:rsidRPr="00CD1D16" w:rsidRDefault="00BF5342" w:rsidP="00BF5342">
            <w:pPr>
              <w:rPr>
                <w:sz w:val="24"/>
                <w:szCs w:val="24"/>
              </w:rPr>
            </w:pPr>
            <w:r w:rsidRPr="00CD1D16">
              <w:rPr>
                <w:sz w:val="24"/>
                <w:szCs w:val="24"/>
              </w:rPr>
              <w:t>One carer per person with disability is able to increase work hours</w:t>
            </w:r>
          </w:p>
        </w:tc>
        <w:tc>
          <w:tcPr>
            <w:tcW w:w="0" w:type="auto"/>
          </w:tcPr>
          <w:p w14:paraId="3B61F5C3" w14:textId="77777777" w:rsidR="00BF5342" w:rsidRPr="00CD1D16" w:rsidRDefault="00BF5342" w:rsidP="00BF5342">
            <w:pPr>
              <w:rPr>
                <w:sz w:val="24"/>
                <w:szCs w:val="24"/>
              </w:rPr>
            </w:pPr>
            <w:r w:rsidRPr="00CD1D16">
              <w:rPr>
                <w:sz w:val="24"/>
                <w:szCs w:val="24"/>
              </w:rPr>
              <w:t>Whilst many people with disability have multiple carers, our model assumes only one of these carers is able to change work habits as a result of the person with disability going to work. Again, Long (2015)’s model shows a 1:1 FTE ratio of employment between carers and people with disability, so this assumption is likely reasonable.</w:t>
            </w:r>
          </w:p>
        </w:tc>
      </w:tr>
    </w:tbl>
    <w:p w14:paraId="7347DE81" w14:textId="77777777" w:rsidR="00380D14" w:rsidRDefault="00380D14"/>
    <w:p w14:paraId="272FE63D" w14:textId="77777777" w:rsidR="00AB0153" w:rsidRPr="00CD1D16" w:rsidRDefault="009762AE">
      <w:pPr>
        <w:rPr>
          <w:rFonts w:cs="Arial"/>
          <w:b/>
          <w:sz w:val="28"/>
          <w:szCs w:val="28"/>
        </w:rPr>
      </w:pPr>
      <w:r w:rsidRPr="00CD1D16">
        <w:rPr>
          <w:rFonts w:cs="Arial"/>
          <w:b/>
          <w:sz w:val="28"/>
          <w:szCs w:val="28"/>
        </w:rPr>
        <w:t xml:space="preserve">Long Term Outcome </w:t>
      </w:r>
      <w:r w:rsidR="00E77C43" w:rsidRPr="00CD1D16">
        <w:rPr>
          <w:rFonts w:cs="Arial"/>
          <w:b/>
          <w:sz w:val="28"/>
          <w:szCs w:val="28"/>
        </w:rPr>
        <w:t>3: how many T</w:t>
      </w:r>
      <w:r w:rsidR="00DF30FD" w:rsidRPr="00CD1D16">
        <w:rPr>
          <w:rFonts w:cs="Arial"/>
          <w:b/>
          <w:sz w:val="28"/>
          <w:szCs w:val="28"/>
        </w:rPr>
        <w:t>icket to Work</w:t>
      </w:r>
      <w:r w:rsidR="00E77C43" w:rsidRPr="00CD1D16">
        <w:rPr>
          <w:rFonts w:cs="Arial"/>
          <w:b/>
          <w:sz w:val="28"/>
          <w:szCs w:val="28"/>
        </w:rPr>
        <w:t xml:space="preserve"> participants experienced these outcomes, compared to what we would expect to see in a comparable group?</w:t>
      </w:r>
    </w:p>
    <w:p w14:paraId="73A070DF" w14:textId="77777777" w:rsidR="002E794C" w:rsidRPr="00CD1D16" w:rsidRDefault="00EC1A6E">
      <w:pPr>
        <w:rPr>
          <w:rFonts w:cs="Arial"/>
          <w:sz w:val="24"/>
          <w:szCs w:val="24"/>
        </w:rPr>
      </w:pPr>
      <w:r w:rsidRPr="00CD1D16">
        <w:rPr>
          <w:rFonts w:cs="Arial"/>
          <w:sz w:val="24"/>
          <w:szCs w:val="24"/>
        </w:rPr>
        <w:t>Using the assumptions</w:t>
      </w:r>
      <w:r w:rsidR="00EF6CF7" w:rsidRPr="00CD1D16">
        <w:rPr>
          <w:rFonts w:cs="Arial"/>
          <w:sz w:val="24"/>
          <w:szCs w:val="24"/>
        </w:rPr>
        <w:t xml:space="preserve"> in the previous section</w:t>
      </w:r>
      <w:r w:rsidRPr="00CD1D16">
        <w:rPr>
          <w:rFonts w:cs="Arial"/>
          <w:sz w:val="24"/>
          <w:szCs w:val="24"/>
        </w:rPr>
        <w:t xml:space="preserve">, the following table </w:t>
      </w:r>
      <w:r w:rsidR="00EF6CF7" w:rsidRPr="00CD1D16">
        <w:rPr>
          <w:rFonts w:cs="Arial"/>
          <w:sz w:val="24"/>
          <w:szCs w:val="24"/>
        </w:rPr>
        <w:t>calculates</w:t>
      </w:r>
      <w:r w:rsidRPr="00CD1D16">
        <w:rPr>
          <w:rFonts w:cs="Arial"/>
          <w:sz w:val="24"/>
          <w:szCs w:val="24"/>
        </w:rPr>
        <w:t xml:space="preserve"> that 475 carers in the ‘business as usual’ scenario would increase their work hours, compared to 826 in the Ticket to Work scenario. </w:t>
      </w:r>
      <w:r w:rsidR="002E794C" w:rsidRPr="00CD1D16">
        <w:rPr>
          <w:rFonts w:cs="Arial"/>
          <w:sz w:val="24"/>
          <w:szCs w:val="24"/>
        </w:rPr>
        <w:t xml:space="preserve">In other words, about 350 additional carers were able to increase their work hours as a result of </w:t>
      </w:r>
      <w:r w:rsidR="00C92EC1" w:rsidRPr="00CD1D16">
        <w:rPr>
          <w:rFonts w:cs="Arial"/>
          <w:sz w:val="24"/>
          <w:szCs w:val="24"/>
        </w:rPr>
        <w:t xml:space="preserve">participation in Ticket to Work. </w:t>
      </w:r>
    </w:p>
    <w:p w14:paraId="6D171C7C" w14:textId="77777777" w:rsidR="00EC1A6E" w:rsidRPr="00CD1D16" w:rsidRDefault="00EC1A6E">
      <w:pPr>
        <w:rPr>
          <w:rFonts w:cs="Arial"/>
          <w:sz w:val="24"/>
          <w:szCs w:val="24"/>
        </w:rPr>
      </w:pPr>
      <w:r w:rsidRPr="00CD1D16">
        <w:rPr>
          <w:rFonts w:cs="Arial"/>
          <w:sz w:val="24"/>
          <w:szCs w:val="24"/>
        </w:rPr>
        <w:t xml:space="preserve">The difference between these </w:t>
      </w:r>
      <w:r w:rsidR="00B52C6C" w:rsidRPr="00CD1D16">
        <w:rPr>
          <w:rFonts w:cs="Arial"/>
          <w:sz w:val="24"/>
          <w:szCs w:val="24"/>
        </w:rPr>
        <w:t xml:space="preserve">numbers is driven by the larger number of Ticket to Work participants who are working (and therefore enabling carers to increase work hours). </w:t>
      </w:r>
    </w:p>
    <w:p w14:paraId="2AACBC75" w14:textId="77777777" w:rsidR="00907E73" w:rsidRPr="00CD1D16" w:rsidRDefault="00907E73" w:rsidP="00907E73">
      <w:pPr>
        <w:spacing w:after="120" w:line="240" w:lineRule="auto"/>
        <w:rPr>
          <w:rFonts w:cs="Arial"/>
          <w:sz w:val="24"/>
          <w:szCs w:val="24"/>
        </w:rPr>
      </w:pPr>
      <w:r w:rsidRPr="00CD1D16">
        <w:rPr>
          <w:rFonts w:cs="Arial"/>
          <w:sz w:val="24"/>
          <w:szCs w:val="24"/>
        </w:rPr>
        <w:t>Business as usual</w:t>
      </w:r>
    </w:p>
    <w:p w14:paraId="3FC68E46" w14:textId="77777777" w:rsidR="00907E73" w:rsidRPr="00CD1D16" w:rsidRDefault="00907E73" w:rsidP="00F82447">
      <w:pPr>
        <w:pStyle w:val="ListParagraph"/>
        <w:numPr>
          <w:ilvl w:val="1"/>
          <w:numId w:val="19"/>
        </w:numPr>
        <w:spacing w:after="120" w:line="240" w:lineRule="auto"/>
        <w:ind w:left="450"/>
        <w:rPr>
          <w:rFonts w:ascii="Arial" w:hAnsi="Arial" w:cs="Arial"/>
          <w:sz w:val="24"/>
          <w:szCs w:val="24"/>
        </w:rPr>
      </w:pPr>
      <w:r w:rsidRPr="00CD1D16">
        <w:rPr>
          <w:rFonts w:ascii="Arial" w:hAnsi="Arial" w:cs="Arial"/>
          <w:sz w:val="24"/>
          <w:szCs w:val="24"/>
        </w:rPr>
        <w:lastRenderedPageBreak/>
        <w:t>PWD who work: 1,061</w:t>
      </w:r>
    </w:p>
    <w:p w14:paraId="3F4CEEFE" w14:textId="77777777" w:rsidR="00907E73" w:rsidRPr="00CD1D16" w:rsidRDefault="009D1F32" w:rsidP="00F82447">
      <w:pPr>
        <w:pStyle w:val="ListParagraph"/>
        <w:numPr>
          <w:ilvl w:val="1"/>
          <w:numId w:val="19"/>
        </w:numPr>
        <w:spacing w:after="120" w:line="240" w:lineRule="auto"/>
        <w:ind w:left="450"/>
        <w:rPr>
          <w:rFonts w:ascii="Arial" w:hAnsi="Arial" w:cs="Arial"/>
          <w:sz w:val="24"/>
          <w:szCs w:val="24"/>
        </w:rPr>
      </w:pPr>
      <w:r>
        <w:rPr>
          <w:rFonts w:ascii="Arial" w:hAnsi="Arial" w:cs="Arial"/>
          <w:sz w:val="24"/>
          <w:szCs w:val="24"/>
        </w:rPr>
        <w:t>Carers who want to work: 503</w:t>
      </w:r>
    </w:p>
    <w:p w14:paraId="05795EC5" w14:textId="77777777" w:rsidR="00907E73" w:rsidRPr="00CD1D16" w:rsidRDefault="00907E73" w:rsidP="00F82447">
      <w:pPr>
        <w:pStyle w:val="ListParagraph"/>
        <w:numPr>
          <w:ilvl w:val="1"/>
          <w:numId w:val="19"/>
        </w:numPr>
        <w:spacing w:after="120" w:line="240" w:lineRule="auto"/>
        <w:ind w:left="450"/>
        <w:rPr>
          <w:rFonts w:ascii="Arial" w:hAnsi="Arial" w:cs="Arial"/>
          <w:sz w:val="24"/>
          <w:szCs w:val="24"/>
        </w:rPr>
      </w:pPr>
      <w:r w:rsidRPr="00CD1D16">
        <w:rPr>
          <w:rFonts w:ascii="Arial" w:hAnsi="Arial" w:cs="Arial"/>
          <w:sz w:val="24"/>
          <w:szCs w:val="24"/>
        </w:rPr>
        <w:t>No. who are able to increase hours: 475</w:t>
      </w:r>
    </w:p>
    <w:p w14:paraId="1C354C8A" w14:textId="77777777" w:rsidR="00907E73" w:rsidRPr="00CD1D16" w:rsidRDefault="00907E73" w:rsidP="00907E73">
      <w:pPr>
        <w:spacing w:after="120" w:line="240" w:lineRule="auto"/>
        <w:rPr>
          <w:rFonts w:cs="Arial"/>
          <w:sz w:val="24"/>
          <w:szCs w:val="24"/>
        </w:rPr>
      </w:pPr>
      <w:r w:rsidRPr="00CD1D16">
        <w:rPr>
          <w:rFonts w:cs="Arial"/>
          <w:sz w:val="24"/>
          <w:szCs w:val="24"/>
        </w:rPr>
        <w:t>Ticket to Work</w:t>
      </w:r>
    </w:p>
    <w:p w14:paraId="43C5FA9D" w14:textId="77777777" w:rsidR="00907E73" w:rsidRPr="00CD1D16" w:rsidRDefault="009D1F32" w:rsidP="00F82447">
      <w:pPr>
        <w:pStyle w:val="ListParagraph"/>
        <w:numPr>
          <w:ilvl w:val="1"/>
          <w:numId w:val="19"/>
        </w:numPr>
        <w:spacing w:after="120" w:line="240" w:lineRule="auto"/>
        <w:ind w:left="450"/>
        <w:rPr>
          <w:rFonts w:ascii="Arial" w:hAnsi="Arial" w:cs="Arial"/>
          <w:sz w:val="24"/>
          <w:szCs w:val="24"/>
        </w:rPr>
      </w:pPr>
      <w:r>
        <w:rPr>
          <w:rFonts w:ascii="Arial" w:hAnsi="Arial" w:cs="Arial"/>
          <w:sz w:val="24"/>
          <w:szCs w:val="24"/>
        </w:rPr>
        <w:t>PWD who work: 2,058</w:t>
      </w:r>
    </w:p>
    <w:p w14:paraId="1D2C2085" w14:textId="77777777" w:rsidR="00907E73" w:rsidRPr="00CD1D16" w:rsidRDefault="009D1F32" w:rsidP="00F82447">
      <w:pPr>
        <w:pStyle w:val="ListParagraph"/>
        <w:numPr>
          <w:ilvl w:val="1"/>
          <w:numId w:val="19"/>
        </w:numPr>
        <w:spacing w:after="120" w:line="240" w:lineRule="auto"/>
        <w:ind w:left="450"/>
        <w:rPr>
          <w:rFonts w:ascii="Arial" w:hAnsi="Arial" w:cs="Arial"/>
          <w:sz w:val="24"/>
          <w:szCs w:val="24"/>
        </w:rPr>
      </w:pPr>
      <w:r>
        <w:rPr>
          <w:rFonts w:ascii="Arial" w:hAnsi="Arial" w:cs="Arial"/>
          <w:sz w:val="24"/>
          <w:szCs w:val="24"/>
        </w:rPr>
        <w:t>Carers who want to work: 974</w:t>
      </w:r>
    </w:p>
    <w:p w14:paraId="40E84CBB" w14:textId="77777777" w:rsidR="00907E73" w:rsidRPr="00CD1D16" w:rsidRDefault="00907E73" w:rsidP="00F82447">
      <w:pPr>
        <w:pStyle w:val="ListParagraph"/>
        <w:numPr>
          <w:ilvl w:val="1"/>
          <w:numId w:val="19"/>
        </w:numPr>
        <w:tabs>
          <w:tab w:val="left" w:pos="1080"/>
        </w:tabs>
        <w:spacing w:after="120" w:line="240" w:lineRule="auto"/>
        <w:ind w:left="450"/>
        <w:rPr>
          <w:rFonts w:ascii="Arial" w:hAnsi="Arial" w:cs="Arial"/>
          <w:sz w:val="24"/>
          <w:szCs w:val="24"/>
        </w:rPr>
      </w:pPr>
      <w:r w:rsidRPr="00CD1D16">
        <w:rPr>
          <w:rFonts w:ascii="Arial" w:hAnsi="Arial" w:cs="Arial"/>
          <w:sz w:val="24"/>
          <w:szCs w:val="24"/>
        </w:rPr>
        <w:t>No. who ar</w:t>
      </w:r>
      <w:r w:rsidR="009D1F32">
        <w:rPr>
          <w:rFonts w:ascii="Arial" w:hAnsi="Arial" w:cs="Arial"/>
          <w:sz w:val="24"/>
          <w:szCs w:val="24"/>
        </w:rPr>
        <w:t>e able to increase hours: 921</w:t>
      </w:r>
    </w:p>
    <w:p w14:paraId="2AD4878A" w14:textId="77777777" w:rsidR="00D7488D" w:rsidRPr="00F82447" w:rsidRDefault="009762AE" w:rsidP="00D7488D">
      <w:pPr>
        <w:rPr>
          <w:rFonts w:cs="Arial"/>
          <w:b/>
          <w:sz w:val="28"/>
          <w:szCs w:val="28"/>
        </w:rPr>
      </w:pPr>
      <w:r w:rsidRPr="00F82447">
        <w:rPr>
          <w:rFonts w:cs="Arial"/>
          <w:b/>
          <w:sz w:val="28"/>
          <w:szCs w:val="28"/>
        </w:rPr>
        <w:t xml:space="preserve">Long Term Outcome </w:t>
      </w:r>
      <w:r w:rsidR="00D7488D" w:rsidRPr="00F82447">
        <w:rPr>
          <w:rFonts w:cs="Arial"/>
          <w:b/>
          <w:sz w:val="28"/>
          <w:szCs w:val="28"/>
        </w:rPr>
        <w:t xml:space="preserve">3: </w:t>
      </w:r>
      <w:r w:rsidR="00E77C43" w:rsidRPr="00F82447">
        <w:rPr>
          <w:rFonts w:cs="Arial"/>
          <w:b/>
          <w:sz w:val="28"/>
          <w:szCs w:val="28"/>
        </w:rPr>
        <w:t>calculate the additional benefit generated by Ticket to Work</w:t>
      </w:r>
    </w:p>
    <w:p w14:paraId="3660784C" w14:textId="77777777" w:rsidR="00D7488D" w:rsidRPr="00CD1D16" w:rsidRDefault="00D7488D" w:rsidP="00D7488D">
      <w:pPr>
        <w:rPr>
          <w:sz w:val="24"/>
          <w:szCs w:val="24"/>
        </w:rPr>
      </w:pPr>
      <w:r w:rsidRPr="00CD1D16">
        <w:rPr>
          <w:sz w:val="24"/>
          <w:szCs w:val="24"/>
        </w:rPr>
        <w:t>The following table sets out the</w:t>
      </w:r>
      <w:r w:rsidR="003851D0" w:rsidRPr="00CD1D16">
        <w:rPr>
          <w:sz w:val="24"/>
          <w:szCs w:val="24"/>
        </w:rPr>
        <w:t xml:space="preserve"> anticipated amount of </w:t>
      </w:r>
      <w:r w:rsidRPr="00CD1D16">
        <w:rPr>
          <w:sz w:val="24"/>
          <w:szCs w:val="24"/>
        </w:rPr>
        <w:t xml:space="preserve">income </w:t>
      </w:r>
      <w:r w:rsidR="003851D0" w:rsidRPr="00CD1D16">
        <w:rPr>
          <w:sz w:val="24"/>
          <w:szCs w:val="24"/>
        </w:rPr>
        <w:t>earned and tax paid</w:t>
      </w:r>
      <w:r w:rsidRPr="00CD1D16">
        <w:rPr>
          <w:sz w:val="24"/>
          <w:szCs w:val="24"/>
        </w:rPr>
        <w:t xml:space="preserve"> for </w:t>
      </w:r>
      <w:r w:rsidR="003851D0" w:rsidRPr="00CD1D16">
        <w:rPr>
          <w:sz w:val="24"/>
          <w:szCs w:val="24"/>
        </w:rPr>
        <w:t xml:space="preserve">a </w:t>
      </w:r>
      <w:r w:rsidRPr="00CD1D16">
        <w:rPr>
          <w:sz w:val="24"/>
          <w:szCs w:val="24"/>
        </w:rPr>
        <w:t>carer who increase</w:t>
      </w:r>
      <w:r w:rsidR="00C92EC1" w:rsidRPr="00CD1D16">
        <w:rPr>
          <w:sz w:val="24"/>
          <w:szCs w:val="24"/>
        </w:rPr>
        <w:t>s</w:t>
      </w:r>
      <w:r w:rsidRPr="00CD1D16">
        <w:rPr>
          <w:sz w:val="24"/>
          <w:szCs w:val="24"/>
        </w:rPr>
        <w:t xml:space="preserve"> work hours as a result of the person they care for taking up work</w:t>
      </w:r>
      <w:r w:rsidR="00E27D88" w:rsidRPr="00CD1D16">
        <w:rPr>
          <w:sz w:val="24"/>
          <w:szCs w:val="24"/>
        </w:rPr>
        <w:t xml:space="preserve">. The difference between the average increase in work hours per week </w:t>
      </w:r>
      <w:r w:rsidR="004B6EFF" w:rsidRPr="00CD1D16">
        <w:rPr>
          <w:sz w:val="24"/>
          <w:szCs w:val="24"/>
        </w:rPr>
        <w:t xml:space="preserve">is driven by the fact that Ticket to Work participants are more likely to be in open employment, and work </w:t>
      </w:r>
      <w:r w:rsidR="00E14F65" w:rsidRPr="00CD1D16">
        <w:rPr>
          <w:sz w:val="24"/>
          <w:szCs w:val="24"/>
        </w:rPr>
        <w:t>fewer</w:t>
      </w:r>
      <w:r w:rsidR="004B6EFF" w:rsidRPr="00CD1D16">
        <w:rPr>
          <w:sz w:val="24"/>
          <w:szCs w:val="24"/>
        </w:rPr>
        <w:t xml:space="preserve"> hours than the business as usual participants. </w:t>
      </w:r>
    </w:p>
    <w:p w14:paraId="2DF3DA2C" w14:textId="77777777" w:rsidR="00907E73" w:rsidRPr="00CD1D16" w:rsidRDefault="00907E73" w:rsidP="00907E73">
      <w:pPr>
        <w:spacing w:after="120" w:line="240" w:lineRule="auto"/>
        <w:rPr>
          <w:rFonts w:cs="Arial"/>
          <w:sz w:val="24"/>
          <w:szCs w:val="24"/>
        </w:rPr>
      </w:pPr>
      <w:r w:rsidRPr="00CD1D16">
        <w:rPr>
          <w:rFonts w:cs="Arial"/>
          <w:sz w:val="24"/>
          <w:szCs w:val="24"/>
        </w:rPr>
        <w:t>Business as usual</w:t>
      </w:r>
    </w:p>
    <w:p w14:paraId="7F05864C" w14:textId="77777777" w:rsidR="00907E73" w:rsidRPr="00CD1D16" w:rsidRDefault="00907E73" w:rsidP="00F82447">
      <w:pPr>
        <w:pStyle w:val="ListParagraph"/>
        <w:numPr>
          <w:ilvl w:val="1"/>
          <w:numId w:val="20"/>
        </w:numPr>
        <w:spacing w:after="120" w:line="240" w:lineRule="auto"/>
        <w:ind w:left="360"/>
        <w:rPr>
          <w:rFonts w:ascii="Arial" w:hAnsi="Arial" w:cs="Arial"/>
          <w:sz w:val="24"/>
          <w:szCs w:val="24"/>
        </w:rPr>
      </w:pPr>
      <w:r w:rsidRPr="00CD1D16">
        <w:rPr>
          <w:rFonts w:ascii="Arial" w:hAnsi="Arial" w:cs="Arial"/>
          <w:sz w:val="24"/>
          <w:szCs w:val="24"/>
        </w:rPr>
        <w:t>Hourly rate (inc super): $31.93</w:t>
      </w:r>
    </w:p>
    <w:p w14:paraId="11FE1A48" w14:textId="77777777" w:rsidR="00907E73" w:rsidRPr="00CD1D16" w:rsidRDefault="00907E73" w:rsidP="00F82447">
      <w:pPr>
        <w:pStyle w:val="ListParagraph"/>
        <w:numPr>
          <w:ilvl w:val="1"/>
          <w:numId w:val="20"/>
        </w:numPr>
        <w:spacing w:after="120" w:line="240" w:lineRule="auto"/>
        <w:ind w:left="360"/>
        <w:rPr>
          <w:rFonts w:ascii="Arial" w:hAnsi="Arial" w:cs="Arial"/>
          <w:sz w:val="24"/>
          <w:szCs w:val="24"/>
        </w:rPr>
      </w:pPr>
      <w:r w:rsidRPr="00CD1D16">
        <w:rPr>
          <w:rFonts w:ascii="Arial" w:hAnsi="Arial" w:cs="Arial"/>
          <w:sz w:val="24"/>
          <w:szCs w:val="24"/>
        </w:rPr>
        <w:t>Weig</w:t>
      </w:r>
      <w:r w:rsidR="00076460" w:rsidRPr="00CD1D16">
        <w:rPr>
          <w:rFonts w:ascii="Arial" w:hAnsi="Arial" w:cs="Arial"/>
          <w:sz w:val="24"/>
          <w:szCs w:val="24"/>
        </w:rPr>
        <w:t>hted avg. increase in work: 9.51</w:t>
      </w:r>
    </w:p>
    <w:p w14:paraId="5C42FB9E" w14:textId="77777777" w:rsidR="00907E73" w:rsidRPr="00CD1D16" w:rsidRDefault="00907E73" w:rsidP="00F82447">
      <w:pPr>
        <w:pStyle w:val="ListParagraph"/>
        <w:numPr>
          <w:ilvl w:val="1"/>
          <w:numId w:val="20"/>
        </w:numPr>
        <w:spacing w:after="120" w:line="240" w:lineRule="auto"/>
        <w:ind w:left="360"/>
        <w:rPr>
          <w:rFonts w:ascii="Arial" w:hAnsi="Arial" w:cs="Arial"/>
          <w:sz w:val="24"/>
          <w:szCs w:val="24"/>
        </w:rPr>
      </w:pPr>
      <w:r w:rsidRPr="00CD1D16">
        <w:rPr>
          <w:rFonts w:ascii="Arial" w:hAnsi="Arial" w:cs="Arial"/>
          <w:sz w:val="24"/>
          <w:szCs w:val="24"/>
        </w:rPr>
        <w:t>Annual increase in income (net of tax) per carer who in</w:t>
      </w:r>
      <w:r w:rsidR="00076460" w:rsidRPr="00CD1D16">
        <w:rPr>
          <w:rFonts w:ascii="Arial" w:hAnsi="Arial" w:cs="Arial"/>
          <w:sz w:val="24"/>
          <w:szCs w:val="24"/>
        </w:rPr>
        <w:t>creases work: 15,800</w:t>
      </w:r>
    </w:p>
    <w:p w14:paraId="10BBD6D6" w14:textId="77777777" w:rsidR="00907E73" w:rsidRPr="00CD1D16" w:rsidRDefault="00907E73" w:rsidP="00907E73">
      <w:pPr>
        <w:spacing w:after="120" w:line="240" w:lineRule="auto"/>
        <w:rPr>
          <w:rFonts w:cs="Arial"/>
          <w:sz w:val="24"/>
          <w:szCs w:val="24"/>
        </w:rPr>
      </w:pPr>
    </w:p>
    <w:p w14:paraId="112D7B94" w14:textId="77777777" w:rsidR="00907E73" w:rsidRPr="00CD1D16" w:rsidRDefault="00907E73" w:rsidP="00907E73">
      <w:pPr>
        <w:spacing w:after="120" w:line="240" w:lineRule="auto"/>
        <w:rPr>
          <w:rFonts w:cs="Arial"/>
          <w:sz w:val="24"/>
          <w:szCs w:val="24"/>
        </w:rPr>
      </w:pPr>
      <w:r w:rsidRPr="00CD1D16">
        <w:rPr>
          <w:rFonts w:cs="Arial"/>
          <w:sz w:val="24"/>
          <w:szCs w:val="24"/>
        </w:rPr>
        <w:t>Ticket to Work</w:t>
      </w:r>
    </w:p>
    <w:p w14:paraId="18EA9A36" w14:textId="77777777" w:rsidR="00907E73" w:rsidRPr="00CD1D16" w:rsidRDefault="00907E73" w:rsidP="00F82447">
      <w:pPr>
        <w:pStyle w:val="ListParagraph"/>
        <w:numPr>
          <w:ilvl w:val="1"/>
          <w:numId w:val="20"/>
        </w:numPr>
        <w:spacing w:after="120" w:line="240" w:lineRule="auto"/>
        <w:ind w:left="450"/>
        <w:rPr>
          <w:rFonts w:ascii="Arial" w:hAnsi="Arial" w:cs="Arial"/>
          <w:sz w:val="24"/>
          <w:szCs w:val="24"/>
        </w:rPr>
      </w:pPr>
      <w:r w:rsidRPr="00CD1D16">
        <w:rPr>
          <w:rFonts w:ascii="Arial" w:hAnsi="Arial" w:cs="Arial"/>
          <w:sz w:val="24"/>
          <w:szCs w:val="24"/>
        </w:rPr>
        <w:t>Hourly rate (inc super): $31.93</w:t>
      </w:r>
    </w:p>
    <w:p w14:paraId="7B2ABAFE" w14:textId="77777777" w:rsidR="00907E73" w:rsidRPr="00CD1D16" w:rsidRDefault="00907E73" w:rsidP="00F82447">
      <w:pPr>
        <w:pStyle w:val="ListParagraph"/>
        <w:numPr>
          <w:ilvl w:val="1"/>
          <w:numId w:val="20"/>
        </w:numPr>
        <w:spacing w:after="120" w:line="240" w:lineRule="auto"/>
        <w:ind w:left="450"/>
        <w:rPr>
          <w:rFonts w:ascii="Arial" w:hAnsi="Arial" w:cs="Arial"/>
          <w:sz w:val="24"/>
          <w:szCs w:val="24"/>
        </w:rPr>
      </w:pPr>
      <w:r w:rsidRPr="00CD1D16">
        <w:rPr>
          <w:rFonts w:ascii="Arial" w:hAnsi="Arial" w:cs="Arial"/>
          <w:sz w:val="24"/>
          <w:szCs w:val="24"/>
        </w:rPr>
        <w:t>Weighted avg. increase in work: 8.33</w:t>
      </w:r>
    </w:p>
    <w:p w14:paraId="31549703" w14:textId="77777777" w:rsidR="00907E73" w:rsidRPr="00CD1D16" w:rsidRDefault="00907E73" w:rsidP="00F82447">
      <w:pPr>
        <w:pStyle w:val="ListParagraph"/>
        <w:numPr>
          <w:ilvl w:val="1"/>
          <w:numId w:val="20"/>
        </w:numPr>
        <w:spacing w:after="120" w:line="240" w:lineRule="auto"/>
        <w:ind w:left="450"/>
        <w:rPr>
          <w:rFonts w:ascii="Arial" w:hAnsi="Arial" w:cs="Arial"/>
          <w:sz w:val="24"/>
          <w:szCs w:val="24"/>
        </w:rPr>
      </w:pPr>
      <w:r w:rsidRPr="00CD1D16">
        <w:rPr>
          <w:rFonts w:ascii="Arial" w:hAnsi="Arial" w:cs="Arial"/>
          <w:sz w:val="24"/>
          <w:szCs w:val="24"/>
        </w:rPr>
        <w:t>Annual increase in income (net of tax) per carer who increases work: 13,800</w:t>
      </w:r>
    </w:p>
    <w:p w14:paraId="153227EF" w14:textId="77777777" w:rsidR="0090705D" w:rsidRPr="00CD1D16" w:rsidRDefault="0090705D" w:rsidP="00D7488D">
      <w:pPr>
        <w:rPr>
          <w:sz w:val="24"/>
          <w:szCs w:val="24"/>
        </w:rPr>
      </w:pPr>
    </w:p>
    <w:p w14:paraId="4032A722" w14:textId="77777777" w:rsidR="00D7488D" w:rsidRPr="00CD1D16" w:rsidRDefault="00415EA6" w:rsidP="00D7488D">
      <w:pPr>
        <w:rPr>
          <w:sz w:val="24"/>
          <w:szCs w:val="24"/>
        </w:rPr>
      </w:pPr>
      <w:r w:rsidRPr="00CD1D16">
        <w:rPr>
          <w:sz w:val="24"/>
          <w:szCs w:val="24"/>
        </w:rPr>
        <w:t xml:space="preserve">The following </w:t>
      </w:r>
      <w:r w:rsidR="00074563" w:rsidRPr="00CD1D16">
        <w:rPr>
          <w:sz w:val="24"/>
          <w:szCs w:val="24"/>
        </w:rPr>
        <w:t>compares</w:t>
      </w:r>
      <w:r w:rsidR="00D7488D" w:rsidRPr="00CD1D16">
        <w:rPr>
          <w:sz w:val="24"/>
          <w:szCs w:val="24"/>
        </w:rPr>
        <w:t xml:space="preserve"> the net increase in income and tax for carers in both the ‘business as usual’ and ‘Ticket to Work’ scenarios. </w:t>
      </w:r>
    </w:p>
    <w:p w14:paraId="72429CBD" w14:textId="77777777" w:rsidR="00415EA6" w:rsidRPr="00F82447" w:rsidRDefault="00415EA6" w:rsidP="00D7488D">
      <w:pPr>
        <w:rPr>
          <w:b/>
          <w:sz w:val="28"/>
          <w:szCs w:val="28"/>
        </w:rPr>
      </w:pPr>
      <w:r w:rsidRPr="00F82447">
        <w:rPr>
          <w:b/>
          <w:sz w:val="28"/>
          <w:szCs w:val="28"/>
        </w:rPr>
        <w:t>Increase in net income for carers over three years</w:t>
      </w:r>
    </w:p>
    <w:p w14:paraId="0083F341" w14:textId="77777777" w:rsidR="00415EA6" w:rsidRPr="00CD1D16" w:rsidRDefault="00F01A25" w:rsidP="00F82447">
      <w:pPr>
        <w:pStyle w:val="ListParagraph"/>
        <w:numPr>
          <w:ilvl w:val="0"/>
          <w:numId w:val="21"/>
        </w:numPr>
        <w:ind w:left="360"/>
        <w:rPr>
          <w:rFonts w:ascii="Arial" w:hAnsi="Arial" w:cs="Arial"/>
          <w:sz w:val="24"/>
          <w:szCs w:val="24"/>
        </w:rPr>
      </w:pPr>
      <w:r w:rsidRPr="00CD1D16">
        <w:rPr>
          <w:rFonts w:ascii="Arial" w:hAnsi="Arial" w:cs="Arial"/>
          <w:sz w:val="24"/>
          <w:szCs w:val="24"/>
        </w:rPr>
        <w:t>Business as usual: 7000 average per participant</w:t>
      </w:r>
    </w:p>
    <w:p w14:paraId="6117AA00" w14:textId="77777777" w:rsidR="00F01A25" w:rsidRPr="00CD1D16" w:rsidRDefault="00F01A25" w:rsidP="00F82447">
      <w:pPr>
        <w:pStyle w:val="ListParagraph"/>
        <w:numPr>
          <w:ilvl w:val="0"/>
          <w:numId w:val="21"/>
        </w:numPr>
        <w:ind w:left="360"/>
        <w:rPr>
          <w:rFonts w:ascii="Arial" w:hAnsi="Arial" w:cs="Arial"/>
          <w:sz w:val="24"/>
          <w:szCs w:val="24"/>
        </w:rPr>
      </w:pPr>
      <w:r w:rsidRPr="00CD1D16">
        <w:rPr>
          <w:rFonts w:ascii="Arial" w:hAnsi="Arial" w:cs="Arial"/>
          <w:sz w:val="24"/>
          <w:szCs w:val="24"/>
        </w:rPr>
        <w:t>Ticket to Work: 11,900 average per participant</w:t>
      </w:r>
    </w:p>
    <w:p w14:paraId="63E1B457" w14:textId="77777777" w:rsidR="00F01A25" w:rsidRPr="00CD1D16" w:rsidRDefault="00F01A25" w:rsidP="00F82447">
      <w:pPr>
        <w:pStyle w:val="ListParagraph"/>
        <w:numPr>
          <w:ilvl w:val="0"/>
          <w:numId w:val="21"/>
        </w:numPr>
        <w:ind w:left="360"/>
        <w:rPr>
          <w:rFonts w:ascii="Arial" w:hAnsi="Arial" w:cs="Arial"/>
          <w:sz w:val="24"/>
          <w:szCs w:val="24"/>
        </w:rPr>
      </w:pPr>
      <w:r w:rsidRPr="00CD1D16">
        <w:rPr>
          <w:rFonts w:ascii="Arial" w:hAnsi="Arial" w:cs="Arial"/>
          <w:sz w:val="24"/>
          <w:szCs w:val="24"/>
        </w:rPr>
        <w:t>Difference: 4,900 average per participant</w:t>
      </w:r>
    </w:p>
    <w:p w14:paraId="64D059F3" w14:textId="77777777" w:rsidR="0090705D" w:rsidRDefault="0090705D" w:rsidP="00D7488D"/>
    <w:p w14:paraId="2817B225" w14:textId="77777777" w:rsidR="00D7488D" w:rsidRPr="00F82447" w:rsidRDefault="00D7488D" w:rsidP="00D7488D">
      <w:pPr>
        <w:rPr>
          <w:sz w:val="24"/>
          <w:szCs w:val="24"/>
        </w:rPr>
      </w:pPr>
      <w:r w:rsidRPr="00F82447">
        <w:rPr>
          <w:sz w:val="24"/>
          <w:szCs w:val="24"/>
        </w:rPr>
        <w:t>Compared to the business as usual case, carers earn about $</w:t>
      </w:r>
      <w:r w:rsidR="00A11195" w:rsidRPr="00F82447">
        <w:rPr>
          <w:sz w:val="24"/>
          <w:szCs w:val="24"/>
        </w:rPr>
        <w:t>15.7</w:t>
      </w:r>
      <w:r w:rsidRPr="00F82447">
        <w:rPr>
          <w:sz w:val="24"/>
          <w:szCs w:val="24"/>
        </w:rPr>
        <w:t>m more from increasing their work hours, or an average of about $</w:t>
      </w:r>
      <w:r w:rsidR="00A11195" w:rsidRPr="00F82447">
        <w:rPr>
          <w:sz w:val="24"/>
          <w:szCs w:val="24"/>
        </w:rPr>
        <w:t>49</w:t>
      </w:r>
      <w:r w:rsidRPr="00F82447">
        <w:rPr>
          <w:sz w:val="24"/>
          <w:szCs w:val="24"/>
        </w:rPr>
        <w:t>00 per Ticket to Work participant</w:t>
      </w:r>
      <w:r w:rsidR="00523946" w:rsidRPr="00F82447">
        <w:rPr>
          <w:sz w:val="24"/>
          <w:szCs w:val="24"/>
        </w:rPr>
        <w:t xml:space="preserve"> over the three</w:t>
      </w:r>
      <w:r w:rsidR="00CF5A08" w:rsidRPr="00F82447">
        <w:rPr>
          <w:sz w:val="24"/>
          <w:szCs w:val="24"/>
        </w:rPr>
        <w:t>-</w:t>
      </w:r>
      <w:r w:rsidR="00523946" w:rsidRPr="00F82447">
        <w:rPr>
          <w:sz w:val="24"/>
          <w:szCs w:val="24"/>
        </w:rPr>
        <w:t>year benefit period</w:t>
      </w:r>
      <w:r w:rsidRPr="00F82447">
        <w:rPr>
          <w:sz w:val="24"/>
          <w:szCs w:val="24"/>
        </w:rPr>
        <w:t xml:space="preserve">. </w:t>
      </w:r>
    </w:p>
    <w:p w14:paraId="3019FA60" w14:textId="77777777" w:rsidR="00AE0FAD" w:rsidRPr="00F82447" w:rsidRDefault="009762AE" w:rsidP="006113AF">
      <w:pPr>
        <w:pStyle w:val="Heading4"/>
      </w:pPr>
      <w:r w:rsidRPr="00F82447">
        <w:lastRenderedPageBreak/>
        <w:t xml:space="preserve">Long Term Outcome </w:t>
      </w:r>
      <w:r w:rsidR="00AE0FAD" w:rsidRPr="00F82447">
        <w:t>4. People with Disability earn increased incomes</w:t>
      </w:r>
    </w:p>
    <w:p w14:paraId="6FA712E8" w14:textId="77777777" w:rsidR="00AE0FAD" w:rsidRPr="00B23E3C" w:rsidRDefault="003A25A1" w:rsidP="00AE0FAD">
      <w:pPr>
        <w:rPr>
          <w:rFonts w:cs="Arial"/>
          <w:b/>
          <w:sz w:val="28"/>
          <w:szCs w:val="28"/>
        </w:rPr>
      </w:pPr>
      <w:r w:rsidRPr="00B23E3C">
        <w:rPr>
          <w:rFonts w:cs="Arial"/>
          <w:b/>
          <w:sz w:val="28"/>
          <w:szCs w:val="28"/>
        </w:rPr>
        <w:t xml:space="preserve">Long Term Outcome </w:t>
      </w:r>
      <w:r w:rsidR="00AE0FAD" w:rsidRPr="00B23E3C">
        <w:rPr>
          <w:rFonts w:cs="Arial"/>
          <w:b/>
          <w:sz w:val="28"/>
          <w:szCs w:val="28"/>
        </w:rPr>
        <w:t>4: what outcomes do participants experience as a result of being involved in Ticket to Work</w:t>
      </w:r>
      <w:r w:rsidR="00312514" w:rsidRPr="00B23E3C">
        <w:rPr>
          <w:rFonts w:cs="Arial"/>
          <w:b/>
          <w:sz w:val="28"/>
          <w:szCs w:val="28"/>
        </w:rPr>
        <w:t>?</w:t>
      </w:r>
    </w:p>
    <w:p w14:paraId="778D4CE8" w14:textId="77777777" w:rsidR="00380D14" w:rsidRPr="00F82447" w:rsidRDefault="00380D14" w:rsidP="00380D14">
      <w:pPr>
        <w:rPr>
          <w:rFonts w:cs="Arial"/>
          <w:sz w:val="24"/>
          <w:szCs w:val="24"/>
        </w:rPr>
      </w:pPr>
      <w:r w:rsidRPr="00F82447">
        <w:rPr>
          <w:rFonts w:cs="Arial"/>
          <w:sz w:val="24"/>
          <w:szCs w:val="24"/>
        </w:rPr>
        <w:t>From the Ticket to Work (2019) evaluation, we know that participants in Ticket to Work are more likely than a comparison group to:</w:t>
      </w:r>
    </w:p>
    <w:p w14:paraId="02CC5F97" w14:textId="77777777" w:rsidR="00380D14" w:rsidRPr="00855673" w:rsidRDefault="00380D14" w:rsidP="00855673">
      <w:pPr>
        <w:pStyle w:val="ListParagraph"/>
        <w:numPr>
          <w:ilvl w:val="0"/>
          <w:numId w:val="21"/>
        </w:numPr>
        <w:ind w:left="360"/>
        <w:rPr>
          <w:rFonts w:ascii="Arial" w:hAnsi="Arial" w:cs="Arial"/>
          <w:sz w:val="24"/>
          <w:szCs w:val="24"/>
        </w:rPr>
      </w:pPr>
      <w:r w:rsidRPr="00855673">
        <w:rPr>
          <w:rFonts w:ascii="Arial" w:hAnsi="Arial" w:cs="Arial"/>
          <w:sz w:val="24"/>
          <w:szCs w:val="24"/>
        </w:rPr>
        <w:t>finish year 12</w:t>
      </w:r>
    </w:p>
    <w:p w14:paraId="757BC858" w14:textId="77777777" w:rsidR="00380D14" w:rsidRPr="00855673" w:rsidRDefault="00380D14" w:rsidP="00855673">
      <w:pPr>
        <w:pStyle w:val="ListParagraph"/>
        <w:numPr>
          <w:ilvl w:val="0"/>
          <w:numId w:val="21"/>
        </w:numPr>
        <w:ind w:left="360"/>
        <w:rPr>
          <w:rFonts w:ascii="Arial" w:hAnsi="Arial" w:cs="Arial"/>
          <w:sz w:val="24"/>
          <w:szCs w:val="24"/>
        </w:rPr>
      </w:pPr>
      <w:r w:rsidRPr="00855673">
        <w:rPr>
          <w:rFonts w:ascii="Arial" w:hAnsi="Arial" w:cs="Arial"/>
          <w:sz w:val="24"/>
          <w:szCs w:val="24"/>
        </w:rPr>
        <w:t xml:space="preserve">have </w:t>
      </w:r>
      <w:r w:rsidR="00A27978" w:rsidRPr="00855673">
        <w:rPr>
          <w:rFonts w:ascii="Arial" w:hAnsi="Arial" w:cs="Arial"/>
          <w:sz w:val="24"/>
          <w:szCs w:val="24"/>
        </w:rPr>
        <w:t>enough</w:t>
      </w:r>
      <w:r w:rsidRPr="00855673">
        <w:rPr>
          <w:rFonts w:ascii="Arial" w:hAnsi="Arial" w:cs="Arial"/>
          <w:sz w:val="24"/>
          <w:szCs w:val="24"/>
        </w:rPr>
        <w:t xml:space="preserve"> work experience, and</w:t>
      </w:r>
    </w:p>
    <w:p w14:paraId="28C1C36C" w14:textId="77777777" w:rsidR="00380D14" w:rsidRPr="00855673" w:rsidRDefault="00380D14" w:rsidP="00855673">
      <w:pPr>
        <w:pStyle w:val="ListParagraph"/>
        <w:numPr>
          <w:ilvl w:val="0"/>
          <w:numId w:val="21"/>
        </w:numPr>
        <w:ind w:left="360"/>
        <w:rPr>
          <w:rFonts w:ascii="Arial" w:hAnsi="Arial" w:cs="Arial"/>
          <w:sz w:val="24"/>
          <w:szCs w:val="24"/>
        </w:rPr>
      </w:pPr>
      <w:r w:rsidRPr="00855673">
        <w:rPr>
          <w:rFonts w:ascii="Arial" w:hAnsi="Arial" w:cs="Arial"/>
          <w:sz w:val="24"/>
          <w:szCs w:val="24"/>
        </w:rPr>
        <w:t xml:space="preserve">go on to further study. </w:t>
      </w:r>
    </w:p>
    <w:p w14:paraId="2C72BC8F" w14:textId="77777777" w:rsidR="00380D14" w:rsidRPr="00F82447" w:rsidRDefault="00380D14" w:rsidP="00380D14">
      <w:pPr>
        <w:rPr>
          <w:rFonts w:cs="Arial"/>
          <w:sz w:val="24"/>
          <w:szCs w:val="24"/>
        </w:rPr>
      </w:pPr>
      <w:r w:rsidRPr="00F82447">
        <w:rPr>
          <w:rFonts w:cs="Arial"/>
          <w:sz w:val="24"/>
          <w:szCs w:val="24"/>
        </w:rPr>
        <w:t xml:space="preserve">Together, they contribute to an increase in the likelihood that a Ticket to Work participant will be employed, and that participants will be employed in an open workplace. These results were validated through the 2019 evaluation report. </w:t>
      </w:r>
      <w:r w:rsidR="0064432E" w:rsidRPr="00F82447">
        <w:rPr>
          <w:rFonts w:cs="Arial"/>
          <w:sz w:val="24"/>
          <w:szCs w:val="24"/>
        </w:rPr>
        <w:t>And</w:t>
      </w:r>
      <w:r w:rsidR="00F56B65" w:rsidRPr="00F82447">
        <w:rPr>
          <w:rFonts w:cs="Arial"/>
          <w:sz w:val="24"/>
          <w:szCs w:val="24"/>
        </w:rPr>
        <w:t xml:space="preserve"> </w:t>
      </w:r>
      <w:r w:rsidR="00D84610" w:rsidRPr="00F82447">
        <w:rPr>
          <w:rFonts w:cs="Arial"/>
          <w:sz w:val="24"/>
          <w:szCs w:val="24"/>
          <w:lang w:val="en"/>
        </w:rPr>
        <w:t>in longitudinal studies</w:t>
      </w:r>
      <w:r w:rsidR="003A0832" w:rsidRPr="00F82447">
        <w:rPr>
          <w:rFonts w:cs="Arial"/>
          <w:sz w:val="24"/>
          <w:szCs w:val="24"/>
          <w:lang w:val="en"/>
        </w:rPr>
        <w:t xml:space="preserve"> </w:t>
      </w:r>
      <w:r w:rsidR="00D84610" w:rsidRPr="00F82447">
        <w:rPr>
          <w:rFonts w:cs="Arial"/>
          <w:sz w:val="24"/>
          <w:szCs w:val="24"/>
          <w:lang w:val="en"/>
        </w:rPr>
        <w:t>conducted overseas</w:t>
      </w:r>
      <w:r w:rsidR="003C50F4" w:rsidRPr="00F82447">
        <w:rPr>
          <w:rFonts w:cs="Arial"/>
          <w:sz w:val="24"/>
          <w:szCs w:val="24"/>
          <w:lang w:val="en"/>
        </w:rPr>
        <w:t>,</w:t>
      </w:r>
      <w:r w:rsidR="00D84610" w:rsidRPr="00F82447">
        <w:rPr>
          <w:rFonts w:cs="Arial"/>
          <w:sz w:val="24"/>
          <w:szCs w:val="24"/>
          <w:lang w:val="en"/>
        </w:rPr>
        <w:t xml:space="preserve"> these three element</w:t>
      </w:r>
      <w:r w:rsidR="003C50F4" w:rsidRPr="00F82447">
        <w:rPr>
          <w:rFonts w:cs="Arial"/>
          <w:sz w:val="24"/>
          <w:szCs w:val="24"/>
          <w:lang w:val="en"/>
        </w:rPr>
        <w:t>s</w:t>
      </w:r>
      <w:r w:rsidR="00D84610" w:rsidRPr="00F82447">
        <w:rPr>
          <w:rFonts w:cs="Arial"/>
          <w:sz w:val="24"/>
          <w:szCs w:val="24"/>
          <w:lang w:val="en"/>
        </w:rPr>
        <w:t xml:space="preserve"> have been also found to increase employment participation. </w:t>
      </w:r>
    </w:p>
    <w:p w14:paraId="48B887E0" w14:textId="77777777" w:rsidR="00AE0FAD" w:rsidRPr="00F82447" w:rsidRDefault="003A25A1" w:rsidP="00AE0FAD">
      <w:pPr>
        <w:rPr>
          <w:rFonts w:cs="Arial"/>
          <w:b/>
          <w:sz w:val="28"/>
          <w:szCs w:val="28"/>
        </w:rPr>
      </w:pPr>
      <w:r w:rsidRPr="00F82447">
        <w:rPr>
          <w:rFonts w:cs="Arial"/>
          <w:b/>
          <w:sz w:val="28"/>
          <w:szCs w:val="28"/>
        </w:rPr>
        <w:t xml:space="preserve">Long Term Outcome </w:t>
      </w:r>
      <w:r w:rsidR="00AE0FAD" w:rsidRPr="00F82447">
        <w:rPr>
          <w:rFonts w:cs="Arial"/>
          <w:b/>
          <w:sz w:val="28"/>
          <w:szCs w:val="28"/>
        </w:rPr>
        <w:t xml:space="preserve">4: what </w:t>
      </w:r>
      <w:r w:rsidR="00DE0B01" w:rsidRPr="00F82447">
        <w:rPr>
          <w:rFonts w:cs="Arial"/>
          <w:b/>
          <w:sz w:val="28"/>
          <w:szCs w:val="28"/>
        </w:rPr>
        <w:t>benefits or costs can reasonably</w:t>
      </w:r>
      <w:r w:rsidR="00AE0FAD" w:rsidRPr="00F82447">
        <w:rPr>
          <w:rFonts w:cs="Arial"/>
          <w:b/>
          <w:sz w:val="28"/>
          <w:szCs w:val="28"/>
        </w:rPr>
        <w:t xml:space="preserve"> be expected to occur as a result of that outcome?</w:t>
      </w:r>
    </w:p>
    <w:p w14:paraId="6A41729D" w14:textId="77777777" w:rsidR="00AE0FAD" w:rsidRPr="00F82447" w:rsidRDefault="00AE0FAD" w:rsidP="00264E74">
      <w:pPr>
        <w:pStyle w:val="NoSpacing"/>
        <w:rPr>
          <w:sz w:val="24"/>
          <w:szCs w:val="24"/>
        </w:rPr>
      </w:pPr>
      <w:r w:rsidRPr="00F82447">
        <w:rPr>
          <w:sz w:val="24"/>
          <w:szCs w:val="24"/>
        </w:rPr>
        <w:t>Participants in Ticket to Work are likely to see an increase in wage earnings as a result of:</w:t>
      </w:r>
    </w:p>
    <w:p w14:paraId="6BD6F3DC" w14:textId="77777777" w:rsidR="00AE0FAD" w:rsidRPr="00855673" w:rsidRDefault="00AE0FAD" w:rsidP="00855673">
      <w:pPr>
        <w:pStyle w:val="ListParagraph"/>
        <w:numPr>
          <w:ilvl w:val="0"/>
          <w:numId w:val="21"/>
        </w:numPr>
        <w:ind w:left="360"/>
        <w:rPr>
          <w:rFonts w:ascii="Arial" w:hAnsi="Arial" w:cs="Arial"/>
          <w:sz w:val="24"/>
          <w:szCs w:val="24"/>
        </w:rPr>
      </w:pPr>
      <w:r w:rsidRPr="00855673">
        <w:rPr>
          <w:rFonts w:ascii="Arial" w:hAnsi="Arial" w:cs="Arial"/>
          <w:sz w:val="24"/>
          <w:szCs w:val="24"/>
        </w:rPr>
        <w:t>being more likely to be in paid work; and,</w:t>
      </w:r>
    </w:p>
    <w:p w14:paraId="30561E4F" w14:textId="77777777" w:rsidR="00AE0FAD" w:rsidRPr="00855673" w:rsidRDefault="00AE0FAD" w:rsidP="00855673">
      <w:pPr>
        <w:pStyle w:val="ListParagraph"/>
        <w:numPr>
          <w:ilvl w:val="0"/>
          <w:numId w:val="21"/>
        </w:numPr>
        <w:ind w:left="360"/>
        <w:rPr>
          <w:rFonts w:ascii="Arial" w:hAnsi="Arial" w:cs="Arial"/>
          <w:sz w:val="24"/>
          <w:szCs w:val="24"/>
        </w:rPr>
      </w:pPr>
      <w:r w:rsidRPr="00855673">
        <w:rPr>
          <w:rFonts w:ascii="Arial" w:hAnsi="Arial" w:cs="Arial"/>
          <w:sz w:val="24"/>
          <w:szCs w:val="24"/>
        </w:rPr>
        <w:t>being more likely to work in open employment (where wages are higher than in supported employment)</w:t>
      </w:r>
      <w:r w:rsidR="00F263C0" w:rsidRPr="00855673">
        <w:rPr>
          <w:rFonts w:ascii="Arial" w:hAnsi="Arial" w:cs="Arial"/>
          <w:sz w:val="24"/>
          <w:szCs w:val="24"/>
        </w:rPr>
        <w:t>.</w:t>
      </w:r>
    </w:p>
    <w:p w14:paraId="72D57904" w14:textId="77777777" w:rsidR="00AE0FAD" w:rsidRPr="00F82447" w:rsidRDefault="00AE0FAD" w:rsidP="00264E74">
      <w:pPr>
        <w:pStyle w:val="NoSpacing"/>
        <w:rPr>
          <w:sz w:val="24"/>
          <w:szCs w:val="24"/>
        </w:rPr>
      </w:pPr>
      <w:r w:rsidRPr="00F82447">
        <w:rPr>
          <w:sz w:val="24"/>
          <w:szCs w:val="24"/>
        </w:rPr>
        <w:t>The assumptions underlying the income changes for this group are as follows:</w:t>
      </w:r>
    </w:p>
    <w:tbl>
      <w:tblPr>
        <w:tblStyle w:val="TableGrid"/>
        <w:tblW w:w="0" w:type="auto"/>
        <w:tblLook w:val="04A0" w:firstRow="1" w:lastRow="0" w:firstColumn="1" w:lastColumn="0" w:noHBand="0" w:noVBand="1"/>
        <w:tblDescription w:val="people with disability in open employment- assumption people in open employment work an average of 16 hours per week. source Ticket to Work survey- average number of hours that Ticket to Work participants worked. people in open employment earn an average of $14.71 per hour. This is the average of those earnings minimum wage for a 19 year old, and those on a supported wage. source- Ticket to Work survey- percentage of Ticket to Work participants who earned the minimum wage.  Group- people with disability in supported employment. assumption 100% of supported employment workers earn $5.61 per hour. source- average ADE wages (DSS, 2019) 100% work an average of 10 hours per week. Source average for supported employment workers in Ticket to Work survey. Group All people with disability. Assumption- Only sources of income are from employment and the disability support pension. source tax rates are calculated on the basis that there are no other income sources. The below assumptions come from the same source Ticket to Work surbey data. 15% of employed people have receive youth allowance. 54% of employed people receive DSP. 31% of employed people receive no pension or allowance. 31% of not employed people receive youth allowance. 46% of not employed people receive DSP. 23% of not employed receive no pension or allowance. "/>
      </w:tblPr>
      <w:tblGrid>
        <w:gridCol w:w="2218"/>
        <w:gridCol w:w="3937"/>
        <w:gridCol w:w="2861"/>
      </w:tblGrid>
      <w:tr w:rsidR="00BF5342" w:rsidRPr="006126B2" w14:paraId="22FA5B0F" w14:textId="77777777" w:rsidTr="006C4FFC">
        <w:trPr>
          <w:trHeight w:val="170"/>
          <w:tblHeader/>
        </w:trPr>
        <w:tc>
          <w:tcPr>
            <w:tcW w:w="0" w:type="auto"/>
            <w:shd w:val="clear" w:color="auto" w:fill="7F7F7F" w:themeFill="text1" w:themeFillTint="80"/>
          </w:tcPr>
          <w:p w14:paraId="029070C3" w14:textId="77777777" w:rsidR="00BF5342" w:rsidRPr="00F82447" w:rsidRDefault="00BF5342" w:rsidP="00BF5342">
            <w:pPr>
              <w:rPr>
                <w:sz w:val="24"/>
                <w:szCs w:val="24"/>
              </w:rPr>
            </w:pPr>
            <w:r w:rsidRPr="00F82447">
              <w:rPr>
                <w:color w:val="FFFFFF" w:themeColor="background1"/>
                <w:sz w:val="24"/>
                <w:szCs w:val="24"/>
              </w:rPr>
              <w:t>Group</w:t>
            </w:r>
          </w:p>
        </w:tc>
        <w:tc>
          <w:tcPr>
            <w:tcW w:w="0" w:type="auto"/>
            <w:shd w:val="clear" w:color="auto" w:fill="7F7F7F" w:themeFill="text1" w:themeFillTint="80"/>
          </w:tcPr>
          <w:p w14:paraId="7A42A84D" w14:textId="77777777" w:rsidR="00BF5342" w:rsidRPr="00F82447" w:rsidRDefault="00BF5342" w:rsidP="00BF5342">
            <w:pPr>
              <w:rPr>
                <w:color w:val="FFFFFF" w:themeColor="background1"/>
                <w:sz w:val="24"/>
                <w:szCs w:val="24"/>
              </w:rPr>
            </w:pPr>
            <w:r w:rsidRPr="00F82447">
              <w:rPr>
                <w:color w:val="FFFFFF" w:themeColor="background1"/>
                <w:sz w:val="24"/>
                <w:szCs w:val="24"/>
              </w:rPr>
              <w:t>Assumption</w:t>
            </w:r>
          </w:p>
        </w:tc>
        <w:tc>
          <w:tcPr>
            <w:tcW w:w="0" w:type="auto"/>
            <w:shd w:val="clear" w:color="auto" w:fill="7F7F7F" w:themeFill="text1" w:themeFillTint="80"/>
          </w:tcPr>
          <w:p w14:paraId="6A3F8C68" w14:textId="77777777" w:rsidR="00BF5342" w:rsidRPr="00F82447" w:rsidRDefault="00BF5342" w:rsidP="00BF5342">
            <w:pPr>
              <w:rPr>
                <w:color w:val="FFFFFF" w:themeColor="background1"/>
                <w:sz w:val="24"/>
                <w:szCs w:val="24"/>
              </w:rPr>
            </w:pPr>
            <w:r w:rsidRPr="00F82447">
              <w:rPr>
                <w:color w:val="FFFFFF" w:themeColor="background1"/>
                <w:sz w:val="24"/>
                <w:szCs w:val="24"/>
              </w:rPr>
              <w:t>Source</w:t>
            </w:r>
          </w:p>
        </w:tc>
      </w:tr>
      <w:tr w:rsidR="00BF5342" w:rsidRPr="006126B2" w14:paraId="63E93263" w14:textId="77777777" w:rsidTr="00BF5342">
        <w:tc>
          <w:tcPr>
            <w:tcW w:w="0" w:type="auto"/>
          </w:tcPr>
          <w:p w14:paraId="798409CA" w14:textId="77777777" w:rsidR="00BF5342" w:rsidRPr="00F82447" w:rsidRDefault="00BF5342" w:rsidP="00BF5342">
            <w:pPr>
              <w:rPr>
                <w:b/>
                <w:sz w:val="24"/>
                <w:szCs w:val="24"/>
              </w:rPr>
            </w:pPr>
            <w:r w:rsidRPr="00F82447">
              <w:rPr>
                <w:b/>
                <w:sz w:val="24"/>
                <w:szCs w:val="24"/>
              </w:rPr>
              <w:t>People with disability in open employment</w:t>
            </w:r>
          </w:p>
        </w:tc>
        <w:tc>
          <w:tcPr>
            <w:tcW w:w="0" w:type="auto"/>
          </w:tcPr>
          <w:p w14:paraId="59788530" w14:textId="77777777" w:rsidR="00BF5342" w:rsidRPr="00F82447" w:rsidRDefault="00BF5342" w:rsidP="00BF5342">
            <w:pPr>
              <w:rPr>
                <w:sz w:val="24"/>
                <w:szCs w:val="24"/>
              </w:rPr>
            </w:pPr>
            <w:r w:rsidRPr="00F82447">
              <w:rPr>
                <w:sz w:val="24"/>
                <w:szCs w:val="24"/>
              </w:rPr>
              <w:t>People in open employment work an average of 16 hours per week.</w:t>
            </w:r>
          </w:p>
        </w:tc>
        <w:tc>
          <w:tcPr>
            <w:tcW w:w="0" w:type="auto"/>
          </w:tcPr>
          <w:p w14:paraId="7F9A778C" w14:textId="77777777" w:rsidR="00BF5342" w:rsidRPr="00F82447" w:rsidRDefault="00BF5342" w:rsidP="00BF5342">
            <w:pPr>
              <w:rPr>
                <w:sz w:val="24"/>
                <w:szCs w:val="24"/>
              </w:rPr>
            </w:pPr>
            <w:r w:rsidRPr="00F82447">
              <w:rPr>
                <w:sz w:val="24"/>
                <w:szCs w:val="24"/>
              </w:rPr>
              <w:t>Ticket to Work survey- average number of hours that Ticket to Work  participants worked</w:t>
            </w:r>
          </w:p>
        </w:tc>
      </w:tr>
      <w:tr w:rsidR="00BF5342" w:rsidRPr="006126B2" w14:paraId="1249492A" w14:textId="77777777" w:rsidTr="00BF5342">
        <w:tc>
          <w:tcPr>
            <w:tcW w:w="0" w:type="auto"/>
          </w:tcPr>
          <w:p w14:paraId="043EFBFA" w14:textId="77777777" w:rsidR="00BF5342" w:rsidRPr="00F82447" w:rsidRDefault="00BF5342" w:rsidP="00BF5342">
            <w:pPr>
              <w:rPr>
                <w:b/>
                <w:sz w:val="24"/>
                <w:szCs w:val="24"/>
              </w:rPr>
            </w:pPr>
            <w:r w:rsidRPr="00F82447">
              <w:rPr>
                <w:b/>
                <w:sz w:val="24"/>
                <w:szCs w:val="24"/>
              </w:rPr>
              <w:t>People with disability in open employment</w:t>
            </w:r>
          </w:p>
        </w:tc>
        <w:tc>
          <w:tcPr>
            <w:tcW w:w="0" w:type="auto"/>
          </w:tcPr>
          <w:p w14:paraId="7F554A88" w14:textId="77777777" w:rsidR="00BF5342" w:rsidRPr="00F82447" w:rsidRDefault="00BF5342" w:rsidP="00BF5342">
            <w:pPr>
              <w:rPr>
                <w:sz w:val="24"/>
                <w:szCs w:val="24"/>
              </w:rPr>
            </w:pPr>
            <w:r w:rsidRPr="00F82447">
              <w:rPr>
                <w:sz w:val="24"/>
                <w:szCs w:val="24"/>
              </w:rPr>
              <w:t xml:space="preserve">People in open employment earn an average of $14.71 per hour. This is the average of those earning minimum wage for a 19 year old, and those on a supported wage.  </w:t>
            </w:r>
          </w:p>
        </w:tc>
        <w:tc>
          <w:tcPr>
            <w:tcW w:w="0" w:type="auto"/>
          </w:tcPr>
          <w:p w14:paraId="061943C3" w14:textId="77777777" w:rsidR="00BF5342" w:rsidRPr="00F82447" w:rsidRDefault="00BF5342" w:rsidP="00BF5342">
            <w:pPr>
              <w:rPr>
                <w:sz w:val="24"/>
                <w:szCs w:val="24"/>
              </w:rPr>
            </w:pPr>
            <w:r w:rsidRPr="00F82447">
              <w:rPr>
                <w:sz w:val="24"/>
                <w:szCs w:val="24"/>
              </w:rPr>
              <w:t>Ticket to Work survey- percentage of Ticket to Work participants who earned the minimum wage</w:t>
            </w:r>
          </w:p>
        </w:tc>
      </w:tr>
      <w:tr w:rsidR="00BF5342" w:rsidRPr="006126B2" w14:paraId="37DB799C" w14:textId="77777777" w:rsidTr="00BF5342">
        <w:tc>
          <w:tcPr>
            <w:tcW w:w="0" w:type="auto"/>
          </w:tcPr>
          <w:p w14:paraId="20888203" w14:textId="77777777" w:rsidR="00BF5342" w:rsidRPr="00F82447" w:rsidRDefault="00BF5342" w:rsidP="00BF5342">
            <w:pPr>
              <w:rPr>
                <w:b/>
                <w:sz w:val="24"/>
                <w:szCs w:val="24"/>
              </w:rPr>
            </w:pPr>
            <w:r w:rsidRPr="00F82447">
              <w:rPr>
                <w:b/>
                <w:sz w:val="24"/>
                <w:szCs w:val="24"/>
              </w:rPr>
              <w:t>People with disability in open employment</w:t>
            </w:r>
          </w:p>
        </w:tc>
        <w:tc>
          <w:tcPr>
            <w:tcW w:w="0" w:type="auto"/>
          </w:tcPr>
          <w:p w14:paraId="2FF077F2" w14:textId="77777777" w:rsidR="00BF5342" w:rsidRPr="00F82447" w:rsidRDefault="00BF5342" w:rsidP="00BF5342">
            <w:pPr>
              <w:rPr>
                <w:sz w:val="24"/>
                <w:szCs w:val="24"/>
              </w:rPr>
            </w:pPr>
            <w:r w:rsidRPr="00F82447">
              <w:rPr>
                <w:sz w:val="24"/>
                <w:szCs w:val="24"/>
              </w:rPr>
              <w:t>All earning less than minimum wage earn 80% of the minimum wage</w:t>
            </w:r>
          </w:p>
        </w:tc>
        <w:tc>
          <w:tcPr>
            <w:tcW w:w="0" w:type="auto"/>
          </w:tcPr>
          <w:p w14:paraId="37364400" w14:textId="77777777" w:rsidR="00BF5342" w:rsidRPr="00F82447" w:rsidRDefault="00BF5342" w:rsidP="00BF5342">
            <w:pPr>
              <w:rPr>
                <w:sz w:val="24"/>
                <w:szCs w:val="24"/>
              </w:rPr>
            </w:pPr>
            <w:r w:rsidRPr="00F82447">
              <w:rPr>
                <w:sz w:val="24"/>
                <w:szCs w:val="24"/>
              </w:rPr>
              <w:t>Aligns with the underlying assumptions of the Productivity Commission (2011)</w:t>
            </w:r>
          </w:p>
        </w:tc>
      </w:tr>
      <w:tr w:rsidR="00BF5342" w:rsidRPr="006126B2" w14:paraId="61645677" w14:textId="77777777" w:rsidTr="00BF5342">
        <w:tc>
          <w:tcPr>
            <w:tcW w:w="0" w:type="auto"/>
          </w:tcPr>
          <w:p w14:paraId="79D525B1" w14:textId="77777777" w:rsidR="00BF5342" w:rsidRPr="00F82447" w:rsidRDefault="00BF5342" w:rsidP="00BF5342">
            <w:pPr>
              <w:rPr>
                <w:b/>
                <w:sz w:val="24"/>
                <w:szCs w:val="24"/>
              </w:rPr>
            </w:pPr>
            <w:r w:rsidRPr="00F82447">
              <w:rPr>
                <w:b/>
                <w:sz w:val="24"/>
                <w:szCs w:val="24"/>
              </w:rPr>
              <w:lastRenderedPageBreak/>
              <w:t>People with disability in supported employment</w:t>
            </w:r>
          </w:p>
        </w:tc>
        <w:tc>
          <w:tcPr>
            <w:tcW w:w="0" w:type="auto"/>
          </w:tcPr>
          <w:p w14:paraId="0113F735" w14:textId="77777777" w:rsidR="00BF5342" w:rsidRPr="00F82447" w:rsidRDefault="00BF5342" w:rsidP="00BF5342">
            <w:pPr>
              <w:rPr>
                <w:sz w:val="24"/>
                <w:szCs w:val="24"/>
              </w:rPr>
            </w:pPr>
            <w:r w:rsidRPr="00F82447">
              <w:rPr>
                <w:sz w:val="24"/>
                <w:szCs w:val="24"/>
              </w:rPr>
              <w:t>100% of supported employment workers earn $5.61 per hour</w:t>
            </w:r>
          </w:p>
        </w:tc>
        <w:tc>
          <w:tcPr>
            <w:tcW w:w="0" w:type="auto"/>
          </w:tcPr>
          <w:p w14:paraId="75FF6220" w14:textId="77777777" w:rsidR="00BF5342" w:rsidRPr="00F82447" w:rsidRDefault="00BF5342" w:rsidP="00BF5342">
            <w:pPr>
              <w:rPr>
                <w:sz w:val="24"/>
                <w:szCs w:val="24"/>
              </w:rPr>
            </w:pPr>
            <w:r w:rsidRPr="00F82447">
              <w:rPr>
                <w:sz w:val="24"/>
                <w:szCs w:val="24"/>
              </w:rPr>
              <w:t>Average ADE wage (DSS, 2018)</w:t>
            </w:r>
          </w:p>
        </w:tc>
      </w:tr>
      <w:tr w:rsidR="00BF5342" w:rsidRPr="006126B2" w14:paraId="39DF855C" w14:textId="77777777" w:rsidTr="00BF5342">
        <w:tc>
          <w:tcPr>
            <w:tcW w:w="0" w:type="auto"/>
          </w:tcPr>
          <w:p w14:paraId="61560DBD" w14:textId="77777777" w:rsidR="00BF5342" w:rsidRPr="00F82447" w:rsidRDefault="00BF5342" w:rsidP="00BF5342">
            <w:pPr>
              <w:rPr>
                <w:b/>
                <w:sz w:val="24"/>
                <w:szCs w:val="24"/>
              </w:rPr>
            </w:pPr>
            <w:r w:rsidRPr="00F82447">
              <w:rPr>
                <w:b/>
                <w:sz w:val="24"/>
                <w:szCs w:val="24"/>
              </w:rPr>
              <w:t>People with disability in supported employment</w:t>
            </w:r>
          </w:p>
        </w:tc>
        <w:tc>
          <w:tcPr>
            <w:tcW w:w="0" w:type="auto"/>
          </w:tcPr>
          <w:p w14:paraId="3D59E4D3" w14:textId="77777777" w:rsidR="00BF5342" w:rsidRPr="00F82447" w:rsidRDefault="00BF5342" w:rsidP="00BF5342">
            <w:pPr>
              <w:rPr>
                <w:sz w:val="24"/>
                <w:szCs w:val="24"/>
              </w:rPr>
            </w:pPr>
            <w:r w:rsidRPr="00F82447">
              <w:rPr>
                <w:sz w:val="24"/>
                <w:szCs w:val="24"/>
              </w:rPr>
              <w:t>100% work an average of 10 hours per week</w:t>
            </w:r>
          </w:p>
        </w:tc>
        <w:tc>
          <w:tcPr>
            <w:tcW w:w="0" w:type="auto"/>
          </w:tcPr>
          <w:p w14:paraId="3CAC5256" w14:textId="77777777" w:rsidR="00BF5342" w:rsidRPr="00F82447" w:rsidRDefault="00BF5342" w:rsidP="00BF5342">
            <w:pPr>
              <w:rPr>
                <w:sz w:val="24"/>
                <w:szCs w:val="24"/>
              </w:rPr>
            </w:pPr>
            <w:r w:rsidRPr="00F82447">
              <w:rPr>
                <w:sz w:val="24"/>
                <w:szCs w:val="24"/>
              </w:rPr>
              <w:t>Average for supported employment workers in Ticket to Work survey</w:t>
            </w:r>
          </w:p>
        </w:tc>
      </w:tr>
      <w:tr w:rsidR="00BF5342" w:rsidRPr="006126B2" w14:paraId="1BD7B05C" w14:textId="77777777" w:rsidTr="00BF5342">
        <w:tc>
          <w:tcPr>
            <w:tcW w:w="0" w:type="auto"/>
          </w:tcPr>
          <w:p w14:paraId="4F0BE546" w14:textId="77777777" w:rsidR="00BF5342" w:rsidRPr="00F82447" w:rsidRDefault="00BF5342" w:rsidP="00BF5342">
            <w:pPr>
              <w:rPr>
                <w:b/>
                <w:sz w:val="24"/>
                <w:szCs w:val="24"/>
              </w:rPr>
            </w:pPr>
            <w:r w:rsidRPr="00F82447">
              <w:rPr>
                <w:b/>
                <w:sz w:val="24"/>
                <w:szCs w:val="24"/>
              </w:rPr>
              <w:t>All people with disability</w:t>
            </w:r>
          </w:p>
        </w:tc>
        <w:tc>
          <w:tcPr>
            <w:tcW w:w="0" w:type="auto"/>
          </w:tcPr>
          <w:p w14:paraId="166799E1" w14:textId="77777777" w:rsidR="00BF5342" w:rsidRPr="00F82447" w:rsidRDefault="00BF5342" w:rsidP="00BF5342">
            <w:pPr>
              <w:rPr>
                <w:sz w:val="24"/>
                <w:szCs w:val="24"/>
              </w:rPr>
            </w:pPr>
            <w:r w:rsidRPr="00F82447">
              <w:rPr>
                <w:sz w:val="24"/>
                <w:szCs w:val="24"/>
              </w:rPr>
              <w:t>Only sources of income are from employment and the disability support pension</w:t>
            </w:r>
          </w:p>
        </w:tc>
        <w:tc>
          <w:tcPr>
            <w:tcW w:w="0" w:type="auto"/>
          </w:tcPr>
          <w:p w14:paraId="1F871259" w14:textId="77777777" w:rsidR="00BF5342" w:rsidRPr="00F82447" w:rsidRDefault="00BF5342" w:rsidP="00BF5342">
            <w:pPr>
              <w:rPr>
                <w:sz w:val="24"/>
                <w:szCs w:val="24"/>
              </w:rPr>
            </w:pPr>
            <w:r w:rsidRPr="00F82447">
              <w:rPr>
                <w:sz w:val="24"/>
                <w:szCs w:val="24"/>
              </w:rPr>
              <w:t>Tax rates are calculated on the basis that there are no other income sources</w:t>
            </w:r>
          </w:p>
        </w:tc>
      </w:tr>
    </w:tbl>
    <w:p w14:paraId="3C956C99" w14:textId="77777777" w:rsidR="00BF5342" w:rsidRDefault="00BF5342" w:rsidP="00F030C7">
      <w:pPr>
        <w:rPr>
          <w:rFonts w:cs="Arial"/>
          <w:b/>
          <w:color w:val="002D62" w:themeColor="text2"/>
          <w:szCs w:val="20"/>
        </w:rPr>
      </w:pPr>
    </w:p>
    <w:p w14:paraId="4B7405BE" w14:textId="77777777" w:rsidR="00F030C7" w:rsidRPr="00E91EA2" w:rsidRDefault="00A56E07" w:rsidP="00F030C7">
      <w:pPr>
        <w:rPr>
          <w:sz w:val="28"/>
          <w:szCs w:val="28"/>
        </w:rPr>
      </w:pPr>
      <w:r w:rsidRPr="00E91EA2">
        <w:rPr>
          <w:rFonts w:cs="Arial"/>
          <w:b/>
          <w:sz w:val="28"/>
          <w:szCs w:val="28"/>
        </w:rPr>
        <w:t xml:space="preserve">Long Term Outcome </w:t>
      </w:r>
      <w:r w:rsidR="00F030C7" w:rsidRPr="00E91EA2">
        <w:rPr>
          <w:rFonts w:cs="Arial"/>
          <w:b/>
          <w:sz w:val="28"/>
          <w:szCs w:val="28"/>
        </w:rPr>
        <w:t>4: how many T</w:t>
      </w:r>
      <w:r w:rsidR="00A14F01" w:rsidRPr="00E91EA2">
        <w:rPr>
          <w:rFonts w:cs="Arial"/>
          <w:b/>
          <w:sz w:val="28"/>
          <w:szCs w:val="28"/>
        </w:rPr>
        <w:t>icket to Work</w:t>
      </w:r>
      <w:r w:rsidR="00F030C7" w:rsidRPr="00E91EA2">
        <w:rPr>
          <w:rFonts w:cs="Arial"/>
          <w:b/>
          <w:sz w:val="28"/>
          <w:szCs w:val="28"/>
        </w:rPr>
        <w:t xml:space="preserve"> participants experienced these outcomes, compared to what we would expect to see in a comparable group?</w:t>
      </w:r>
    </w:p>
    <w:p w14:paraId="3D0D33E6" w14:textId="77777777" w:rsidR="00E1072E" w:rsidRPr="00F82447" w:rsidRDefault="00E1072E" w:rsidP="00E1072E">
      <w:pPr>
        <w:rPr>
          <w:sz w:val="24"/>
          <w:szCs w:val="24"/>
        </w:rPr>
      </w:pPr>
      <w:r w:rsidRPr="00F82447">
        <w:rPr>
          <w:sz w:val="24"/>
          <w:szCs w:val="24"/>
        </w:rPr>
        <w:t xml:space="preserve">There are </w:t>
      </w:r>
      <w:r w:rsidR="00066E48" w:rsidRPr="00F82447">
        <w:rPr>
          <w:sz w:val="24"/>
          <w:szCs w:val="24"/>
        </w:rPr>
        <w:t>four</w:t>
      </w:r>
      <w:r w:rsidRPr="00F82447">
        <w:rPr>
          <w:sz w:val="24"/>
          <w:szCs w:val="24"/>
        </w:rPr>
        <w:t xml:space="preserve"> categories of labour market status that we are interested in:</w:t>
      </w:r>
    </w:p>
    <w:p w14:paraId="3E8CCB48" w14:textId="77777777" w:rsidR="004E18D5" w:rsidRPr="00855673" w:rsidRDefault="004E18D5" w:rsidP="00F82447">
      <w:pPr>
        <w:pStyle w:val="ListParagraph"/>
        <w:numPr>
          <w:ilvl w:val="0"/>
          <w:numId w:val="2"/>
        </w:numPr>
        <w:ind w:left="450"/>
        <w:rPr>
          <w:rFonts w:ascii="Arial" w:hAnsi="Arial" w:cs="Arial"/>
          <w:sz w:val="24"/>
          <w:szCs w:val="24"/>
        </w:rPr>
      </w:pPr>
      <w:r w:rsidRPr="00855673">
        <w:rPr>
          <w:rFonts w:ascii="Arial" w:hAnsi="Arial" w:cs="Arial"/>
          <w:sz w:val="24"/>
          <w:szCs w:val="24"/>
        </w:rPr>
        <w:t>In open employment</w:t>
      </w:r>
    </w:p>
    <w:p w14:paraId="3A5F62FF" w14:textId="77777777" w:rsidR="004E18D5" w:rsidRPr="00855673" w:rsidRDefault="004E18D5" w:rsidP="00F82447">
      <w:pPr>
        <w:pStyle w:val="ListParagraph"/>
        <w:numPr>
          <w:ilvl w:val="0"/>
          <w:numId w:val="2"/>
        </w:numPr>
        <w:ind w:left="450"/>
        <w:rPr>
          <w:rFonts w:ascii="Arial" w:hAnsi="Arial" w:cs="Arial"/>
          <w:sz w:val="24"/>
          <w:szCs w:val="24"/>
        </w:rPr>
      </w:pPr>
      <w:r w:rsidRPr="00855673">
        <w:rPr>
          <w:rFonts w:ascii="Arial" w:hAnsi="Arial" w:cs="Arial"/>
          <w:sz w:val="24"/>
          <w:szCs w:val="24"/>
        </w:rPr>
        <w:t xml:space="preserve">In </w:t>
      </w:r>
      <w:r w:rsidR="00E367D4" w:rsidRPr="00855673">
        <w:rPr>
          <w:rFonts w:ascii="Arial" w:hAnsi="Arial" w:cs="Arial"/>
          <w:sz w:val="24"/>
          <w:szCs w:val="24"/>
        </w:rPr>
        <w:t>supported employment</w:t>
      </w:r>
    </w:p>
    <w:p w14:paraId="7865A24E" w14:textId="77777777" w:rsidR="00E367D4" w:rsidRPr="00855673" w:rsidRDefault="00E367D4" w:rsidP="00F82447">
      <w:pPr>
        <w:pStyle w:val="ListParagraph"/>
        <w:numPr>
          <w:ilvl w:val="0"/>
          <w:numId w:val="2"/>
        </w:numPr>
        <w:ind w:left="450"/>
        <w:rPr>
          <w:rFonts w:ascii="Arial" w:hAnsi="Arial" w:cs="Arial"/>
          <w:sz w:val="24"/>
          <w:szCs w:val="24"/>
        </w:rPr>
      </w:pPr>
      <w:r w:rsidRPr="00855673">
        <w:rPr>
          <w:rFonts w:ascii="Arial" w:hAnsi="Arial" w:cs="Arial"/>
          <w:sz w:val="24"/>
          <w:szCs w:val="24"/>
        </w:rPr>
        <w:t>In the labour market, but unemployed</w:t>
      </w:r>
    </w:p>
    <w:p w14:paraId="6E108A16" w14:textId="77777777" w:rsidR="00E1072E" w:rsidRPr="00855673" w:rsidRDefault="00E367D4" w:rsidP="00F82447">
      <w:pPr>
        <w:pStyle w:val="ListParagraph"/>
        <w:numPr>
          <w:ilvl w:val="0"/>
          <w:numId w:val="2"/>
        </w:numPr>
        <w:ind w:left="450"/>
        <w:rPr>
          <w:rFonts w:ascii="Arial" w:hAnsi="Arial" w:cs="Arial"/>
          <w:b/>
          <w:sz w:val="24"/>
          <w:szCs w:val="24"/>
        </w:rPr>
      </w:pPr>
      <w:r w:rsidRPr="00855673">
        <w:rPr>
          <w:rFonts w:ascii="Arial" w:hAnsi="Arial" w:cs="Arial"/>
          <w:sz w:val="24"/>
          <w:szCs w:val="24"/>
        </w:rPr>
        <w:t>Not in the labour market</w:t>
      </w:r>
    </w:p>
    <w:p w14:paraId="0B8E62A9" w14:textId="77777777" w:rsidR="00F469F9" w:rsidRDefault="00A80EDF" w:rsidP="00E1072E">
      <w:pPr>
        <w:rPr>
          <w:rFonts w:cs="Arial"/>
          <w:sz w:val="24"/>
          <w:szCs w:val="24"/>
        </w:rPr>
      </w:pPr>
      <w:r w:rsidRPr="00855673">
        <w:rPr>
          <w:rFonts w:cs="Arial"/>
          <w:sz w:val="24"/>
          <w:szCs w:val="24"/>
        </w:rPr>
        <w:fldChar w:fldCharType="begin"/>
      </w:r>
      <w:r w:rsidRPr="00855673">
        <w:rPr>
          <w:rFonts w:cs="Arial"/>
          <w:sz w:val="24"/>
          <w:szCs w:val="24"/>
        </w:rPr>
        <w:instrText xml:space="preserve"> REF _Ref20641831 \h  \* MERGEFORMAT </w:instrText>
      </w:r>
      <w:r w:rsidRPr="00855673">
        <w:rPr>
          <w:rFonts w:cs="Arial"/>
          <w:sz w:val="24"/>
          <w:szCs w:val="24"/>
        </w:rPr>
      </w:r>
      <w:r w:rsidRPr="00855673">
        <w:rPr>
          <w:rFonts w:cs="Arial"/>
          <w:sz w:val="24"/>
          <w:szCs w:val="24"/>
        </w:rPr>
        <w:fldChar w:fldCharType="separate"/>
      </w:r>
      <w:r w:rsidRPr="00855673">
        <w:rPr>
          <w:rFonts w:cs="Arial"/>
          <w:sz w:val="24"/>
          <w:szCs w:val="24"/>
        </w:rPr>
        <w:t xml:space="preserve">Figure </w:t>
      </w:r>
      <w:r w:rsidRPr="00855673">
        <w:rPr>
          <w:rFonts w:cs="Arial"/>
          <w:noProof/>
          <w:sz w:val="24"/>
          <w:szCs w:val="24"/>
        </w:rPr>
        <w:t>8</w:t>
      </w:r>
      <w:r w:rsidRPr="00855673">
        <w:rPr>
          <w:rFonts w:cs="Arial"/>
          <w:sz w:val="24"/>
          <w:szCs w:val="24"/>
        </w:rPr>
        <w:fldChar w:fldCharType="end"/>
      </w:r>
      <w:r w:rsidR="00CF5317" w:rsidRPr="00855673">
        <w:rPr>
          <w:rFonts w:cs="Arial"/>
          <w:sz w:val="24"/>
          <w:szCs w:val="24"/>
        </w:rPr>
        <w:t xml:space="preserve"> shows the number of people in each of these categories in the ‘Business as usual” scenario, compared to the “Ticket to Work’ scenario. </w:t>
      </w:r>
    </w:p>
    <w:p w14:paraId="706B99D3" w14:textId="77777777" w:rsidR="00F407E4" w:rsidRPr="009D1F32" w:rsidRDefault="009D1F32" w:rsidP="00F407E4">
      <w:pPr>
        <w:rPr>
          <w:rFonts w:cs="Arial"/>
          <w:sz w:val="24"/>
          <w:szCs w:val="24"/>
        </w:rPr>
      </w:pPr>
      <w:r>
        <w:rPr>
          <w:noProof/>
          <w:lang w:eastAsia="en-AU"/>
        </w:rPr>
        <w:drawing>
          <wp:inline distT="0" distB="0" distL="0" distR="0" wp14:anchorId="49FCB722" wp14:editId="7F0A6864">
            <wp:extent cx="5692766" cy="3131185"/>
            <wp:effectExtent l="0" t="0" r="3810" b="0"/>
            <wp:docPr id="31" name="Picture 31" descr="This scenario has 3216 participants. Ticket to Work secnario 2862 in labour force compared to 1865 in business as usual scenario. Ticket to Work Scenario 2058 employed compared to 1062 business as usual. Ticket to Work scenario 1845 in open employment compared to 531 in business as usual. Ticket to Work scenario 213 in supported employment compared to 531 in business as usual. Ticket to work scenario 804 unemployed compared to 803 in business as usual. Ticket to work scenario 354 not in labour force compared to 1351 in business as usu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6573" cy="3138779"/>
                    </a:xfrm>
                    <a:prstGeom prst="rect">
                      <a:avLst/>
                    </a:prstGeom>
                    <a:noFill/>
                  </pic:spPr>
                </pic:pic>
              </a:graphicData>
            </a:graphic>
          </wp:inline>
        </w:drawing>
      </w:r>
      <w:bookmarkStart w:id="13" w:name="_Ref20641831"/>
      <w:bookmarkStart w:id="14" w:name="_Ref16652601"/>
      <w:r w:rsidR="00CD1D7F" w:rsidRPr="00F82447">
        <w:rPr>
          <w:sz w:val="24"/>
          <w:szCs w:val="24"/>
        </w:rPr>
        <w:t xml:space="preserve">Figure </w:t>
      </w:r>
      <w:r w:rsidR="00CD1D7F" w:rsidRPr="00F82447">
        <w:rPr>
          <w:noProof/>
          <w:sz w:val="24"/>
          <w:szCs w:val="24"/>
        </w:rPr>
        <w:fldChar w:fldCharType="begin"/>
      </w:r>
      <w:r w:rsidR="00CD1D7F" w:rsidRPr="00F82447">
        <w:rPr>
          <w:noProof/>
          <w:sz w:val="24"/>
          <w:szCs w:val="24"/>
        </w:rPr>
        <w:instrText xml:space="preserve"> SEQ Figure \* ARABIC </w:instrText>
      </w:r>
      <w:r w:rsidR="00CD1D7F" w:rsidRPr="00F82447">
        <w:rPr>
          <w:noProof/>
          <w:sz w:val="24"/>
          <w:szCs w:val="24"/>
        </w:rPr>
        <w:fldChar w:fldCharType="separate"/>
      </w:r>
      <w:r w:rsidR="004912C4" w:rsidRPr="00F82447">
        <w:rPr>
          <w:noProof/>
          <w:sz w:val="24"/>
          <w:szCs w:val="24"/>
        </w:rPr>
        <w:t>8</w:t>
      </w:r>
      <w:r w:rsidR="00CD1D7F" w:rsidRPr="00F82447">
        <w:rPr>
          <w:noProof/>
          <w:sz w:val="24"/>
          <w:szCs w:val="24"/>
        </w:rPr>
        <w:fldChar w:fldCharType="end"/>
      </w:r>
      <w:bookmarkEnd w:id="13"/>
      <w:r w:rsidR="00CD1D7F" w:rsidRPr="00F82447">
        <w:rPr>
          <w:sz w:val="24"/>
          <w:szCs w:val="24"/>
        </w:rPr>
        <w:t>: outcome scenarios by employment type</w:t>
      </w:r>
    </w:p>
    <w:p w14:paraId="6AF928D7" w14:textId="77777777" w:rsidR="00CD1D7F" w:rsidRPr="00F82447" w:rsidRDefault="00A56E07" w:rsidP="00F407E4">
      <w:pPr>
        <w:rPr>
          <w:rFonts w:cs="Arial"/>
          <w:b/>
          <w:sz w:val="28"/>
          <w:szCs w:val="28"/>
        </w:rPr>
      </w:pPr>
      <w:r w:rsidRPr="00F82447">
        <w:rPr>
          <w:rFonts w:cs="Arial"/>
          <w:b/>
          <w:sz w:val="28"/>
          <w:szCs w:val="28"/>
        </w:rPr>
        <w:lastRenderedPageBreak/>
        <w:t xml:space="preserve">Long Term Outcome </w:t>
      </w:r>
      <w:r w:rsidR="0029476D" w:rsidRPr="00F82447">
        <w:rPr>
          <w:rFonts w:cs="Arial"/>
          <w:b/>
          <w:sz w:val="28"/>
          <w:szCs w:val="28"/>
        </w:rPr>
        <w:t>4: calculate the additional benefit generated by Ticket to Work</w:t>
      </w:r>
    </w:p>
    <w:p w14:paraId="73A09D3D" w14:textId="77777777" w:rsidR="00B746F9" w:rsidRPr="00F82447" w:rsidRDefault="00153D3E" w:rsidP="00BD2B0B">
      <w:pPr>
        <w:rPr>
          <w:sz w:val="24"/>
          <w:szCs w:val="24"/>
        </w:rPr>
      </w:pPr>
      <w:r w:rsidRPr="00F82447">
        <w:rPr>
          <w:sz w:val="24"/>
          <w:szCs w:val="24"/>
        </w:rPr>
        <w:t xml:space="preserve">The following table sets out the income </w:t>
      </w:r>
      <w:r w:rsidR="00815E1A" w:rsidRPr="00F82447">
        <w:rPr>
          <w:sz w:val="24"/>
          <w:szCs w:val="24"/>
        </w:rPr>
        <w:t xml:space="preserve">sources </w:t>
      </w:r>
      <w:r w:rsidRPr="00F82447">
        <w:rPr>
          <w:sz w:val="24"/>
          <w:szCs w:val="24"/>
        </w:rPr>
        <w:t xml:space="preserve">and tax </w:t>
      </w:r>
      <w:r w:rsidR="00B06BC2" w:rsidRPr="00F82447">
        <w:rPr>
          <w:sz w:val="24"/>
          <w:szCs w:val="24"/>
        </w:rPr>
        <w:t xml:space="preserve">payments </w:t>
      </w:r>
      <w:r w:rsidR="005940F1" w:rsidRPr="00F82447">
        <w:rPr>
          <w:sz w:val="24"/>
          <w:szCs w:val="24"/>
        </w:rPr>
        <w:t>for</w:t>
      </w:r>
      <w:r w:rsidR="00B06BC2" w:rsidRPr="00F82447">
        <w:rPr>
          <w:sz w:val="24"/>
          <w:szCs w:val="24"/>
        </w:rPr>
        <w:t xml:space="preserve"> participants in each of the four groups</w:t>
      </w:r>
      <w:r w:rsidR="00815E1A" w:rsidRPr="00F82447">
        <w:rPr>
          <w:sz w:val="24"/>
          <w:szCs w:val="24"/>
        </w:rPr>
        <w:t xml:space="preserve">, calculating the net personal income </w:t>
      </w:r>
      <w:r w:rsidR="006B5694" w:rsidRPr="00F82447">
        <w:rPr>
          <w:sz w:val="24"/>
          <w:szCs w:val="24"/>
        </w:rPr>
        <w:t xml:space="preserve">for each </w:t>
      </w:r>
      <w:r w:rsidR="00815E1A" w:rsidRPr="00F82447">
        <w:rPr>
          <w:sz w:val="24"/>
          <w:szCs w:val="24"/>
        </w:rPr>
        <w:t>group</w:t>
      </w:r>
      <w:r w:rsidR="00B06BC2" w:rsidRPr="00F82447">
        <w:rPr>
          <w:sz w:val="24"/>
          <w:szCs w:val="24"/>
        </w:rPr>
        <w:t>:</w:t>
      </w:r>
    </w:p>
    <w:p w14:paraId="73BD24F8" w14:textId="77777777" w:rsidR="00021B6F" w:rsidRDefault="00021B6F" w:rsidP="00BD2B0B"/>
    <w:tbl>
      <w:tblPr>
        <w:tblStyle w:val="ListTable3-Accent2"/>
        <w:tblW w:w="0" w:type="auto"/>
        <w:tblLook w:val="06A0" w:firstRow="1" w:lastRow="0" w:firstColumn="1" w:lastColumn="0" w:noHBand="1" w:noVBand="1"/>
        <w:tblDescription w:val="Participant outcome and welfare support status. All in open employment: youth allowance 13,439 annual net wages, Government pensions and allowances 10.001 net personal income 23,440. Disability support Pension 13,439 annual net wages. Government pension and allowances 19,624. Net personal income 33,062. no pension or allowance 13,439. 0 for government pensions and allowances and 13,439 net personal income. Figures for All in supported employment. youth allowance 3,194 annual net wages, 11,170 government pensions and allowances and 14,364 net personal income. Disability support pension annual net wages 3,194 with government pensions and allowances 24,081 and a net personal income of 27,276. no pension or allowance 3194 annual net wages with 0 government pensions and allowances and a net personal income of 3,194. All unemployed group- youth allowance (youth allowance is only payable to those looking for work and studying). 0 annual net wages and 11,170 government pensions and allowances with 11,170 net personal income. Disability support pension has 0 annual net wages with 24,081 government pensions and allowances with 24,081 net pesonal income. no pension or allowance 0 annual net wages, 0 government pensions and allowances and 0 net personal income. All not in labour force group. youth allowance 0 annual net wages, 11,170 government pensions and allowances and 11,170 net personal income. Disability Support Pension 0 annual net wages, 24,081 government pensions and allowances and 24.081 net personal income. no pension or allowance has 0 annual net wages, 0 government pensions and allowances and 0 net personal income. "/>
      </w:tblPr>
      <w:tblGrid>
        <w:gridCol w:w="3114"/>
        <w:gridCol w:w="1843"/>
        <w:gridCol w:w="1842"/>
        <w:gridCol w:w="2127"/>
      </w:tblGrid>
      <w:tr w:rsidR="00ED3B1F" w:rsidRPr="00F82447" w14:paraId="40352227" w14:textId="77777777" w:rsidTr="006C4FFC">
        <w:trPr>
          <w:cnfStyle w:val="100000000000" w:firstRow="1" w:lastRow="0" w:firstColumn="0" w:lastColumn="0" w:oddVBand="0" w:evenVBand="0" w:oddHBand="0" w:evenHBand="0" w:firstRowFirstColumn="0" w:firstRowLastColumn="0" w:lastRowFirstColumn="0" w:lastRowLastColumn="0"/>
          <w:cantSplit/>
          <w:trHeight w:val="255"/>
          <w:tblHeader/>
        </w:trPr>
        <w:tc>
          <w:tcPr>
            <w:cnfStyle w:val="001000000100" w:firstRow="0" w:lastRow="0" w:firstColumn="1" w:lastColumn="0" w:oddVBand="0" w:evenVBand="0" w:oddHBand="0" w:evenHBand="0" w:firstRowFirstColumn="1" w:firstRowLastColumn="0" w:lastRowFirstColumn="0" w:lastRowLastColumn="0"/>
            <w:tcW w:w="3114" w:type="dxa"/>
            <w:noWrap/>
            <w:hideMark/>
          </w:tcPr>
          <w:p w14:paraId="3A402904" w14:textId="77777777" w:rsidR="00ED3B1F" w:rsidRPr="00F82447" w:rsidRDefault="00ED3B1F">
            <w:pPr>
              <w:rPr>
                <w:sz w:val="24"/>
                <w:szCs w:val="24"/>
              </w:rPr>
            </w:pPr>
            <w:r w:rsidRPr="00F82447">
              <w:rPr>
                <w:sz w:val="24"/>
                <w:szCs w:val="24"/>
              </w:rPr>
              <w:t>Participant outcome</w:t>
            </w:r>
            <w:r w:rsidR="00224F98" w:rsidRPr="00F82447">
              <w:rPr>
                <w:sz w:val="24"/>
                <w:szCs w:val="24"/>
              </w:rPr>
              <w:t xml:space="preserve"> and </w:t>
            </w:r>
            <w:r w:rsidR="00590C15" w:rsidRPr="00F82447">
              <w:rPr>
                <w:sz w:val="24"/>
                <w:szCs w:val="24"/>
              </w:rPr>
              <w:t>welfare support status</w:t>
            </w:r>
          </w:p>
        </w:tc>
        <w:tc>
          <w:tcPr>
            <w:tcW w:w="1843" w:type="dxa"/>
            <w:tcBorders>
              <w:bottom w:val="nil"/>
            </w:tcBorders>
            <w:noWrap/>
            <w:hideMark/>
          </w:tcPr>
          <w:p w14:paraId="4A726016" w14:textId="77777777" w:rsidR="00ED3B1F" w:rsidRPr="00F82447" w:rsidRDefault="00ED3B1F" w:rsidP="009D2E2C">
            <w:pPr>
              <w:jc w:val="center"/>
              <w:cnfStyle w:val="100000000000" w:firstRow="1" w:lastRow="0" w:firstColumn="0" w:lastColumn="0" w:oddVBand="0" w:evenVBand="0" w:oddHBand="0" w:evenHBand="0" w:firstRowFirstColumn="0" w:firstRowLastColumn="0" w:lastRowFirstColumn="0" w:lastRowLastColumn="0"/>
              <w:rPr>
                <w:sz w:val="24"/>
                <w:szCs w:val="24"/>
              </w:rPr>
            </w:pPr>
            <w:r w:rsidRPr="00F82447">
              <w:rPr>
                <w:sz w:val="24"/>
                <w:szCs w:val="24"/>
              </w:rPr>
              <w:t xml:space="preserve">Annual </w:t>
            </w:r>
            <w:r w:rsidR="00590C15" w:rsidRPr="00F82447">
              <w:rPr>
                <w:sz w:val="24"/>
                <w:szCs w:val="24"/>
              </w:rPr>
              <w:t xml:space="preserve">net </w:t>
            </w:r>
            <w:r w:rsidRPr="00F82447">
              <w:rPr>
                <w:sz w:val="24"/>
                <w:szCs w:val="24"/>
              </w:rPr>
              <w:t>wage</w:t>
            </w:r>
            <w:r w:rsidR="00590C15" w:rsidRPr="00F82447">
              <w:rPr>
                <w:sz w:val="24"/>
                <w:szCs w:val="24"/>
              </w:rPr>
              <w:t>s</w:t>
            </w:r>
          </w:p>
        </w:tc>
        <w:tc>
          <w:tcPr>
            <w:tcW w:w="1842" w:type="dxa"/>
            <w:tcBorders>
              <w:bottom w:val="nil"/>
            </w:tcBorders>
            <w:noWrap/>
            <w:hideMark/>
          </w:tcPr>
          <w:p w14:paraId="20DCF978" w14:textId="77777777" w:rsidR="00ED3B1F" w:rsidRPr="00F82447" w:rsidRDefault="00ED3B1F" w:rsidP="009D2E2C">
            <w:pPr>
              <w:jc w:val="center"/>
              <w:cnfStyle w:val="100000000000" w:firstRow="1" w:lastRow="0" w:firstColumn="0" w:lastColumn="0" w:oddVBand="0" w:evenVBand="0" w:oddHBand="0" w:evenHBand="0" w:firstRowFirstColumn="0" w:firstRowLastColumn="0" w:lastRowFirstColumn="0" w:lastRowLastColumn="0"/>
              <w:rPr>
                <w:sz w:val="24"/>
                <w:szCs w:val="24"/>
              </w:rPr>
            </w:pPr>
            <w:r w:rsidRPr="00F82447">
              <w:rPr>
                <w:sz w:val="24"/>
                <w:szCs w:val="24"/>
              </w:rPr>
              <w:t>Govt pensions and allowances</w:t>
            </w:r>
          </w:p>
        </w:tc>
        <w:tc>
          <w:tcPr>
            <w:tcW w:w="2127" w:type="dxa"/>
            <w:tcBorders>
              <w:bottom w:val="nil"/>
            </w:tcBorders>
            <w:noWrap/>
            <w:hideMark/>
          </w:tcPr>
          <w:p w14:paraId="585B4363" w14:textId="77777777" w:rsidR="00ED3B1F" w:rsidRPr="00F82447" w:rsidRDefault="00ED3B1F" w:rsidP="009D2E2C">
            <w:pPr>
              <w:jc w:val="center"/>
              <w:cnfStyle w:val="100000000000" w:firstRow="1" w:lastRow="0" w:firstColumn="0" w:lastColumn="0" w:oddVBand="0" w:evenVBand="0" w:oddHBand="0" w:evenHBand="0" w:firstRowFirstColumn="0" w:firstRowLastColumn="0" w:lastRowFirstColumn="0" w:lastRowLastColumn="0"/>
              <w:rPr>
                <w:sz w:val="24"/>
                <w:szCs w:val="24"/>
              </w:rPr>
            </w:pPr>
            <w:r w:rsidRPr="00F82447">
              <w:rPr>
                <w:sz w:val="24"/>
                <w:szCs w:val="24"/>
              </w:rPr>
              <w:t>Net personal Income</w:t>
            </w:r>
          </w:p>
        </w:tc>
      </w:tr>
      <w:tr w:rsidR="00ED3B1F" w:rsidRPr="00F82447" w14:paraId="6743EE90" w14:textId="77777777" w:rsidTr="00131887">
        <w:trPr>
          <w:cantSplit/>
          <w:trHeight w:val="255"/>
        </w:trPr>
        <w:tc>
          <w:tcPr>
            <w:cnfStyle w:val="001000000000" w:firstRow="0" w:lastRow="0" w:firstColumn="1" w:lastColumn="0" w:oddVBand="0" w:evenVBand="0" w:oddHBand="0" w:evenHBand="0" w:firstRowFirstColumn="0" w:firstRowLastColumn="0" w:lastRowFirstColumn="0" w:lastRowLastColumn="0"/>
            <w:tcW w:w="3114" w:type="dxa"/>
            <w:tcBorders>
              <w:top w:val="nil"/>
              <w:bottom w:val="single" w:sz="4" w:space="0" w:color="auto"/>
            </w:tcBorders>
            <w:shd w:val="clear" w:color="auto" w:fill="auto"/>
            <w:noWrap/>
            <w:hideMark/>
          </w:tcPr>
          <w:p w14:paraId="516C0F4E" w14:textId="77777777" w:rsidR="00ED3B1F" w:rsidRPr="00F82447" w:rsidRDefault="00ED3B1F">
            <w:pPr>
              <w:rPr>
                <w:sz w:val="24"/>
                <w:szCs w:val="24"/>
              </w:rPr>
            </w:pPr>
            <w:r w:rsidRPr="00F82447">
              <w:rPr>
                <w:sz w:val="24"/>
                <w:szCs w:val="24"/>
              </w:rPr>
              <w:t>All in open employment</w:t>
            </w:r>
          </w:p>
        </w:tc>
        <w:tc>
          <w:tcPr>
            <w:tcW w:w="1843" w:type="dxa"/>
            <w:tcBorders>
              <w:top w:val="nil"/>
              <w:bottom w:val="single" w:sz="4" w:space="0" w:color="auto"/>
            </w:tcBorders>
            <w:shd w:val="clear" w:color="auto" w:fill="auto"/>
            <w:noWrap/>
            <w:hideMark/>
          </w:tcPr>
          <w:p w14:paraId="3993F4B5"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42" w:type="dxa"/>
            <w:tcBorders>
              <w:top w:val="nil"/>
              <w:bottom w:val="single" w:sz="4" w:space="0" w:color="auto"/>
            </w:tcBorders>
            <w:shd w:val="clear" w:color="auto" w:fill="auto"/>
            <w:noWrap/>
            <w:hideMark/>
          </w:tcPr>
          <w:p w14:paraId="7C1FA7A1"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127" w:type="dxa"/>
            <w:tcBorders>
              <w:top w:val="nil"/>
              <w:bottom w:val="single" w:sz="4" w:space="0" w:color="auto"/>
            </w:tcBorders>
            <w:shd w:val="clear" w:color="auto" w:fill="auto"/>
            <w:noWrap/>
            <w:hideMark/>
          </w:tcPr>
          <w:p w14:paraId="656ED08F"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D3B1F" w:rsidRPr="00F82447" w14:paraId="385E8692" w14:textId="77777777" w:rsidTr="00131887">
        <w:trPr>
          <w:cantSplit/>
          <w:trHeight w:val="255"/>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auto"/>
            </w:tcBorders>
            <w:shd w:val="clear" w:color="auto" w:fill="auto"/>
            <w:noWrap/>
            <w:hideMark/>
          </w:tcPr>
          <w:p w14:paraId="34240ABE" w14:textId="77777777" w:rsidR="00ED3B1F" w:rsidRPr="00F82447" w:rsidRDefault="00ED3B1F">
            <w:pPr>
              <w:rPr>
                <w:b w:val="0"/>
                <w:iCs/>
                <w:sz w:val="24"/>
                <w:szCs w:val="24"/>
              </w:rPr>
            </w:pPr>
            <w:r w:rsidRPr="00F82447">
              <w:rPr>
                <w:b w:val="0"/>
                <w:iCs/>
                <w:sz w:val="24"/>
                <w:szCs w:val="24"/>
              </w:rPr>
              <w:t xml:space="preserve">   youth allowance</w:t>
            </w:r>
          </w:p>
        </w:tc>
        <w:tc>
          <w:tcPr>
            <w:tcW w:w="1843" w:type="dxa"/>
            <w:tcBorders>
              <w:top w:val="single" w:sz="4" w:space="0" w:color="auto"/>
              <w:bottom w:val="single" w:sz="4" w:space="0" w:color="auto"/>
            </w:tcBorders>
            <w:shd w:val="clear" w:color="auto" w:fill="auto"/>
            <w:noWrap/>
            <w:hideMark/>
          </w:tcPr>
          <w:p w14:paraId="65BCDB3C"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iCs/>
                <w:sz w:val="24"/>
                <w:szCs w:val="24"/>
              </w:rPr>
            </w:pPr>
            <w:r w:rsidRPr="00F82447">
              <w:rPr>
                <w:iCs/>
                <w:sz w:val="24"/>
                <w:szCs w:val="24"/>
              </w:rPr>
              <w:t>1</w:t>
            </w:r>
            <w:r w:rsidR="00975F3F" w:rsidRPr="00F82447">
              <w:rPr>
                <w:iCs/>
                <w:sz w:val="24"/>
                <w:szCs w:val="24"/>
              </w:rPr>
              <w:t>3,439</w:t>
            </w:r>
          </w:p>
        </w:tc>
        <w:tc>
          <w:tcPr>
            <w:tcW w:w="1842" w:type="dxa"/>
            <w:tcBorders>
              <w:top w:val="single" w:sz="4" w:space="0" w:color="auto"/>
              <w:bottom w:val="single" w:sz="4" w:space="0" w:color="auto"/>
            </w:tcBorders>
            <w:shd w:val="clear" w:color="auto" w:fill="auto"/>
            <w:noWrap/>
            <w:hideMark/>
          </w:tcPr>
          <w:p w14:paraId="19338030"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iCs/>
                <w:sz w:val="24"/>
                <w:szCs w:val="24"/>
              </w:rPr>
            </w:pPr>
            <w:r w:rsidRPr="00F82447">
              <w:rPr>
                <w:iCs/>
                <w:sz w:val="24"/>
                <w:szCs w:val="24"/>
              </w:rPr>
              <w:t>1</w:t>
            </w:r>
            <w:r w:rsidR="00246417" w:rsidRPr="00F82447">
              <w:rPr>
                <w:iCs/>
                <w:sz w:val="24"/>
                <w:szCs w:val="24"/>
              </w:rPr>
              <w:t>0,001</w:t>
            </w:r>
          </w:p>
        </w:tc>
        <w:tc>
          <w:tcPr>
            <w:tcW w:w="2127" w:type="dxa"/>
            <w:tcBorders>
              <w:top w:val="single" w:sz="4" w:space="0" w:color="auto"/>
              <w:bottom w:val="single" w:sz="4" w:space="0" w:color="auto"/>
            </w:tcBorders>
            <w:shd w:val="clear" w:color="auto" w:fill="auto"/>
            <w:noWrap/>
            <w:hideMark/>
          </w:tcPr>
          <w:p w14:paraId="67C980C9"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iCs/>
                <w:sz w:val="24"/>
                <w:szCs w:val="24"/>
              </w:rPr>
            </w:pPr>
            <w:r w:rsidRPr="00F82447">
              <w:rPr>
                <w:iCs/>
                <w:sz w:val="24"/>
                <w:szCs w:val="24"/>
              </w:rPr>
              <w:t>2</w:t>
            </w:r>
            <w:r w:rsidR="00246417" w:rsidRPr="00F82447">
              <w:rPr>
                <w:iCs/>
                <w:sz w:val="24"/>
                <w:szCs w:val="24"/>
              </w:rPr>
              <w:t>3,440</w:t>
            </w:r>
          </w:p>
        </w:tc>
      </w:tr>
      <w:tr w:rsidR="00ED3B1F" w:rsidRPr="00F82447" w14:paraId="30353C8E" w14:textId="77777777" w:rsidTr="00131887">
        <w:trPr>
          <w:cantSplit/>
          <w:trHeight w:val="255"/>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auto"/>
            </w:tcBorders>
            <w:shd w:val="clear" w:color="auto" w:fill="auto"/>
            <w:noWrap/>
            <w:hideMark/>
          </w:tcPr>
          <w:p w14:paraId="1D5D69EE" w14:textId="77777777" w:rsidR="00ED3B1F" w:rsidRPr="00F82447" w:rsidRDefault="00ED3B1F">
            <w:pPr>
              <w:rPr>
                <w:b w:val="0"/>
                <w:iCs/>
                <w:sz w:val="24"/>
                <w:szCs w:val="24"/>
              </w:rPr>
            </w:pPr>
            <w:r w:rsidRPr="00F82447">
              <w:rPr>
                <w:b w:val="0"/>
                <w:iCs/>
                <w:sz w:val="24"/>
                <w:szCs w:val="24"/>
              </w:rPr>
              <w:t xml:space="preserve">   DSP</w:t>
            </w:r>
          </w:p>
        </w:tc>
        <w:tc>
          <w:tcPr>
            <w:tcW w:w="1843" w:type="dxa"/>
            <w:tcBorders>
              <w:top w:val="single" w:sz="4" w:space="0" w:color="auto"/>
              <w:bottom w:val="single" w:sz="4" w:space="0" w:color="auto"/>
            </w:tcBorders>
            <w:shd w:val="clear" w:color="auto" w:fill="auto"/>
            <w:noWrap/>
            <w:hideMark/>
          </w:tcPr>
          <w:p w14:paraId="23B58F9A"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iCs/>
                <w:sz w:val="24"/>
                <w:szCs w:val="24"/>
              </w:rPr>
            </w:pPr>
            <w:r w:rsidRPr="00F82447">
              <w:rPr>
                <w:iCs/>
                <w:sz w:val="24"/>
                <w:szCs w:val="24"/>
              </w:rPr>
              <w:t>1</w:t>
            </w:r>
            <w:r w:rsidR="00975F3F" w:rsidRPr="00F82447">
              <w:rPr>
                <w:iCs/>
                <w:sz w:val="24"/>
                <w:szCs w:val="24"/>
              </w:rPr>
              <w:t>3,439</w:t>
            </w:r>
          </w:p>
        </w:tc>
        <w:tc>
          <w:tcPr>
            <w:tcW w:w="1842" w:type="dxa"/>
            <w:tcBorders>
              <w:top w:val="single" w:sz="4" w:space="0" w:color="auto"/>
              <w:bottom w:val="single" w:sz="4" w:space="0" w:color="auto"/>
            </w:tcBorders>
            <w:shd w:val="clear" w:color="auto" w:fill="auto"/>
            <w:noWrap/>
            <w:hideMark/>
          </w:tcPr>
          <w:p w14:paraId="0752CD02" w14:textId="77777777" w:rsidR="00ED3B1F" w:rsidRPr="00F82447" w:rsidRDefault="00246417" w:rsidP="009D2E2C">
            <w:pPr>
              <w:jc w:val="center"/>
              <w:cnfStyle w:val="000000000000" w:firstRow="0" w:lastRow="0" w:firstColumn="0" w:lastColumn="0" w:oddVBand="0" w:evenVBand="0" w:oddHBand="0" w:evenHBand="0" w:firstRowFirstColumn="0" w:firstRowLastColumn="0" w:lastRowFirstColumn="0" w:lastRowLastColumn="0"/>
              <w:rPr>
                <w:iCs/>
                <w:sz w:val="24"/>
                <w:szCs w:val="24"/>
              </w:rPr>
            </w:pPr>
            <w:r w:rsidRPr="00F82447">
              <w:rPr>
                <w:iCs/>
                <w:sz w:val="24"/>
                <w:szCs w:val="24"/>
              </w:rPr>
              <w:t>19,624</w:t>
            </w:r>
          </w:p>
        </w:tc>
        <w:tc>
          <w:tcPr>
            <w:tcW w:w="2127" w:type="dxa"/>
            <w:tcBorders>
              <w:top w:val="single" w:sz="4" w:space="0" w:color="auto"/>
              <w:bottom w:val="single" w:sz="4" w:space="0" w:color="auto"/>
            </w:tcBorders>
            <w:shd w:val="clear" w:color="auto" w:fill="auto"/>
            <w:noWrap/>
            <w:hideMark/>
          </w:tcPr>
          <w:p w14:paraId="0E8F72D6"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iCs/>
                <w:sz w:val="24"/>
                <w:szCs w:val="24"/>
              </w:rPr>
            </w:pPr>
            <w:r w:rsidRPr="00F82447">
              <w:rPr>
                <w:iCs/>
                <w:sz w:val="24"/>
                <w:szCs w:val="24"/>
              </w:rPr>
              <w:t>3</w:t>
            </w:r>
            <w:r w:rsidR="00246417" w:rsidRPr="00F82447">
              <w:rPr>
                <w:iCs/>
                <w:sz w:val="24"/>
                <w:szCs w:val="24"/>
              </w:rPr>
              <w:t>3,062</w:t>
            </w:r>
          </w:p>
        </w:tc>
      </w:tr>
      <w:tr w:rsidR="00ED3B1F" w:rsidRPr="00F82447" w14:paraId="347610F0" w14:textId="77777777" w:rsidTr="00131887">
        <w:trPr>
          <w:cantSplit/>
          <w:trHeight w:val="255"/>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auto"/>
            </w:tcBorders>
            <w:shd w:val="clear" w:color="auto" w:fill="auto"/>
            <w:noWrap/>
            <w:hideMark/>
          </w:tcPr>
          <w:p w14:paraId="0560F200" w14:textId="77777777" w:rsidR="00ED3B1F" w:rsidRPr="00F82447" w:rsidRDefault="00ED3B1F">
            <w:pPr>
              <w:rPr>
                <w:b w:val="0"/>
                <w:iCs/>
                <w:sz w:val="24"/>
                <w:szCs w:val="24"/>
              </w:rPr>
            </w:pPr>
            <w:r w:rsidRPr="00F82447">
              <w:rPr>
                <w:b w:val="0"/>
                <w:iCs/>
                <w:sz w:val="24"/>
                <w:szCs w:val="24"/>
              </w:rPr>
              <w:t xml:space="preserve">   no pension or allowance</w:t>
            </w:r>
          </w:p>
        </w:tc>
        <w:tc>
          <w:tcPr>
            <w:tcW w:w="1843" w:type="dxa"/>
            <w:tcBorders>
              <w:top w:val="single" w:sz="4" w:space="0" w:color="auto"/>
              <w:bottom w:val="single" w:sz="4" w:space="0" w:color="auto"/>
            </w:tcBorders>
            <w:shd w:val="clear" w:color="auto" w:fill="auto"/>
            <w:noWrap/>
            <w:hideMark/>
          </w:tcPr>
          <w:p w14:paraId="73309861"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iCs/>
                <w:sz w:val="24"/>
                <w:szCs w:val="24"/>
              </w:rPr>
            </w:pPr>
            <w:r w:rsidRPr="00F82447">
              <w:rPr>
                <w:iCs/>
                <w:sz w:val="24"/>
                <w:szCs w:val="24"/>
              </w:rPr>
              <w:t>1</w:t>
            </w:r>
            <w:r w:rsidR="00975F3F" w:rsidRPr="00F82447">
              <w:rPr>
                <w:iCs/>
                <w:sz w:val="24"/>
                <w:szCs w:val="24"/>
              </w:rPr>
              <w:t>3,439</w:t>
            </w:r>
          </w:p>
        </w:tc>
        <w:tc>
          <w:tcPr>
            <w:tcW w:w="1842" w:type="dxa"/>
            <w:tcBorders>
              <w:top w:val="single" w:sz="4" w:space="0" w:color="auto"/>
              <w:bottom w:val="single" w:sz="4" w:space="0" w:color="auto"/>
            </w:tcBorders>
            <w:shd w:val="clear" w:color="auto" w:fill="auto"/>
            <w:noWrap/>
            <w:hideMark/>
          </w:tcPr>
          <w:p w14:paraId="2A52ABCA"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iCs/>
                <w:sz w:val="24"/>
                <w:szCs w:val="24"/>
              </w:rPr>
            </w:pPr>
            <w:r w:rsidRPr="00F82447">
              <w:rPr>
                <w:iCs/>
                <w:sz w:val="24"/>
                <w:szCs w:val="24"/>
              </w:rPr>
              <w:t>-</w:t>
            </w:r>
          </w:p>
        </w:tc>
        <w:tc>
          <w:tcPr>
            <w:tcW w:w="2127" w:type="dxa"/>
            <w:tcBorders>
              <w:top w:val="single" w:sz="4" w:space="0" w:color="auto"/>
              <w:bottom w:val="single" w:sz="4" w:space="0" w:color="auto"/>
            </w:tcBorders>
            <w:shd w:val="clear" w:color="auto" w:fill="auto"/>
            <w:noWrap/>
            <w:hideMark/>
          </w:tcPr>
          <w:p w14:paraId="4095233F"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iCs/>
                <w:sz w:val="24"/>
                <w:szCs w:val="24"/>
              </w:rPr>
            </w:pPr>
            <w:r w:rsidRPr="00F82447">
              <w:rPr>
                <w:iCs/>
                <w:sz w:val="24"/>
                <w:szCs w:val="24"/>
              </w:rPr>
              <w:t>1</w:t>
            </w:r>
            <w:r w:rsidR="00246417" w:rsidRPr="00F82447">
              <w:rPr>
                <w:iCs/>
                <w:sz w:val="24"/>
                <w:szCs w:val="24"/>
              </w:rPr>
              <w:t>3,439</w:t>
            </w:r>
          </w:p>
        </w:tc>
      </w:tr>
      <w:tr w:rsidR="00ED3B1F" w:rsidRPr="00F82447" w14:paraId="67633435" w14:textId="77777777" w:rsidTr="00131887">
        <w:trPr>
          <w:cantSplit/>
          <w:trHeight w:val="255"/>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auto"/>
            </w:tcBorders>
            <w:shd w:val="clear" w:color="auto" w:fill="auto"/>
            <w:noWrap/>
            <w:hideMark/>
          </w:tcPr>
          <w:p w14:paraId="307493FE" w14:textId="77777777" w:rsidR="00ED3B1F" w:rsidRPr="00F82447" w:rsidRDefault="00ED3B1F">
            <w:pPr>
              <w:rPr>
                <w:sz w:val="24"/>
                <w:szCs w:val="24"/>
              </w:rPr>
            </w:pPr>
            <w:r w:rsidRPr="00F82447">
              <w:rPr>
                <w:sz w:val="24"/>
                <w:szCs w:val="24"/>
              </w:rPr>
              <w:t>All in supported employment</w:t>
            </w:r>
          </w:p>
        </w:tc>
        <w:tc>
          <w:tcPr>
            <w:tcW w:w="1843" w:type="dxa"/>
            <w:tcBorders>
              <w:top w:val="single" w:sz="4" w:space="0" w:color="auto"/>
              <w:bottom w:val="single" w:sz="4" w:space="0" w:color="auto"/>
            </w:tcBorders>
            <w:shd w:val="clear" w:color="auto" w:fill="auto"/>
            <w:noWrap/>
            <w:hideMark/>
          </w:tcPr>
          <w:p w14:paraId="035E31B9"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sz w:val="24"/>
                <w:szCs w:val="24"/>
              </w:rPr>
            </w:pPr>
            <w:r w:rsidRPr="00F82447">
              <w:rPr>
                <w:sz w:val="24"/>
                <w:szCs w:val="24"/>
              </w:rPr>
              <w:t>-</w:t>
            </w:r>
          </w:p>
        </w:tc>
        <w:tc>
          <w:tcPr>
            <w:tcW w:w="1842" w:type="dxa"/>
            <w:tcBorders>
              <w:top w:val="single" w:sz="4" w:space="0" w:color="auto"/>
              <w:bottom w:val="single" w:sz="4" w:space="0" w:color="auto"/>
            </w:tcBorders>
            <w:shd w:val="clear" w:color="auto" w:fill="auto"/>
            <w:noWrap/>
            <w:hideMark/>
          </w:tcPr>
          <w:p w14:paraId="4FA62D65"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127" w:type="dxa"/>
            <w:tcBorders>
              <w:top w:val="single" w:sz="4" w:space="0" w:color="auto"/>
              <w:bottom w:val="single" w:sz="4" w:space="0" w:color="auto"/>
            </w:tcBorders>
            <w:shd w:val="clear" w:color="auto" w:fill="auto"/>
            <w:noWrap/>
            <w:hideMark/>
          </w:tcPr>
          <w:p w14:paraId="35285575"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D3B1F" w:rsidRPr="00F82447" w14:paraId="76D52272" w14:textId="77777777" w:rsidTr="00131887">
        <w:trPr>
          <w:cantSplit/>
          <w:trHeight w:val="255"/>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auto"/>
            </w:tcBorders>
            <w:shd w:val="clear" w:color="auto" w:fill="auto"/>
            <w:noWrap/>
            <w:hideMark/>
          </w:tcPr>
          <w:p w14:paraId="63D6B2C3" w14:textId="77777777" w:rsidR="00ED3B1F" w:rsidRPr="00F82447" w:rsidRDefault="00ED3B1F">
            <w:pPr>
              <w:rPr>
                <w:b w:val="0"/>
                <w:iCs/>
                <w:sz w:val="24"/>
                <w:szCs w:val="24"/>
              </w:rPr>
            </w:pPr>
            <w:r w:rsidRPr="00F82447">
              <w:rPr>
                <w:b w:val="0"/>
                <w:iCs/>
                <w:sz w:val="24"/>
                <w:szCs w:val="24"/>
              </w:rPr>
              <w:t xml:space="preserve">   youth allowance</w:t>
            </w:r>
          </w:p>
        </w:tc>
        <w:tc>
          <w:tcPr>
            <w:tcW w:w="1843" w:type="dxa"/>
            <w:tcBorders>
              <w:top w:val="single" w:sz="4" w:space="0" w:color="auto"/>
              <w:bottom w:val="single" w:sz="4" w:space="0" w:color="auto"/>
            </w:tcBorders>
            <w:shd w:val="clear" w:color="auto" w:fill="auto"/>
            <w:noWrap/>
            <w:hideMark/>
          </w:tcPr>
          <w:p w14:paraId="3E94D70E"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iCs/>
                <w:sz w:val="24"/>
                <w:szCs w:val="24"/>
              </w:rPr>
            </w:pPr>
            <w:r w:rsidRPr="00F82447">
              <w:rPr>
                <w:iCs/>
                <w:sz w:val="24"/>
                <w:szCs w:val="24"/>
              </w:rPr>
              <w:t>3,194</w:t>
            </w:r>
          </w:p>
        </w:tc>
        <w:tc>
          <w:tcPr>
            <w:tcW w:w="1842" w:type="dxa"/>
            <w:tcBorders>
              <w:top w:val="single" w:sz="4" w:space="0" w:color="auto"/>
              <w:bottom w:val="single" w:sz="4" w:space="0" w:color="auto"/>
            </w:tcBorders>
            <w:shd w:val="clear" w:color="auto" w:fill="auto"/>
            <w:noWrap/>
            <w:hideMark/>
          </w:tcPr>
          <w:p w14:paraId="6F0B035C"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iCs/>
                <w:sz w:val="24"/>
                <w:szCs w:val="24"/>
              </w:rPr>
            </w:pPr>
            <w:r w:rsidRPr="00F82447">
              <w:rPr>
                <w:iCs/>
                <w:sz w:val="24"/>
                <w:szCs w:val="24"/>
              </w:rPr>
              <w:t>11,170</w:t>
            </w:r>
          </w:p>
        </w:tc>
        <w:tc>
          <w:tcPr>
            <w:tcW w:w="2127" w:type="dxa"/>
            <w:tcBorders>
              <w:top w:val="single" w:sz="4" w:space="0" w:color="auto"/>
              <w:bottom w:val="single" w:sz="4" w:space="0" w:color="auto"/>
            </w:tcBorders>
            <w:shd w:val="clear" w:color="auto" w:fill="auto"/>
            <w:noWrap/>
            <w:hideMark/>
          </w:tcPr>
          <w:p w14:paraId="148CC102"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iCs/>
                <w:sz w:val="24"/>
                <w:szCs w:val="24"/>
              </w:rPr>
            </w:pPr>
            <w:r w:rsidRPr="00F82447">
              <w:rPr>
                <w:iCs/>
                <w:sz w:val="24"/>
                <w:szCs w:val="24"/>
              </w:rPr>
              <w:t>14,364</w:t>
            </w:r>
          </w:p>
        </w:tc>
      </w:tr>
      <w:tr w:rsidR="00ED3B1F" w:rsidRPr="00F82447" w14:paraId="3B6E3957" w14:textId="77777777" w:rsidTr="00131887">
        <w:trPr>
          <w:cantSplit/>
          <w:trHeight w:val="255"/>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auto"/>
            </w:tcBorders>
            <w:shd w:val="clear" w:color="auto" w:fill="auto"/>
            <w:noWrap/>
            <w:hideMark/>
          </w:tcPr>
          <w:p w14:paraId="69975C82" w14:textId="77777777" w:rsidR="00ED3B1F" w:rsidRPr="00F82447" w:rsidRDefault="006345E6">
            <w:pPr>
              <w:rPr>
                <w:b w:val="0"/>
                <w:iCs/>
                <w:sz w:val="24"/>
                <w:szCs w:val="24"/>
              </w:rPr>
            </w:pPr>
            <w:r w:rsidRPr="00F82447">
              <w:rPr>
                <w:b w:val="0"/>
                <w:iCs/>
                <w:sz w:val="24"/>
                <w:szCs w:val="24"/>
              </w:rPr>
              <w:t xml:space="preserve"> </w:t>
            </w:r>
            <w:r w:rsidR="00ED3B1F" w:rsidRPr="00F82447">
              <w:rPr>
                <w:b w:val="0"/>
                <w:iCs/>
                <w:sz w:val="24"/>
                <w:szCs w:val="24"/>
              </w:rPr>
              <w:t xml:space="preserve"> DSP</w:t>
            </w:r>
          </w:p>
        </w:tc>
        <w:tc>
          <w:tcPr>
            <w:tcW w:w="1843" w:type="dxa"/>
            <w:tcBorders>
              <w:top w:val="single" w:sz="4" w:space="0" w:color="auto"/>
              <w:bottom w:val="single" w:sz="4" w:space="0" w:color="auto"/>
            </w:tcBorders>
            <w:shd w:val="clear" w:color="auto" w:fill="auto"/>
            <w:noWrap/>
            <w:hideMark/>
          </w:tcPr>
          <w:p w14:paraId="6EC4D30C"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iCs/>
                <w:sz w:val="24"/>
                <w:szCs w:val="24"/>
              </w:rPr>
            </w:pPr>
            <w:r w:rsidRPr="00F82447">
              <w:rPr>
                <w:iCs/>
                <w:sz w:val="24"/>
                <w:szCs w:val="24"/>
              </w:rPr>
              <w:t>3,194</w:t>
            </w:r>
          </w:p>
        </w:tc>
        <w:tc>
          <w:tcPr>
            <w:tcW w:w="1842" w:type="dxa"/>
            <w:tcBorders>
              <w:top w:val="single" w:sz="4" w:space="0" w:color="auto"/>
              <w:bottom w:val="single" w:sz="4" w:space="0" w:color="auto"/>
            </w:tcBorders>
            <w:shd w:val="clear" w:color="auto" w:fill="auto"/>
            <w:noWrap/>
            <w:hideMark/>
          </w:tcPr>
          <w:p w14:paraId="0FE15BD0"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iCs/>
                <w:sz w:val="24"/>
                <w:szCs w:val="24"/>
              </w:rPr>
            </w:pPr>
            <w:r w:rsidRPr="00F82447">
              <w:rPr>
                <w:iCs/>
                <w:sz w:val="24"/>
                <w:szCs w:val="24"/>
              </w:rPr>
              <w:t>24,081</w:t>
            </w:r>
          </w:p>
        </w:tc>
        <w:tc>
          <w:tcPr>
            <w:tcW w:w="2127" w:type="dxa"/>
            <w:tcBorders>
              <w:top w:val="single" w:sz="4" w:space="0" w:color="auto"/>
              <w:bottom w:val="single" w:sz="4" w:space="0" w:color="auto"/>
            </w:tcBorders>
            <w:shd w:val="clear" w:color="auto" w:fill="auto"/>
            <w:noWrap/>
            <w:hideMark/>
          </w:tcPr>
          <w:p w14:paraId="538BF621"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iCs/>
                <w:sz w:val="24"/>
                <w:szCs w:val="24"/>
              </w:rPr>
            </w:pPr>
            <w:r w:rsidRPr="00F82447">
              <w:rPr>
                <w:iCs/>
                <w:sz w:val="24"/>
                <w:szCs w:val="24"/>
              </w:rPr>
              <w:t>27,276</w:t>
            </w:r>
          </w:p>
        </w:tc>
      </w:tr>
      <w:tr w:rsidR="00ED3B1F" w:rsidRPr="00F82447" w14:paraId="15D877E8" w14:textId="77777777" w:rsidTr="00131887">
        <w:trPr>
          <w:cantSplit/>
          <w:trHeight w:val="255"/>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auto"/>
            </w:tcBorders>
            <w:shd w:val="clear" w:color="auto" w:fill="auto"/>
            <w:noWrap/>
            <w:hideMark/>
          </w:tcPr>
          <w:p w14:paraId="0E9A80EC" w14:textId="77777777" w:rsidR="00ED3B1F" w:rsidRPr="00F82447" w:rsidRDefault="006345E6">
            <w:pPr>
              <w:rPr>
                <w:b w:val="0"/>
                <w:iCs/>
                <w:sz w:val="24"/>
                <w:szCs w:val="24"/>
              </w:rPr>
            </w:pPr>
            <w:r w:rsidRPr="00F82447">
              <w:rPr>
                <w:b w:val="0"/>
                <w:iCs/>
                <w:sz w:val="24"/>
                <w:szCs w:val="24"/>
              </w:rPr>
              <w:t xml:space="preserve"> </w:t>
            </w:r>
            <w:r w:rsidR="00ED3B1F" w:rsidRPr="00F82447">
              <w:rPr>
                <w:b w:val="0"/>
                <w:iCs/>
                <w:sz w:val="24"/>
                <w:szCs w:val="24"/>
              </w:rPr>
              <w:t xml:space="preserve"> no pension or allowance</w:t>
            </w:r>
          </w:p>
        </w:tc>
        <w:tc>
          <w:tcPr>
            <w:tcW w:w="1843" w:type="dxa"/>
            <w:tcBorders>
              <w:top w:val="single" w:sz="4" w:space="0" w:color="auto"/>
              <w:bottom w:val="single" w:sz="4" w:space="0" w:color="auto"/>
            </w:tcBorders>
            <w:shd w:val="clear" w:color="auto" w:fill="auto"/>
            <w:noWrap/>
            <w:hideMark/>
          </w:tcPr>
          <w:p w14:paraId="585087B1"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iCs/>
                <w:sz w:val="24"/>
                <w:szCs w:val="24"/>
              </w:rPr>
            </w:pPr>
            <w:r w:rsidRPr="00F82447">
              <w:rPr>
                <w:iCs/>
                <w:sz w:val="24"/>
                <w:szCs w:val="24"/>
              </w:rPr>
              <w:t>3,194</w:t>
            </w:r>
          </w:p>
        </w:tc>
        <w:tc>
          <w:tcPr>
            <w:tcW w:w="1842" w:type="dxa"/>
            <w:tcBorders>
              <w:top w:val="single" w:sz="4" w:space="0" w:color="auto"/>
              <w:bottom w:val="single" w:sz="4" w:space="0" w:color="auto"/>
            </w:tcBorders>
            <w:shd w:val="clear" w:color="auto" w:fill="auto"/>
            <w:noWrap/>
            <w:hideMark/>
          </w:tcPr>
          <w:p w14:paraId="247286B7"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iCs/>
                <w:sz w:val="24"/>
                <w:szCs w:val="24"/>
              </w:rPr>
            </w:pPr>
            <w:r w:rsidRPr="00F82447">
              <w:rPr>
                <w:iCs/>
                <w:sz w:val="24"/>
                <w:szCs w:val="24"/>
              </w:rPr>
              <w:t>-</w:t>
            </w:r>
          </w:p>
        </w:tc>
        <w:tc>
          <w:tcPr>
            <w:tcW w:w="2127" w:type="dxa"/>
            <w:tcBorders>
              <w:top w:val="single" w:sz="4" w:space="0" w:color="auto"/>
              <w:bottom w:val="single" w:sz="4" w:space="0" w:color="auto"/>
            </w:tcBorders>
            <w:shd w:val="clear" w:color="auto" w:fill="auto"/>
            <w:noWrap/>
            <w:hideMark/>
          </w:tcPr>
          <w:p w14:paraId="58A6E628"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iCs/>
                <w:sz w:val="24"/>
                <w:szCs w:val="24"/>
              </w:rPr>
            </w:pPr>
            <w:r w:rsidRPr="00F82447">
              <w:rPr>
                <w:iCs/>
                <w:sz w:val="24"/>
                <w:szCs w:val="24"/>
              </w:rPr>
              <w:t>3,194</w:t>
            </w:r>
          </w:p>
        </w:tc>
      </w:tr>
      <w:tr w:rsidR="00ED3B1F" w:rsidRPr="00F82447" w14:paraId="62EBA70F" w14:textId="77777777" w:rsidTr="00131887">
        <w:trPr>
          <w:cantSplit/>
          <w:trHeight w:val="255"/>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auto"/>
            </w:tcBorders>
            <w:shd w:val="clear" w:color="auto" w:fill="auto"/>
            <w:noWrap/>
            <w:hideMark/>
          </w:tcPr>
          <w:p w14:paraId="2C7CBDEC" w14:textId="77777777" w:rsidR="00ED3B1F" w:rsidRPr="00F82447" w:rsidRDefault="00ED3B1F">
            <w:pPr>
              <w:rPr>
                <w:sz w:val="24"/>
                <w:szCs w:val="24"/>
              </w:rPr>
            </w:pPr>
            <w:r w:rsidRPr="00F82447">
              <w:rPr>
                <w:sz w:val="24"/>
                <w:szCs w:val="24"/>
              </w:rPr>
              <w:t>All unemployed</w:t>
            </w:r>
          </w:p>
        </w:tc>
        <w:tc>
          <w:tcPr>
            <w:tcW w:w="1843" w:type="dxa"/>
            <w:tcBorders>
              <w:top w:val="single" w:sz="4" w:space="0" w:color="auto"/>
              <w:bottom w:val="single" w:sz="4" w:space="0" w:color="auto"/>
            </w:tcBorders>
            <w:shd w:val="clear" w:color="auto" w:fill="auto"/>
            <w:noWrap/>
            <w:hideMark/>
          </w:tcPr>
          <w:p w14:paraId="488EDAE1"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42" w:type="dxa"/>
            <w:tcBorders>
              <w:top w:val="single" w:sz="4" w:space="0" w:color="auto"/>
              <w:bottom w:val="single" w:sz="4" w:space="0" w:color="auto"/>
            </w:tcBorders>
            <w:shd w:val="clear" w:color="auto" w:fill="auto"/>
            <w:noWrap/>
            <w:hideMark/>
          </w:tcPr>
          <w:p w14:paraId="2B6FC2E8"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127" w:type="dxa"/>
            <w:tcBorders>
              <w:top w:val="single" w:sz="4" w:space="0" w:color="auto"/>
              <w:bottom w:val="single" w:sz="4" w:space="0" w:color="auto"/>
            </w:tcBorders>
            <w:shd w:val="clear" w:color="auto" w:fill="auto"/>
            <w:noWrap/>
            <w:hideMark/>
          </w:tcPr>
          <w:p w14:paraId="7994F799"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D3B1F" w:rsidRPr="00F82447" w14:paraId="41EBB01C" w14:textId="77777777" w:rsidTr="00131887">
        <w:trPr>
          <w:cantSplit/>
          <w:trHeight w:val="255"/>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auto"/>
            </w:tcBorders>
            <w:shd w:val="clear" w:color="auto" w:fill="auto"/>
            <w:noWrap/>
            <w:hideMark/>
          </w:tcPr>
          <w:p w14:paraId="0574DBAB" w14:textId="77777777" w:rsidR="00ED3B1F" w:rsidRPr="00F82447" w:rsidRDefault="006345E6">
            <w:pPr>
              <w:rPr>
                <w:b w:val="0"/>
                <w:iCs/>
                <w:sz w:val="24"/>
                <w:szCs w:val="24"/>
              </w:rPr>
            </w:pPr>
            <w:r w:rsidRPr="00F82447">
              <w:rPr>
                <w:b w:val="0"/>
                <w:iCs/>
                <w:sz w:val="24"/>
                <w:szCs w:val="24"/>
              </w:rPr>
              <w:t xml:space="preserve"> </w:t>
            </w:r>
            <w:r w:rsidR="00ED3B1F" w:rsidRPr="00F82447">
              <w:rPr>
                <w:b w:val="0"/>
                <w:iCs/>
                <w:sz w:val="24"/>
                <w:szCs w:val="24"/>
              </w:rPr>
              <w:t xml:space="preserve"> youth allowance</w:t>
            </w:r>
            <w:r w:rsidR="00605830" w:rsidRPr="00F82447">
              <w:rPr>
                <w:b w:val="0"/>
                <w:iCs/>
                <w:sz w:val="24"/>
                <w:szCs w:val="24"/>
              </w:rPr>
              <w:t>*</w:t>
            </w:r>
          </w:p>
        </w:tc>
        <w:tc>
          <w:tcPr>
            <w:tcW w:w="1843" w:type="dxa"/>
            <w:tcBorders>
              <w:top w:val="single" w:sz="4" w:space="0" w:color="auto"/>
              <w:bottom w:val="single" w:sz="4" w:space="0" w:color="auto"/>
            </w:tcBorders>
            <w:shd w:val="clear" w:color="auto" w:fill="auto"/>
            <w:noWrap/>
            <w:hideMark/>
          </w:tcPr>
          <w:p w14:paraId="6F1BF434"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42" w:type="dxa"/>
            <w:tcBorders>
              <w:top w:val="single" w:sz="4" w:space="0" w:color="auto"/>
              <w:bottom w:val="single" w:sz="4" w:space="0" w:color="auto"/>
            </w:tcBorders>
            <w:shd w:val="clear" w:color="auto" w:fill="auto"/>
            <w:noWrap/>
            <w:hideMark/>
          </w:tcPr>
          <w:p w14:paraId="1E745ADD"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iCs/>
                <w:sz w:val="24"/>
                <w:szCs w:val="24"/>
              </w:rPr>
            </w:pPr>
            <w:r w:rsidRPr="00F82447">
              <w:rPr>
                <w:iCs/>
                <w:sz w:val="24"/>
                <w:szCs w:val="24"/>
              </w:rPr>
              <w:t>11,170</w:t>
            </w:r>
          </w:p>
        </w:tc>
        <w:tc>
          <w:tcPr>
            <w:tcW w:w="2127" w:type="dxa"/>
            <w:tcBorders>
              <w:top w:val="single" w:sz="4" w:space="0" w:color="auto"/>
              <w:bottom w:val="single" w:sz="4" w:space="0" w:color="auto"/>
            </w:tcBorders>
            <w:shd w:val="clear" w:color="auto" w:fill="auto"/>
            <w:noWrap/>
            <w:hideMark/>
          </w:tcPr>
          <w:p w14:paraId="70CEA061"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iCs/>
                <w:sz w:val="24"/>
                <w:szCs w:val="24"/>
              </w:rPr>
            </w:pPr>
            <w:r w:rsidRPr="00F82447">
              <w:rPr>
                <w:iCs/>
                <w:sz w:val="24"/>
                <w:szCs w:val="24"/>
              </w:rPr>
              <w:t>11,170</w:t>
            </w:r>
          </w:p>
        </w:tc>
      </w:tr>
      <w:tr w:rsidR="00ED3B1F" w:rsidRPr="00F82447" w14:paraId="7C52114A" w14:textId="77777777" w:rsidTr="00131887">
        <w:trPr>
          <w:cantSplit/>
          <w:trHeight w:val="255"/>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auto"/>
            </w:tcBorders>
            <w:shd w:val="clear" w:color="auto" w:fill="auto"/>
            <w:noWrap/>
            <w:hideMark/>
          </w:tcPr>
          <w:p w14:paraId="09CFFA37" w14:textId="77777777" w:rsidR="00ED3B1F" w:rsidRPr="00F82447" w:rsidRDefault="006345E6">
            <w:pPr>
              <w:rPr>
                <w:b w:val="0"/>
                <w:iCs/>
                <w:sz w:val="24"/>
                <w:szCs w:val="24"/>
              </w:rPr>
            </w:pPr>
            <w:r w:rsidRPr="00F82447">
              <w:rPr>
                <w:b w:val="0"/>
                <w:iCs/>
                <w:sz w:val="24"/>
                <w:szCs w:val="24"/>
              </w:rPr>
              <w:t xml:space="preserve"> </w:t>
            </w:r>
            <w:r w:rsidR="00ED3B1F" w:rsidRPr="00F82447">
              <w:rPr>
                <w:b w:val="0"/>
                <w:iCs/>
                <w:sz w:val="24"/>
                <w:szCs w:val="24"/>
              </w:rPr>
              <w:t xml:space="preserve"> DSP</w:t>
            </w:r>
          </w:p>
        </w:tc>
        <w:tc>
          <w:tcPr>
            <w:tcW w:w="1843" w:type="dxa"/>
            <w:tcBorders>
              <w:top w:val="single" w:sz="4" w:space="0" w:color="auto"/>
              <w:bottom w:val="single" w:sz="4" w:space="0" w:color="auto"/>
            </w:tcBorders>
            <w:shd w:val="clear" w:color="auto" w:fill="auto"/>
            <w:noWrap/>
            <w:hideMark/>
          </w:tcPr>
          <w:p w14:paraId="0ABED3DE"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42" w:type="dxa"/>
            <w:tcBorders>
              <w:top w:val="single" w:sz="4" w:space="0" w:color="auto"/>
              <w:bottom w:val="single" w:sz="4" w:space="0" w:color="auto"/>
            </w:tcBorders>
            <w:shd w:val="clear" w:color="auto" w:fill="auto"/>
            <w:noWrap/>
            <w:hideMark/>
          </w:tcPr>
          <w:p w14:paraId="55D2B4DA"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iCs/>
                <w:sz w:val="24"/>
                <w:szCs w:val="24"/>
              </w:rPr>
            </w:pPr>
            <w:r w:rsidRPr="00F82447">
              <w:rPr>
                <w:iCs/>
                <w:sz w:val="24"/>
                <w:szCs w:val="24"/>
              </w:rPr>
              <w:t>24,081</w:t>
            </w:r>
          </w:p>
        </w:tc>
        <w:tc>
          <w:tcPr>
            <w:tcW w:w="2127" w:type="dxa"/>
            <w:tcBorders>
              <w:top w:val="single" w:sz="4" w:space="0" w:color="auto"/>
              <w:bottom w:val="single" w:sz="4" w:space="0" w:color="auto"/>
            </w:tcBorders>
            <w:shd w:val="clear" w:color="auto" w:fill="auto"/>
            <w:noWrap/>
            <w:hideMark/>
          </w:tcPr>
          <w:p w14:paraId="0F70FACC"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iCs/>
                <w:sz w:val="24"/>
                <w:szCs w:val="24"/>
              </w:rPr>
            </w:pPr>
            <w:r w:rsidRPr="00F82447">
              <w:rPr>
                <w:iCs/>
                <w:sz w:val="24"/>
                <w:szCs w:val="24"/>
              </w:rPr>
              <w:t>24,081</w:t>
            </w:r>
          </w:p>
        </w:tc>
      </w:tr>
      <w:tr w:rsidR="00ED3B1F" w:rsidRPr="00F82447" w14:paraId="0FF30908" w14:textId="77777777" w:rsidTr="00131887">
        <w:trPr>
          <w:cantSplit/>
          <w:trHeight w:val="255"/>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auto"/>
            </w:tcBorders>
            <w:shd w:val="clear" w:color="auto" w:fill="auto"/>
            <w:noWrap/>
            <w:hideMark/>
          </w:tcPr>
          <w:p w14:paraId="736E3206" w14:textId="77777777" w:rsidR="00ED3B1F" w:rsidRPr="00F82447" w:rsidRDefault="006345E6">
            <w:pPr>
              <w:rPr>
                <w:b w:val="0"/>
                <w:iCs/>
                <w:sz w:val="24"/>
                <w:szCs w:val="24"/>
              </w:rPr>
            </w:pPr>
            <w:r w:rsidRPr="00F82447">
              <w:rPr>
                <w:b w:val="0"/>
                <w:iCs/>
                <w:sz w:val="24"/>
                <w:szCs w:val="24"/>
              </w:rPr>
              <w:t xml:space="preserve"> </w:t>
            </w:r>
            <w:r w:rsidR="00ED3B1F" w:rsidRPr="00F82447">
              <w:rPr>
                <w:b w:val="0"/>
                <w:iCs/>
                <w:sz w:val="24"/>
                <w:szCs w:val="24"/>
              </w:rPr>
              <w:t xml:space="preserve"> no pension or allowance</w:t>
            </w:r>
          </w:p>
        </w:tc>
        <w:tc>
          <w:tcPr>
            <w:tcW w:w="1843" w:type="dxa"/>
            <w:tcBorders>
              <w:top w:val="single" w:sz="4" w:space="0" w:color="auto"/>
              <w:bottom w:val="single" w:sz="4" w:space="0" w:color="auto"/>
            </w:tcBorders>
            <w:shd w:val="clear" w:color="auto" w:fill="auto"/>
            <w:noWrap/>
            <w:hideMark/>
          </w:tcPr>
          <w:p w14:paraId="658210FB"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42" w:type="dxa"/>
            <w:tcBorders>
              <w:top w:val="single" w:sz="4" w:space="0" w:color="auto"/>
              <w:bottom w:val="single" w:sz="4" w:space="0" w:color="auto"/>
            </w:tcBorders>
            <w:shd w:val="clear" w:color="auto" w:fill="auto"/>
            <w:noWrap/>
            <w:hideMark/>
          </w:tcPr>
          <w:p w14:paraId="49D25050"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iCs/>
                <w:sz w:val="24"/>
                <w:szCs w:val="24"/>
              </w:rPr>
            </w:pPr>
            <w:r w:rsidRPr="00F82447">
              <w:rPr>
                <w:iCs/>
                <w:sz w:val="24"/>
                <w:szCs w:val="24"/>
              </w:rPr>
              <w:t>-</w:t>
            </w:r>
          </w:p>
        </w:tc>
        <w:tc>
          <w:tcPr>
            <w:tcW w:w="2127" w:type="dxa"/>
            <w:tcBorders>
              <w:top w:val="single" w:sz="4" w:space="0" w:color="auto"/>
              <w:bottom w:val="single" w:sz="4" w:space="0" w:color="auto"/>
            </w:tcBorders>
            <w:shd w:val="clear" w:color="auto" w:fill="auto"/>
            <w:noWrap/>
            <w:hideMark/>
          </w:tcPr>
          <w:p w14:paraId="245FF2D1"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iCs/>
                <w:sz w:val="24"/>
                <w:szCs w:val="24"/>
              </w:rPr>
            </w:pPr>
            <w:r w:rsidRPr="00F82447">
              <w:rPr>
                <w:iCs/>
                <w:sz w:val="24"/>
                <w:szCs w:val="24"/>
              </w:rPr>
              <w:t>-</w:t>
            </w:r>
          </w:p>
        </w:tc>
      </w:tr>
      <w:tr w:rsidR="00ED3B1F" w:rsidRPr="00F82447" w14:paraId="0EF90768" w14:textId="77777777" w:rsidTr="00131887">
        <w:trPr>
          <w:cantSplit/>
          <w:trHeight w:val="255"/>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auto"/>
            </w:tcBorders>
            <w:shd w:val="clear" w:color="auto" w:fill="auto"/>
            <w:noWrap/>
            <w:hideMark/>
          </w:tcPr>
          <w:p w14:paraId="79AE27DB" w14:textId="77777777" w:rsidR="00ED3B1F" w:rsidRPr="00F82447" w:rsidRDefault="00ED3B1F">
            <w:pPr>
              <w:rPr>
                <w:sz w:val="24"/>
                <w:szCs w:val="24"/>
              </w:rPr>
            </w:pPr>
            <w:r w:rsidRPr="00F82447">
              <w:rPr>
                <w:sz w:val="24"/>
                <w:szCs w:val="24"/>
              </w:rPr>
              <w:t>All not in labour force</w:t>
            </w:r>
          </w:p>
        </w:tc>
        <w:tc>
          <w:tcPr>
            <w:tcW w:w="1843" w:type="dxa"/>
            <w:tcBorders>
              <w:top w:val="single" w:sz="4" w:space="0" w:color="auto"/>
              <w:bottom w:val="single" w:sz="4" w:space="0" w:color="auto"/>
            </w:tcBorders>
            <w:shd w:val="clear" w:color="auto" w:fill="auto"/>
            <w:noWrap/>
            <w:hideMark/>
          </w:tcPr>
          <w:p w14:paraId="293C065A"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42" w:type="dxa"/>
            <w:tcBorders>
              <w:top w:val="single" w:sz="4" w:space="0" w:color="auto"/>
              <w:bottom w:val="single" w:sz="4" w:space="0" w:color="auto"/>
            </w:tcBorders>
            <w:shd w:val="clear" w:color="auto" w:fill="auto"/>
            <w:noWrap/>
            <w:hideMark/>
          </w:tcPr>
          <w:p w14:paraId="7ECC8608"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127" w:type="dxa"/>
            <w:tcBorders>
              <w:top w:val="single" w:sz="4" w:space="0" w:color="auto"/>
              <w:bottom w:val="single" w:sz="4" w:space="0" w:color="auto"/>
            </w:tcBorders>
            <w:shd w:val="clear" w:color="auto" w:fill="auto"/>
            <w:noWrap/>
            <w:hideMark/>
          </w:tcPr>
          <w:p w14:paraId="073ECADC"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D3B1F" w:rsidRPr="00F82447" w14:paraId="0498B42A" w14:textId="77777777" w:rsidTr="00131887">
        <w:trPr>
          <w:cantSplit/>
          <w:trHeight w:val="255"/>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auto"/>
            </w:tcBorders>
            <w:shd w:val="clear" w:color="auto" w:fill="auto"/>
            <w:noWrap/>
            <w:hideMark/>
          </w:tcPr>
          <w:p w14:paraId="029DDE14" w14:textId="77777777" w:rsidR="00ED3B1F" w:rsidRPr="00F82447" w:rsidRDefault="006345E6">
            <w:pPr>
              <w:rPr>
                <w:b w:val="0"/>
                <w:iCs/>
                <w:sz w:val="24"/>
                <w:szCs w:val="24"/>
              </w:rPr>
            </w:pPr>
            <w:r w:rsidRPr="00F82447">
              <w:rPr>
                <w:b w:val="0"/>
                <w:iCs/>
                <w:sz w:val="24"/>
                <w:szCs w:val="24"/>
              </w:rPr>
              <w:t xml:space="preserve"> </w:t>
            </w:r>
            <w:r w:rsidR="00ED3B1F" w:rsidRPr="00F82447">
              <w:rPr>
                <w:b w:val="0"/>
                <w:iCs/>
                <w:sz w:val="24"/>
                <w:szCs w:val="24"/>
              </w:rPr>
              <w:t xml:space="preserve"> youth allowance</w:t>
            </w:r>
            <w:r w:rsidR="00605830" w:rsidRPr="00F82447">
              <w:rPr>
                <w:b w:val="0"/>
                <w:iCs/>
                <w:sz w:val="24"/>
                <w:szCs w:val="24"/>
              </w:rPr>
              <w:t>*</w:t>
            </w:r>
          </w:p>
        </w:tc>
        <w:tc>
          <w:tcPr>
            <w:tcW w:w="1843" w:type="dxa"/>
            <w:tcBorders>
              <w:top w:val="single" w:sz="4" w:space="0" w:color="auto"/>
              <w:bottom w:val="single" w:sz="4" w:space="0" w:color="auto"/>
            </w:tcBorders>
            <w:shd w:val="clear" w:color="auto" w:fill="auto"/>
            <w:noWrap/>
            <w:hideMark/>
          </w:tcPr>
          <w:p w14:paraId="7D5D48B4"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42" w:type="dxa"/>
            <w:tcBorders>
              <w:top w:val="single" w:sz="4" w:space="0" w:color="auto"/>
              <w:bottom w:val="single" w:sz="4" w:space="0" w:color="auto"/>
            </w:tcBorders>
            <w:shd w:val="clear" w:color="auto" w:fill="auto"/>
            <w:noWrap/>
            <w:hideMark/>
          </w:tcPr>
          <w:p w14:paraId="7EBB1E5F"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iCs/>
                <w:sz w:val="24"/>
                <w:szCs w:val="24"/>
              </w:rPr>
            </w:pPr>
            <w:r w:rsidRPr="00F82447">
              <w:rPr>
                <w:iCs/>
                <w:sz w:val="24"/>
                <w:szCs w:val="24"/>
              </w:rPr>
              <w:t>11,170</w:t>
            </w:r>
          </w:p>
        </w:tc>
        <w:tc>
          <w:tcPr>
            <w:tcW w:w="2127" w:type="dxa"/>
            <w:tcBorders>
              <w:top w:val="single" w:sz="4" w:space="0" w:color="auto"/>
              <w:bottom w:val="single" w:sz="4" w:space="0" w:color="auto"/>
            </w:tcBorders>
            <w:shd w:val="clear" w:color="auto" w:fill="auto"/>
            <w:noWrap/>
            <w:hideMark/>
          </w:tcPr>
          <w:p w14:paraId="6B891287"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iCs/>
                <w:sz w:val="24"/>
                <w:szCs w:val="24"/>
              </w:rPr>
            </w:pPr>
            <w:r w:rsidRPr="00F82447">
              <w:rPr>
                <w:iCs/>
                <w:sz w:val="24"/>
                <w:szCs w:val="24"/>
              </w:rPr>
              <w:t>11,170</w:t>
            </w:r>
          </w:p>
        </w:tc>
      </w:tr>
      <w:tr w:rsidR="00ED3B1F" w:rsidRPr="00F82447" w14:paraId="4790E8D0" w14:textId="77777777" w:rsidTr="00131887">
        <w:trPr>
          <w:cantSplit/>
          <w:trHeight w:val="255"/>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auto"/>
            </w:tcBorders>
            <w:shd w:val="clear" w:color="auto" w:fill="auto"/>
            <w:noWrap/>
            <w:hideMark/>
          </w:tcPr>
          <w:p w14:paraId="7144711E" w14:textId="77777777" w:rsidR="00ED3B1F" w:rsidRPr="00F82447" w:rsidRDefault="006345E6">
            <w:pPr>
              <w:rPr>
                <w:b w:val="0"/>
                <w:iCs/>
                <w:sz w:val="24"/>
                <w:szCs w:val="24"/>
              </w:rPr>
            </w:pPr>
            <w:r w:rsidRPr="00F82447">
              <w:rPr>
                <w:b w:val="0"/>
                <w:iCs/>
                <w:sz w:val="24"/>
                <w:szCs w:val="24"/>
              </w:rPr>
              <w:t xml:space="preserve"> </w:t>
            </w:r>
            <w:r w:rsidR="00ED3B1F" w:rsidRPr="00F82447">
              <w:rPr>
                <w:b w:val="0"/>
                <w:iCs/>
                <w:sz w:val="24"/>
                <w:szCs w:val="24"/>
              </w:rPr>
              <w:t xml:space="preserve"> DSP</w:t>
            </w:r>
          </w:p>
        </w:tc>
        <w:tc>
          <w:tcPr>
            <w:tcW w:w="1843" w:type="dxa"/>
            <w:tcBorders>
              <w:top w:val="single" w:sz="4" w:space="0" w:color="auto"/>
              <w:bottom w:val="single" w:sz="4" w:space="0" w:color="auto"/>
            </w:tcBorders>
            <w:shd w:val="clear" w:color="auto" w:fill="auto"/>
            <w:noWrap/>
            <w:hideMark/>
          </w:tcPr>
          <w:p w14:paraId="69B47F23"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42" w:type="dxa"/>
            <w:tcBorders>
              <w:top w:val="single" w:sz="4" w:space="0" w:color="auto"/>
              <w:bottom w:val="single" w:sz="4" w:space="0" w:color="auto"/>
            </w:tcBorders>
            <w:shd w:val="clear" w:color="auto" w:fill="auto"/>
            <w:noWrap/>
            <w:hideMark/>
          </w:tcPr>
          <w:p w14:paraId="4C7E49A4"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iCs/>
                <w:sz w:val="24"/>
                <w:szCs w:val="24"/>
              </w:rPr>
            </w:pPr>
            <w:r w:rsidRPr="00F82447">
              <w:rPr>
                <w:iCs/>
                <w:sz w:val="24"/>
                <w:szCs w:val="24"/>
              </w:rPr>
              <w:t>24,081</w:t>
            </w:r>
          </w:p>
        </w:tc>
        <w:tc>
          <w:tcPr>
            <w:tcW w:w="2127" w:type="dxa"/>
            <w:tcBorders>
              <w:top w:val="single" w:sz="4" w:space="0" w:color="auto"/>
              <w:bottom w:val="single" w:sz="4" w:space="0" w:color="auto"/>
            </w:tcBorders>
            <w:shd w:val="clear" w:color="auto" w:fill="auto"/>
            <w:noWrap/>
            <w:hideMark/>
          </w:tcPr>
          <w:p w14:paraId="23DBEFF2"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iCs/>
                <w:sz w:val="24"/>
                <w:szCs w:val="24"/>
              </w:rPr>
            </w:pPr>
            <w:r w:rsidRPr="00F82447">
              <w:rPr>
                <w:iCs/>
                <w:sz w:val="24"/>
                <w:szCs w:val="24"/>
              </w:rPr>
              <w:t>24,081</w:t>
            </w:r>
          </w:p>
        </w:tc>
      </w:tr>
      <w:tr w:rsidR="00ED3B1F" w:rsidRPr="00F82447" w14:paraId="392EDF99" w14:textId="77777777" w:rsidTr="00131887">
        <w:trPr>
          <w:cantSplit/>
          <w:trHeight w:val="255"/>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696158" w:themeColor="accent2"/>
            </w:tcBorders>
            <w:shd w:val="clear" w:color="auto" w:fill="auto"/>
            <w:noWrap/>
            <w:hideMark/>
          </w:tcPr>
          <w:p w14:paraId="1D403B7F" w14:textId="77777777" w:rsidR="00ED3B1F" w:rsidRPr="00F82447" w:rsidRDefault="00ED3B1F">
            <w:pPr>
              <w:rPr>
                <w:b w:val="0"/>
                <w:iCs/>
                <w:sz w:val="24"/>
                <w:szCs w:val="24"/>
              </w:rPr>
            </w:pPr>
            <w:r w:rsidRPr="00F82447">
              <w:rPr>
                <w:b w:val="0"/>
                <w:iCs/>
                <w:sz w:val="24"/>
                <w:szCs w:val="24"/>
              </w:rPr>
              <w:t xml:space="preserve">  no pension or allowance</w:t>
            </w:r>
          </w:p>
        </w:tc>
        <w:tc>
          <w:tcPr>
            <w:tcW w:w="1843" w:type="dxa"/>
            <w:tcBorders>
              <w:top w:val="single" w:sz="4" w:space="0" w:color="auto"/>
              <w:bottom w:val="single" w:sz="4" w:space="0" w:color="696158" w:themeColor="accent2"/>
            </w:tcBorders>
            <w:shd w:val="clear" w:color="auto" w:fill="auto"/>
            <w:noWrap/>
            <w:hideMark/>
          </w:tcPr>
          <w:p w14:paraId="44373900"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iCs/>
                <w:sz w:val="24"/>
                <w:szCs w:val="24"/>
              </w:rPr>
            </w:pPr>
          </w:p>
        </w:tc>
        <w:tc>
          <w:tcPr>
            <w:tcW w:w="1842" w:type="dxa"/>
            <w:tcBorders>
              <w:top w:val="single" w:sz="4" w:space="0" w:color="auto"/>
              <w:bottom w:val="single" w:sz="4" w:space="0" w:color="696158" w:themeColor="accent2"/>
            </w:tcBorders>
            <w:shd w:val="clear" w:color="auto" w:fill="auto"/>
            <w:noWrap/>
            <w:hideMark/>
          </w:tcPr>
          <w:p w14:paraId="159281E1"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iCs/>
                <w:sz w:val="24"/>
                <w:szCs w:val="24"/>
              </w:rPr>
            </w:pPr>
            <w:r w:rsidRPr="00F82447">
              <w:rPr>
                <w:iCs/>
                <w:sz w:val="24"/>
                <w:szCs w:val="24"/>
              </w:rPr>
              <w:t>-</w:t>
            </w:r>
          </w:p>
        </w:tc>
        <w:tc>
          <w:tcPr>
            <w:tcW w:w="2127" w:type="dxa"/>
            <w:tcBorders>
              <w:top w:val="single" w:sz="4" w:space="0" w:color="auto"/>
              <w:bottom w:val="single" w:sz="4" w:space="0" w:color="696158" w:themeColor="accent2"/>
            </w:tcBorders>
            <w:shd w:val="clear" w:color="auto" w:fill="auto"/>
            <w:noWrap/>
            <w:hideMark/>
          </w:tcPr>
          <w:p w14:paraId="308D5627" w14:textId="77777777" w:rsidR="00ED3B1F" w:rsidRPr="00F82447" w:rsidRDefault="00ED3B1F" w:rsidP="009D2E2C">
            <w:pPr>
              <w:jc w:val="center"/>
              <w:cnfStyle w:val="000000000000" w:firstRow="0" w:lastRow="0" w:firstColumn="0" w:lastColumn="0" w:oddVBand="0" w:evenVBand="0" w:oddHBand="0" w:evenHBand="0" w:firstRowFirstColumn="0" w:firstRowLastColumn="0" w:lastRowFirstColumn="0" w:lastRowLastColumn="0"/>
              <w:rPr>
                <w:iCs/>
                <w:sz w:val="24"/>
                <w:szCs w:val="24"/>
              </w:rPr>
            </w:pPr>
            <w:r w:rsidRPr="00F82447">
              <w:rPr>
                <w:iCs/>
                <w:sz w:val="24"/>
                <w:szCs w:val="24"/>
              </w:rPr>
              <w:t>-</w:t>
            </w:r>
          </w:p>
        </w:tc>
      </w:tr>
    </w:tbl>
    <w:p w14:paraId="5644CAB8" w14:textId="77777777" w:rsidR="00F63F8E" w:rsidRPr="00F82447" w:rsidRDefault="0004491E" w:rsidP="00BD2B0B">
      <w:pPr>
        <w:rPr>
          <w:sz w:val="24"/>
          <w:szCs w:val="24"/>
        </w:rPr>
      </w:pPr>
      <w:r w:rsidRPr="00F82447">
        <w:rPr>
          <w:sz w:val="24"/>
          <w:szCs w:val="24"/>
        </w:rPr>
        <w:t>*Youth allowance is only payable to those looking for work or studying</w:t>
      </w:r>
    </w:p>
    <w:p w14:paraId="2821E264" w14:textId="77777777" w:rsidR="00D543A2" w:rsidRPr="00F82447" w:rsidRDefault="00F01A25" w:rsidP="00BD2B0B">
      <w:pPr>
        <w:rPr>
          <w:sz w:val="24"/>
          <w:szCs w:val="24"/>
        </w:rPr>
      </w:pPr>
      <w:r w:rsidRPr="00F82447">
        <w:rPr>
          <w:sz w:val="24"/>
          <w:szCs w:val="24"/>
        </w:rPr>
        <w:t xml:space="preserve">The following </w:t>
      </w:r>
      <w:r w:rsidR="003538A7" w:rsidRPr="00F82447">
        <w:rPr>
          <w:sz w:val="24"/>
          <w:szCs w:val="24"/>
        </w:rPr>
        <w:t>multiplies the net personal incomes of each of those groups by the number of people in that group for both the ‘business as usual’ and ‘Ticket to Work’ scenarios.</w:t>
      </w:r>
    </w:p>
    <w:p w14:paraId="36F6DF3C" w14:textId="77777777" w:rsidR="00F01A25" w:rsidRPr="00F82447" w:rsidRDefault="00F01A25" w:rsidP="00BD2B0B">
      <w:pPr>
        <w:rPr>
          <w:b/>
          <w:sz w:val="28"/>
          <w:szCs w:val="28"/>
        </w:rPr>
      </w:pPr>
      <w:r w:rsidRPr="00F82447">
        <w:rPr>
          <w:b/>
          <w:sz w:val="28"/>
          <w:szCs w:val="28"/>
        </w:rPr>
        <w:t>Increase in net income for participants over three years</w:t>
      </w:r>
    </w:p>
    <w:p w14:paraId="37DED085" w14:textId="77777777" w:rsidR="00F01A25" w:rsidRPr="00F82447" w:rsidRDefault="00F01A25" w:rsidP="00F01A25">
      <w:pPr>
        <w:spacing w:after="120" w:line="240" w:lineRule="auto"/>
        <w:rPr>
          <w:rFonts w:cs="Arial"/>
          <w:sz w:val="24"/>
          <w:szCs w:val="24"/>
        </w:rPr>
      </w:pPr>
      <w:r w:rsidRPr="00F82447">
        <w:rPr>
          <w:rFonts w:cs="Arial"/>
          <w:sz w:val="24"/>
          <w:szCs w:val="24"/>
        </w:rPr>
        <w:t>Business as usual:</w:t>
      </w:r>
    </w:p>
    <w:p w14:paraId="79F26258" w14:textId="77777777" w:rsidR="00F01A25" w:rsidRPr="00F82447" w:rsidRDefault="00F01A25" w:rsidP="00F82447">
      <w:pPr>
        <w:pStyle w:val="ListParagraph"/>
        <w:numPr>
          <w:ilvl w:val="0"/>
          <w:numId w:val="22"/>
        </w:numPr>
        <w:spacing w:after="120" w:line="240" w:lineRule="auto"/>
        <w:ind w:left="360"/>
        <w:rPr>
          <w:rFonts w:ascii="Arial" w:hAnsi="Arial" w:cs="Arial"/>
          <w:sz w:val="24"/>
          <w:szCs w:val="24"/>
        </w:rPr>
      </w:pPr>
      <w:r w:rsidRPr="00F82447">
        <w:rPr>
          <w:rFonts w:ascii="Arial" w:hAnsi="Arial" w:cs="Arial"/>
          <w:sz w:val="24"/>
          <w:szCs w:val="24"/>
        </w:rPr>
        <w:t>Entire cohort: 169.3m</w:t>
      </w:r>
    </w:p>
    <w:p w14:paraId="62B3B69D" w14:textId="77777777" w:rsidR="00F01A25" w:rsidRPr="00F82447" w:rsidRDefault="00F01A25" w:rsidP="00F82447">
      <w:pPr>
        <w:pStyle w:val="ListParagraph"/>
        <w:numPr>
          <w:ilvl w:val="0"/>
          <w:numId w:val="22"/>
        </w:numPr>
        <w:spacing w:after="120" w:line="240" w:lineRule="auto"/>
        <w:ind w:left="360"/>
        <w:rPr>
          <w:rFonts w:ascii="Arial" w:hAnsi="Arial" w:cs="Arial"/>
          <w:sz w:val="24"/>
          <w:szCs w:val="24"/>
        </w:rPr>
      </w:pPr>
      <w:r w:rsidRPr="00F82447">
        <w:rPr>
          <w:rFonts w:ascii="Arial" w:hAnsi="Arial" w:cs="Arial"/>
          <w:sz w:val="24"/>
          <w:szCs w:val="24"/>
        </w:rPr>
        <w:t>Average per participant: 52,700</w:t>
      </w:r>
    </w:p>
    <w:p w14:paraId="23718D90" w14:textId="77777777" w:rsidR="00F01A25" w:rsidRPr="00F82447" w:rsidRDefault="00F01A25" w:rsidP="00F01A25">
      <w:pPr>
        <w:spacing w:after="120" w:line="240" w:lineRule="auto"/>
        <w:rPr>
          <w:rFonts w:cs="Arial"/>
          <w:sz w:val="24"/>
          <w:szCs w:val="24"/>
        </w:rPr>
      </w:pPr>
      <w:r w:rsidRPr="00F82447">
        <w:rPr>
          <w:rFonts w:cs="Arial"/>
          <w:sz w:val="24"/>
          <w:szCs w:val="24"/>
        </w:rPr>
        <w:t xml:space="preserve">Ticket to Work </w:t>
      </w:r>
    </w:p>
    <w:p w14:paraId="56508FB3" w14:textId="77777777" w:rsidR="00F01A25" w:rsidRPr="00F82447" w:rsidRDefault="00F01A25" w:rsidP="00F82447">
      <w:pPr>
        <w:pStyle w:val="ListParagraph"/>
        <w:numPr>
          <w:ilvl w:val="0"/>
          <w:numId w:val="22"/>
        </w:numPr>
        <w:spacing w:after="120" w:line="240" w:lineRule="auto"/>
        <w:ind w:left="360"/>
        <w:rPr>
          <w:rFonts w:ascii="Arial" w:hAnsi="Arial" w:cs="Arial"/>
          <w:sz w:val="24"/>
          <w:szCs w:val="24"/>
        </w:rPr>
      </w:pPr>
      <w:r w:rsidRPr="00F82447">
        <w:rPr>
          <w:rFonts w:ascii="Arial" w:hAnsi="Arial" w:cs="Arial"/>
          <w:sz w:val="24"/>
          <w:szCs w:val="24"/>
        </w:rPr>
        <w:t>Entire cohort: 205.8m</w:t>
      </w:r>
    </w:p>
    <w:p w14:paraId="6BA59D51" w14:textId="77777777" w:rsidR="00F01A25" w:rsidRPr="00F82447" w:rsidRDefault="00F01A25" w:rsidP="00F82447">
      <w:pPr>
        <w:pStyle w:val="ListParagraph"/>
        <w:numPr>
          <w:ilvl w:val="0"/>
          <w:numId w:val="22"/>
        </w:numPr>
        <w:spacing w:after="120" w:line="240" w:lineRule="auto"/>
        <w:ind w:left="360"/>
        <w:rPr>
          <w:rFonts w:ascii="Arial" w:hAnsi="Arial" w:cs="Arial"/>
          <w:sz w:val="24"/>
          <w:szCs w:val="24"/>
        </w:rPr>
      </w:pPr>
      <w:r w:rsidRPr="00F82447">
        <w:rPr>
          <w:rFonts w:ascii="Arial" w:hAnsi="Arial" w:cs="Arial"/>
          <w:sz w:val="24"/>
          <w:szCs w:val="24"/>
        </w:rPr>
        <w:t>Average per participant: 64,000</w:t>
      </w:r>
    </w:p>
    <w:p w14:paraId="4B911DB8" w14:textId="77777777" w:rsidR="00F01A25" w:rsidRPr="00F82447" w:rsidRDefault="00F01A25" w:rsidP="00F01A25">
      <w:pPr>
        <w:spacing w:after="120" w:line="240" w:lineRule="auto"/>
        <w:rPr>
          <w:rFonts w:cs="Arial"/>
          <w:sz w:val="24"/>
          <w:szCs w:val="24"/>
        </w:rPr>
      </w:pPr>
      <w:r w:rsidRPr="00F82447">
        <w:rPr>
          <w:rFonts w:cs="Arial"/>
          <w:sz w:val="24"/>
          <w:szCs w:val="24"/>
        </w:rPr>
        <w:t xml:space="preserve">Difference </w:t>
      </w:r>
    </w:p>
    <w:p w14:paraId="192DE7E6" w14:textId="77777777" w:rsidR="00F01A25" w:rsidRPr="00F82447" w:rsidRDefault="00F01A25" w:rsidP="00F82447">
      <w:pPr>
        <w:pStyle w:val="ListParagraph"/>
        <w:numPr>
          <w:ilvl w:val="0"/>
          <w:numId w:val="22"/>
        </w:numPr>
        <w:spacing w:after="120" w:line="240" w:lineRule="auto"/>
        <w:ind w:left="360"/>
        <w:rPr>
          <w:rFonts w:ascii="Arial" w:hAnsi="Arial" w:cs="Arial"/>
          <w:sz w:val="24"/>
          <w:szCs w:val="24"/>
        </w:rPr>
      </w:pPr>
      <w:r w:rsidRPr="00F82447">
        <w:rPr>
          <w:rFonts w:ascii="Arial" w:hAnsi="Arial" w:cs="Arial"/>
          <w:sz w:val="24"/>
          <w:szCs w:val="24"/>
        </w:rPr>
        <w:t>Entire cohort: 36.5m</w:t>
      </w:r>
    </w:p>
    <w:p w14:paraId="1126240C" w14:textId="77777777" w:rsidR="00F01A25" w:rsidRPr="00F82447" w:rsidRDefault="00F01A25" w:rsidP="00F82447">
      <w:pPr>
        <w:pStyle w:val="ListParagraph"/>
        <w:numPr>
          <w:ilvl w:val="0"/>
          <w:numId w:val="22"/>
        </w:numPr>
        <w:spacing w:after="120" w:line="240" w:lineRule="auto"/>
        <w:ind w:left="360"/>
        <w:rPr>
          <w:rFonts w:ascii="Arial" w:hAnsi="Arial" w:cs="Arial"/>
          <w:sz w:val="24"/>
          <w:szCs w:val="24"/>
        </w:rPr>
      </w:pPr>
      <w:r w:rsidRPr="00F82447">
        <w:rPr>
          <w:rFonts w:ascii="Arial" w:hAnsi="Arial" w:cs="Arial"/>
          <w:sz w:val="24"/>
          <w:szCs w:val="24"/>
        </w:rPr>
        <w:t>Average per participant: 11,300</w:t>
      </w:r>
    </w:p>
    <w:p w14:paraId="7F418A64" w14:textId="77777777" w:rsidR="00F01A25" w:rsidRPr="00F82447" w:rsidRDefault="00F01A25" w:rsidP="00F01A25">
      <w:pPr>
        <w:rPr>
          <w:sz w:val="24"/>
          <w:szCs w:val="24"/>
        </w:rPr>
      </w:pPr>
    </w:p>
    <w:bookmarkEnd w:id="14"/>
    <w:p w14:paraId="10671AB6" w14:textId="77777777" w:rsidR="00E422B0" w:rsidRPr="00F82447" w:rsidRDefault="000601D2" w:rsidP="00BE7BE7">
      <w:pPr>
        <w:rPr>
          <w:sz w:val="24"/>
          <w:szCs w:val="24"/>
        </w:rPr>
      </w:pPr>
      <w:r w:rsidRPr="00F82447">
        <w:rPr>
          <w:sz w:val="24"/>
          <w:szCs w:val="24"/>
        </w:rPr>
        <w:t xml:space="preserve">Over the three year impact period, </w:t>
      </w:r>
      <w:r w:rsidR="003B69D9" w:rsidRPr="00F82447">
        <w:rPr>
          <w:sz w:val="24"/>
          <w:szCs w:val="24"/>
        </w:rPr>
        <w:t xml:space="preserve">Ticket to Work participants are estimated to have earned a total of </w:t>
      </w:r>
      <w:r w:rsidR="001A07E0" w:rsidRPr="00F82447">
        <w:rPr>
          <w:sz w:val="24"/>
          <w:szCs w:val="24"/>
        </w:rPr>
        <w:t>$</w:t>
      </w:r>
      <w:r w:rsidR="00390163" w:rsidRPr="00F82447">
        <w:rPr>
          <w:sz w:val="24"/>
          <w:szCs w:val="24"/>
        </w:rPr>
        <w:t>36.5</w:t>
      </w:r>
      <w:r w:rsidR="001A07E0" w:rsidRPr="00F82447">
        <w:rPr>
          <w:sz w:val="24"/>
          <w:szCs w:val="24"/>
        </w:rPr>
        <w:t xml:space="preserve">m </w:t>
      </w:r>
      <w:r w:rsidR="00727C7A" w:rsidRPr="00F82447">
        <w:rPr>
          <w:sz w:val="24"/>
          <w:szCs w:val="24"/>
        </w:rPr>
        <w:t xml:space="preserve">more than </w:t>
      </w:r>
      <w:r w:rsidRPr="00F82447">
        <w:rPr>
          <w:sz w:val="24"/>
          <w:szCs w:val="24"/>
        </w:rPr>
        <w:t>they would</w:t>
      </w:r>
      <w:r w:rsidR="008858D2" w:rsidRPr="00F82447">
        <w:rPr>
          <w:sz w:val="24"/>
          <w:szCs w:val="24"/>
        </w:rPr>
        <w:t xml:space="preserve"> </w:t>
      </w:r>
      <w:r w:rsidRPr="00F82447">
        <w:rPr>
          <w:sz w:val="24"/>
          <w:szCs w:val="24"/>
        </w:rPr>
        <w:t>have under the ‘business as usual’ scenario. This is about $</w:t>
      </w:r>
      <w:r w:rsidR="003B307D" w:rsidRPr="00F82447">
        <w:rPr>
          <w:sz w:val="24"/>
          <w:szCs w:val="24"/>
        </w:rPr>
        <w:t>1</w:t>
      </w:r>
      <w:r w:rsidR="00390163" w:rsidRPr="00F82447">
        <w:rPr>
          <w:sz w:val="24"/>
          <w:szCs w:val="24"/>
        </w:rPr>
        <w:t>1</w:t>
      </w:r>
      <w:r w:rsidR="003B307D" w:rsidRPr="00F82447">
        <w:rPr>
          <w:sz w:val="24"/>
          <w:szCs w:val="24"/>
        </w:rPr>
        <w:t>,</w:t>
      </w:r>
      <w:r w:rsidR="00390163" w:rsidRPr="00F82447">
        <w:rPr>
          <w:sz w:val="24"/>
          <w:szCs w:val="24"/>
        </w:rPr>
        <w:t>3</w:t>
      </w:r>
      <w:r w:rsidRPr="00F82447">
        <w:rPr>
          <w:sz w:val="24"/>
          <w:szCs w:val="24"/>
        </w:rPr>
        <w:t>00 per p</w:t>
      </w:r>
      <w:r w:rsidR="00F2575D" w:rsidRPr="00F82447">
        <w:rPr>
          <w:sz w:val="24"/>
          <w:szCs w:val="24"/>
        </w:rPr>
        <w:t>articipant over three years</w:t>
      </w:r>
      <w:r w:rsidR="00BE7BE7" w:rsidRPr="00F82447">
        <w:rPr>
          <w:sz w:val="24"/>
          <w:szCs w:val="24"/>
        </w:rPr>
        <w:t xml:space="preserve">. </w:t>
      </w:r>
    </w:p>
    <w:p w14:paraId="5E787FAC" w14:textId="77777777" w:rsidR="00E422B0" w:rsidRPr="00F82447" w:rsidRDefault="00A56E07" w:rsidP="00F01A25">
      <w:pPr>
        <w:rPr>
          <w:rFonts w:cs="Arial"/>
          <w:b/>
          <w:sz w:val="28"/>
          <w:szCs w:val="28"/>
        </w:rPr>
      </w:pPr>
      <w:r w:rsidRPr="00F82447">
        <w:rPr>
          <w:rFonts w:cs="Arial"/>
          <w:b/>
          <w:sz w:val="28"/>
          <w:szCs w:val="28"/>
        </w:rPr>
        <w:t xml:space="preserve">Long Term Outcome </w:t>
      </w:r>
      <w:r w:rsidR="00B3181C" w:rsidRPr="00F82447">
        <w:rPr>
          <w:rFonts w:cs="Arial"/>
          <w:b/>
          <w:sz w:val="28"/>
          <w:szCs w:val="28"/>
        </w:rPr>
        <w:t>5</w:t>
      </w:r>
      <w:r w:rsidR="00E422B0" w:rsidRPr="00F82447">
        <w:rPr>
          <w:rFonts w:cs="Arial"/>
          <w:b/>
          <w:sz w:val="28"/>
          <w:szCs w:val="28"/>
        </w:rPr>
        <w:t xml:space="preserve">. </w:t>
      </w:r>
      <w:r w:rsidR="00B3181C" w:rsidRPr="00F82447">
        <w:rPr>
          <w:rFonts w:cs="Arial"/>
          <w:b/>
          <w:sz w:val="28"/>
          <w:szCs w:val="28"/>
        </w:rPr>
        <w:t>People with Disability are present in the community</w:t>
      </w:r>
    </w:p>
    <w:p w14:paraId="4FC6D53B" w14:textId="77777777" w:rsidR="005C5B98" w:rsidRPr="00F82447" w:rsidRDefault="00C40B79" w:rsidP="005C5B98">
      <w:pPr>
        <w:rPr>
          <w:sz w:val="24"/>
          <w:szCs w:val="24"/>
        </w:rPr>
      </w:pPr>
      <w:r w:rsidRPr="00F82447">
        <w:rPr>
          <w:sz w:val="24"/>
          <w:szCs w:val="24"/>
        </w:rPr>
        <w:t xml:space="preserve">Financial </w:t>
      </w:r>
      <w:r w:rsidR="000149A8" w:rsidRPr="00F82447">
        <w:rPr>
          <w:sz w:val="24"/>
          <w:szCs w:val="24"/>
        </w:rPr>
        <w:t>value</w:t>
      </w:r>
      <w:r w:rsidRPr="00F82447">
        <w:rPr>
          <w:sz w:val="24"/>
          <w:szCs w:val="24"/>
        </w:rPr>
        <w:t xml:space="preserve"> not </w:t>
      </w:r>
      <w:r w:rsidR="000149A8" w:rsidRPr="00F82447">
        <w:rPr>
          <w:sz w:val="24"/>
          <w:szCs w:val="24"/>
        </w:rPr>
        <w:t>estimated</w:t>
      </w:r>
    </w:p>
    <w:p w14:paraId="19EF19EB" w14:textId="77777777" w:rsidR="00E422B0" w:rsidRPr="00F82447" w:rsidRDefault="00A56E07" w:rsidP="006113AF">
      <w:pPr>
        <w:pStyle w:val="Heading4"/>
      </w:pPr>
      <w:r w:rsidRPr="00F82447">
        <w:t xml:space="preserve">Long Term Outcome </w:t>
      </w:r>
      <w:r w:rsidR="00B3181C" w:rsidRPr="00F82447">
        <w:t>6. Reduction in NDIS support</w:t>
      </w:r>
    </w:p>
    <w:p w14:paraId="04C20BEA" w14:textId="77777777" w:rsidR="00837C4A" w:rsidRPr="00234846" w:rsidRDefault="00A56E07" w:rsidP="00234846">
      <w:pPr>
        <w:pStyle w:val="NoSpacing"/>
        <w:rPr>
          <w:b/>
          <w:sz w:val="28"/>
          <w:szCs w:val="28"/>
        </w:rPr>
      </w:pPr>
      <w:r w:rsidRPr="00234846">
        <w:rPr>
          <w:b/>
          <w:sz w:val="28"/>
          <w:szCs w:val="28"/>
        </w:rPr>
        <w:t xml:space="preserve">Long Term Outcome </w:t>
      </w:r>
      <w:r w:rsidR="00837C4A" w:rsidRPr="00234846">
        <w:rPr>
          <w:b/>
          <w:sz w:val="28"/>
          <w:szCs w:val="28"/>
        </w:rPr>
        <w:t xml:space="preserve">6. What outcomes do participants experience as a result of being involved in Ticket to Work? </w:t>
      </w:r>
    </w:p>
    <w:p w14:paraId="234FC4AF" w14:textId="77777777" w:rsidR="00837C4A" w:rsidRPr="00F82447" w:rsidRDefault="00837C4A" w:rsidP="00837C4A">
      <w:pPr>
        <w:rPr>
          <w:rFonts w:cs="Arial"/>
          <w:sz w:val="24"/>
          <w:szCs w:val="24"/>
        </w:rPr>
      </w:pPr>
      <w:r w:rsidRPr="00F82447">
        <w:rPr>
          <w:rFonts w:cs="Arial"/>
          <w:sz w:val="24"/>
          <w:szCs w:val="24"/>
        </w:rPr>
        <w:t xml:space="preserve">Ticket to Work participants are significantly less likely to be disengaged from education, employment or training compared to a comparison group. In addition, </w:t>
      </w:r>
      <w:r w:rsidR="00F56B65" w:rsidRPr="00F82447">
        <w:rPr>
          <w:rFonts w:cs="Arial"/>
          <w:sz w:val="24"/>
          <w:szCs w:val="24"/>
        </w:rPr>
        <w:t>Ticket to Work</w:t>
      </w:r>
      <w:r w:rsidRPr="00F82447">
        <w:rPr>
          <w:rFonts w:cs="Arial"/>
          <w:sz w:val="24"/>
          <w:szCs w:val="24"/>
        </w:rPr>
        <w:t xml:space="preserve"> participants are much more likely to feel they go out as often as they </w:t>
      </w:r>
      <w:r w:rsidR="008D57A4" w:rsidRPr="00F82447">
        <w:rPr>
          <w:rFonts w:cs="Arial"/>
          <w:sz w:val="24"/>
          <w:szCs w:val="24"/>
        </w:rPr>
        <w:t>wish and</w:t>
      </w:r>
      <w:r w:rsidRPr="00F82447">
        <w:rPr>
          <w:rFonts w:cs="Arial"/>
          <w:sz w:val="24"/>
          <w:szCs w:val="24"/>
        </w:rPr>
        <w:t xml:space="preserve"> participate in social activities. We </w:t>
      </w:r>
      <w:r w:rsidR="008D57A4" w:rsidRPr="00F82447">
        <w:rPr>
          <w:rFonts w:cs="Arial"/>
          <w:sz w:val="24"/>
          <w:szCs w:val="24"/>
        </w:rPr>
        <w:t>speculate</w:t>
      </w:r>
      <w:r w:rsidRPr="00F82447">
        <w:rPr>
          <w:rFonts w:cs="Arial"/>
          <w:sz w:val="24"/>
          <w:szCs w:val="24"/>
        </w:rPr>
        <w:t xml:space="preserve"> that there are two flow-on effects from this:</w:t>
      </w:r>
    </w:p>
    <w:p w14:paraId="46393BA6" w14:textId="77777777" w:rsidR="00837C4A" w:rsidRPr="00F82447" w:rsidRDefault="00837C4A" w:rsidP="00F82447">
      <w:pPr>
        <w:pStyle w:val="ListParagraph"/>
        <w:numPr>
          <w:ilvl w:val="0"/>
          <w:numId w:val="4"/>
        </w:numPr>
        <w:ind w:left="360"/>
        <w:rPr>
          <w:rFonts w:ascii="Arial" w:hAnsi="Arial" w:cs="Arial"/>
          <w:sz w:val="24"/>
          <w:szCs w:val="24"/>
        </w:rPr>
      </w:pPr>
      <w:r w:rsidRPr="00F82447">
        <w:rPr>
          <w:rFonts w:ascii="Arial" w:hAnsi="Arial" w:cs="Arial"/>
          <w:sz w:val="24"/>
          <w:szCs w:val="24"/>
        </w:rPr>
        <w:t xml:space="preserve">There is a reduction in the use of </w:t>
      </w:r>
      <w:r w:rsidR="006533D8" w:rsidRPr="00F82447">
        <w:rPr>
          <w:rFonts w:ascii="Arial" w:hAnsi="Arial" w:cs="Arial"/>
          <w:sz w:val="24"/>
          <w:szCs w:val="24"/>
        </w:rPr>
        <w:t xml:space="preserve">NDIS </w:t>
      </w:r>
      <w:r w:rsidRPr="00F82447">
        <w:rPr>
          <w:rFonts w:ascii="Arial" w:hAnsi="Arial" w:cs="Arial"/>
          <w:b/>
          <w:sz w:val="24"/>
          <w:szCs w:val="24"/>
        </w:rPr>
        <w:t>group-based community support programs</w:t>
      </w:r>
      <w:r w:rsidRPr="00F82447">
        <w:rPr>
          <w:rFonts w:ascii="Arial" w:hAnsi="Arial" w:cs="Arial"/>
          <w:sz w:val="24"/>
          <w:szCs w:val="24"/>
        </w:rPr>
        <w:t xml:space="preserve">. As people with disability are engaged for a large part of the week in work, we anticipate that they will need to use a smaller number of hours of group-based community supports. </w:t>
      </w:r>
    </w:p>
    <w:p w14:paraId="1CB2337C" w14:textId="77777777" w:rsidR="002270CC" w:rsidRPr="00F82447" w:rsidRDefault="00837C4A" w:rsidP="00F82447">
      <w:pPr>
        <w:pStyle w:val="ListParagraph"/>
        <w:numPr>
          <w:ilvl w:val="0"/>
          <w:numId w:val="4"/>
        </w:numPr>
        <w:ind w:left="360"/>
        <w:rPr>
          <w:rFonts w:ascii="Arial" w:hAnsi="Arial" w:cs="Arial"/>
          <w:sz w:val="24"/>
          <w:szCs w:val="24"/>
        </w:rPr>
      </w:pPr>
      <w:r w:rsidRPr="00F82447">
        <w:rPr>
          <w:rFonts w:ascii="Arial" w:hAnsi="Arial" w:cs="Arial"/>
          <w:sz w:val="24"/>
          <w:szCs w:val="24"/>
        </w:rPr>
        <w:t xml:space="preserve">There is a reduction in the use of </w:t>
      </w:r>
      <w:r w:rsidRPr="00F82447">
        <w:rPr>
          <w:rFonts w:ascii="Arial" w:hAnsi="Arial" w:cs="Arial"/>
          <w:b/>
          <w:sz w:val="24"/>
          <w:szCs w:val="24"/>
        </w:rPr>
        <w:t>individual NDIS support workers</w:t>
      </w:r>
      <w:r w:rsidRPr="00F82447">
        <w:rPr>
          <w:rFonts w:ascii="Arial" w:hAnsi="Arial" w:cs="Arial"/>
          <w:sz w:val="24"/>
          <w:szCs w:val="24"/>
        </w:rPr>
        <w:t xml:space="preserve"> to meet social needs through community participation</w:t>
      </w:r>
      <w:r w:rsidR="00FF28A6" w:rsidRPr="00F82447">
        <w:rPr>
          <w:rFonts w:ascii="Arial" w:hAnsi="Arial" w:cs="Arial"/>
          <w:sz w:val="24"/>
          <w:szCs w:val="24"/>
        </w:rPr>
        <w:t>. This is the</w:t>
      </w:r>
      <w:r w:rsidRPr="00F82447">
        <w:rPr>
          <w:rFonts w:ascii="Arial" w:hAnsi="Arial" w:cs="Arial"/>
          <w:sz w:val="24"/>
          <w:szCs w:val="24"/>
        </w:rPr>
        <w:t xml:space="preserve"> result of </w:t>
      </w:r>
      <w:r w:rsidR="00D40FA4" w:rsidRPr="00F82447">
        <w:rPr>
          <w:rFonts w:ascii="Arial" w:hAnsi="Arial" w:cs="Arial"/>
          <w:sz w:val="24"/>
          <w:szCs w:val="24"/>
        </w:rPr>
        <w:t xml:space="preserve">people with disability </w:t>
      </w:r>
      <w:r w:rsidRPr="00F82447">
        <w:rPr>
          <w:rFonts w:ascii="Arial" w:hAnsi="Arial" w:cs="Arial"/>
          <w:sz w:val="24"/>
          <w:szCs w:val="24"/>
        </w:rPr>
        <w:t xml:space="preserve">feeling more </w:t>
      </w:r>
      <w:r w:rsidR="00D40FA4" w:rsidRPr="00F82447">
        <w:rPr>
          <w:rFonts w:ascii="Arial" w:hAnsi="Arial" w:cs="Arial"/>
          <w:sz w:val="24"/>
          <w:szCs w:val="24"/>
        </w:rPr>
        <w:t>independent and</w:t>
      </w:r>
      <w:r w:rsidRPr="00F82447">
        <w:rPr>
          <w:rFonts w:ascii="Arial" w:hAnsi="Arial" w:cs="Arial"/>
          <w:sz w:val="24"/>
          <w:szCs w:val="24"/>
        </w:rPr>
        <w:t xml:space="preserve"> going out more. </w:t>
      </w:r>
      <w:r w:rsidR="00D808A5" w:rsidRPr="00F82447">
        <w:rPr>
          <w:rFonts w:cs="Arial"/>
          <w:sz w:val="24"/>
          <w:szCs w:val="24"/>
        </w:rPr>
        <w:t xml:space="preserve"> </w:t>
      </w:r>
    </w:p>
    <w:p w14:paraId="7B6DF043" w14:textId="77777777" w:rsidR="00930FAC" w:rsidRPr="00F82447" w:rsidRDefault="00EE13BA" w:rsidP="00930FAC">
      <w:pPr>
        <w:rPr>
          <w:rFonts w:cs="Arial"/>
          <w:sz w:val="24"/>
          <w:szCs w:val="24"/>
        </w:rPr>
      </w:pPr>
      <w:r w:rsidRPr="00F82447">
        <w:rPr>
          <w:rFonts w:cs="Arial"/>
          <w:sz w:val="24"/>
          <w:szCs w:val="24"/>
        </w:rPr>
        <w:t>Unfortunately, t</w:t>
      </w:r>
      <w:r w:rsidR="00E152B8" w:rsidRPr="00F82447">
        <w:rPr>
          <w:rFonts w:cs="Arial"/>
          <w:sz w:val="24"/>
          <w:szCs w:val="24"/>
        </w:rPr>
        <w:t>here is little academic research into the link between</w:t>
      </w:r>
      <w:r w:rsidR="00BB3128" w:rsidRPr="00F82447">
        <w:rPr>
          <w:rFonts w:cs="Arial"/>
          <w:sz w:val="24"/>
          <w:szCs w:val="24"/>
        </w:rPr>
        <w:t xml:space="preserve"> independence and </w:t>
      </w:r>
      <w:r w:rsidRPr="00F82447">
        <w:rPr>
          <w:rFonts w:cs="Arial"/>
          <w:sz w:val="24"/>
          <w:szCs w:val="24"/>
        </w:rPr>
        <w:t xml:space="preserve">the </w:t>
      </w:r>
      <w:r w:rsidR="00BB3128" w:rsidRPr="00F82447">
        <w:rPr>
          <w:rFonts w:cs="Arial"/>
          <w:sz w:val="24"/>
          <w:szCs w:val="24"/>
        </w:rPr>
        <w:t>us</w:t>
      </w:r>
      <w:r w:rsidR="00E27535" w:rsidRPr="00F82447">
        <w:rPr>
          <w:rFonts w:cs="Arial"/>
          <w:sz w:val="24"/>
          <w:szCs w:val="24"/>
        </w:rPr>
        <w:t>e</w:t>
      </w:r>
      <w:r w:rsidRPr="00F82447">
        <w:rPr>
          <w:rFonts w:cs="Arial"/>
          <w:sz w:val="24"/>
          <w:szCs w:val="24"/>
        </w:rPr>
        <w:t xml:space="preserve"> of NDIS supports</w:t>
      </w:r>
      <w:r w:rsidR="00BB3128" w:rsidRPr="00F82447">
        <w:rPr>
          <w:rFonts w:cs="Arial"/>
          <w:sz w:val="24"/>
          <w:szCs w:val="24"/>
        </w:rPr>
        <w:t xml:space="preserve">. </w:t>
      </w:r>
      <w:r w:rsidR="005518BF" w:rsidRPr="00F82447">
        <w:rPr>
          <w:rFonts w:cs="Arial"/>
          <w:sz w:val="24"/>
          <w:szCs w:val="24"/>
        </w:rPr>
        <w:t xml:space="preserve">As such, these effects are estimated using </w:t>
      </w:r>
      <w:r w:rsidR="00B04060" w:rsidRPr="00F82447">
        <w:rPr>
          <w:rFonts w:cs="Arial"/>
          <w:sz w:val="24"/>
          <w:szCs w:val="24"/>
        </w:rPr>
        <w:t>a</w:t>
      </w:r>
      <w:r w:rsidR="005518BF" w:rsidRPr="00F82447">
        <w:rPr>
          <w:rFonts w:cs="Arial"/>
          <w:sz w:val="24"/>
          <w:szCs w:val="24"/>
        </w:rPr>
        <w:t xml:space="preserve"> limited sample of 57 survey respondents</w:t>
      </w:r>
      <w:r w:rsidR="006A5956" w:rsidRPr="00F82447">
        <w:rPr>
          <w:rFonts w:cs="Arial"/>
          <w:sz w:val="24"/>
          <w:szCs w:val="24"/>
        </w:rPr>
        <w:t xml:space="preserve"> to the Ticket to Work survey</w:t>
      </w:r>
      <w:r w:rsidR="00D766D2" w:rsidRPr="00F82447">
        <w:rPr>
          <w:rFonts w:cs="Arial"/>
          <w:sz w:val="24"/>
          <w:szCs w:val="24"/>
        </w:rPr>
        <w:t xml:space="preserve"> over a short period of time</w:t>
      </w:r>
      <w:r w:rsidR="006A5956" w:rsidRPr="00F82447">
        <w:rPr>
          <w:rFonts w:cs="Arial"/>
          <w:sz w:val="24"/>
          <w:szCs w:val="24"/>
        </w:rPr>
        <w:t xml:space="preserve">. </w:t>
      </w:r>
      <w:r w:rsidR="007851B0" w:rsidRPr="00F82447">
        <w:rPr>
          <w:rFonts w:cs="Arial"/>
          <w:sz w:val="24"/>
          <w:szCs w:val="24"/>
        </w:rPr>
        <w:t>More accurate estimates of this relationship will be able to be developed as further research is conducted into the NDIS</w:t>
      </w:r>
      <w:r w:rsidR="001608F0" w:rsidRPr="00F82447">
        <w:rPr>
          <w:rFonts w:cs="Arial"/>
          <w:sz w:val="24"/>
          <w:szCs w:val="24"/>
        </w:rPr>
        <w:t xml:space="preserve"> and its data. </w:t>
      </w:r>
    </w:p>
    <w:p w14:paraId="43A740D6" w14:textId="77777777" w:rsidR="008D57A4" w:rsidRPr="00F82447" w:rsidRDefault="00A56E07" w:rsidP="008D57A4">
      <w:pPr>
        <w:rPr>
          <w:sz w:val="28"/>
          <w:szCs w:val="28"/>
        </w:rPr>
      </w:pPr>
      <w:r w:rsidRPr="00F82447">
        <w:rPr>
          <w:b/>
          <w:sz w:val="28"/>
          <w:szCs w:val="28"/>
        </w:rPr>
        <w:t xml:space="preserve">Long Term Outcome </w:t>
      </w:r>
      <w:r w:rsidR="008D57A4" w:rsidRPr="00F82447">
        <w:rPr>
          <w:b/>
          <w:sz w:val="28"/>
          <w:szCs w:val="28"/>
        </w:rPr>
        <w:t>6. What benefits or costs can reasonably be expected to occur as a result of that outcome?</w:t>
      </w:r>
      <w:r w:rsidR="008D57A4" w:rsidRPr="00F82447">
        <w:rPr>
          <w:sz w:val="28"/>
          <w:szCs w:val="28"/>
        </w:rPr>
        <w:t xml:space="preserve"> </w:t>
      </w:r>
    </w:p>
    <w:p w14:paraId="026F2D62" w14:textId="77777777" w:rsidR="00795E21" w:rsidRPr="00F82447" w:rsidRDefault="00450077" w:rsidP="00D56A09">
      <w:pPr>
        <w:pStyle w:val="NoSpacing"/>
        <w:rPr>
          <w:sz w:val="24"/>
          <w:szCs w:val="24"/>
        </w:rPr>
      </w:pPr>
      <w:r w:rsidRPr="00F82447">
        <w:rPr>
          <w:sz w:val="24"/>
          <w:szCs w:val="24"/>
        </w:rPr>
        <w:t>The</w:t>
      </w:r>
      <w:r w:rsidR="001F3831" w:rsidRPr="00F82447">
        <w:rPr>
          <w:sz w:val="24"/>
          <w:szCs w:val="24"/>
        </w:rPr>
        <w:t xml:space="preserve"> survey data collected </w:t>
      </w:r>
      <w:r w:rsidR="006F1533" w:rsidRPr="00F82447">
        <w:rPr>
          <w:sz w:val="24"/>
          <w:szCs w:val="24"/>
        </w:rPr>
        <w:t xml:space="preserve">for the evaluation of Ticket to Work </w:t>
      </w:r>
      <w:r w:rsidR="001F3831" w:rsidRPr="00F82447">
        <w:rPr>
          <w:sz w:val="24"/>
          <w:szCs w:val="24"/>
        </w:rPr>
        <w:t xml:space="preserve">did not ask respondents about </w:t>
      </w:r>
      <w:r w:rsidR="00AE09B3" w:rsidRPr="00F82447">
        <w:rPr>
          <w:sz w:val="24"/>
          <w:szCs w:val="24"/>
        </w:rPr>
        <w:t xml:space="preserve">their NDIS plan usage. Nor is there data </w:t>
      </w:r>
      <w:r w:rsidR="003C2567" w:rsidRPr="00F82447">
        <w:rPr>
          <w:sz w:val="24"/>
          <w:szCs w:val="24"/>
        </w:rPr>
        <w:t xml:space="preserve">from the NDIS or other researchers that </w:t>
      </w:r>
      <w:r w:rsidR="00626A58" w:rsidRPr="00F82447">
        <w:rPr>
          <w:sz w:val="24"/>
          <w:szCs w:val="24"/>
        </w:rPr>
        <w:t>explores</w:t>
      </w:r>
      <w:r w:rsidR="00DF5ABB" w:rsidRPr="00F82447">
        <w:rPr>
          <w:sz w:val="24"/>
          <w:szCs w:val="24"/>
        </w:rPr>
        <w:t xml:space="preserve"> the </w:t>
      </w:r>
      <w:r w:rsidR="00B443E5" w:rsidRPr="00F82447">
        <w:rPr>
          <w:sz w:val="24"/>
          <w:szCs w:val="24"/>
        </w:rPr>
        <w:t xml:space="preserve">relationship between employment, independence, and usage of NDIS community participation supports. </w:t>
      </w:r>
      <w:r w:rsidR="0085177B" w:rsidRPr="00F82447">
        <w:rPr>
          <w:sz w:val="24"/>
          <w:szCs w:val="24"/>
        </w:rPr>
        <w:t xml:space="preserve">As such, we are required to estimate the likely impact from other sources. </w:t>
      </w:r>
    </w:p>
    <w:p w14:paraId="7E2CC1B2" w14:textId="77777777" w:rsidR="00BD6B16" w:rsidRPr="00F82447" w:rsidRDefault="009E6CE8" w:rsidP="00D56A09">
      <w:pPr>
        <w:pStyle w:val="NoSpacing"/>
        <w:rPr>
          <w:sz w:val="24"/>
          <w:szCs w:val="24"/>
        </w:rPr>
      </w:pPr>
      <w:r w:rsidRPr="00F82447">
        <w:rPr>
          <w:sz w:val="24"/>
          <w:szCs w:val="24"/>
        </w:rPr>
        <w:lastRenderedPageBreak/>
        <w:t xml:space="preserve">As shown in </w:t>
      </w:r>
      <w:r w:rsidR="00E22F81" w:rsidRPr="00F82447">
        <w:rPr>
          <w:sz w:val="24"/>
          <w:szCs w:val="24"/>
          <w:highlight w:val="yellow"/>
        </w:rPr>
        <w:fldChar w:fldCharType="begin"/>
      </w:r>
      <w:r w:rsidR="00E22F81" w:rsidRPr="00F82447">
        <w:rPr>
          <w:sz w:val="24"/>
          <w:szCs w:val="24"/>
          <w:highlight w:val="yellow"/>
        </w:rPr>
        <w:instrText xml:space="preserve"> REF _Ref24105412 \h </w:instrText>
      </w:r>
      <w:r w:rsidR="00F82447">
        <w:rPr>
          <w:sz w:val="24"/>
          <w:szCs w:val="24"/>
          <w:highlight w:val="yellow"/>
        </w:rPr>
        <w:instrText xml:space="preserve"> \* MERGEFORMAT </w:instrText>
      </w:r>
      <w:r w:rsidR="00E22F81" w:rsidRPr="00F82447">
        <w:rPr>
          <w:sz w:val="24"/>
          <w:szCs w:val="24"/>
          <w:highlight w:val="yellow"/>
        </w:rPr>
      </w:r>
      <w:r w:rsidR="00E22F81" w:rsidRPr="00F82447">
        <w:rPr>
          <w:sz w:val="24"/>
          <w:szCs w:val="24"/>
          <w:highlight w:val="yellow"/>
        </w:rPr>
        <w:fldChar w:fldCharType="separate"/>
      </w:r>
      <w:r w:rsidR="00E22F81" w:rsidRPr="00F82447">
        <w:rPr>
          <w:sz w:val="24"/>
          <w:szCs w:val="24"/>
        </w:rPr>
        <w:t xml:space="preserve">Figure </w:t>
      </w:r>
      <w:r w:rsidR="00E22F81" w:rsidRPr="00F82447">
        <w:rPr>
          <w:noProof/>
          <w:sz w:val="24"/>
          <w:szCs w:val="24"/>
        </w:rPr>
        <w:t>9</w:t>
      </w:r>
      <w:r w:rsidR="00E22F81" w:rsidRPr="00F82447">
        <w:rPr>
          <w:sz w:val="24"/>
          <w:szCs w:val="24"/>
          <w:highlight w:val="yellow"/>
        </w:rPr>
        <w:fldChar w:fldCharType="end"/>
      </w:r>
      <w:r w:rsidR="00526F9D" w:rsidRPr="00F82447">
        <w:rPr>
          <w:sz w:val="24"/>
          <w:szCs w:val="24"/>
        </w:rPr>
        <w:t xml:space="preserve"> below,</w:t>
      </w:r>
      <w:r w:rsidR="006F154F" w:rsidRPr="00F82447">
        <w:rPr>
          <w:sz w:val="24"/>
          <w:szCs w:val="24"/>
        </w:rPr>
        <w:t xml:space="preserve"> Ticket to Work participants are much more likely to be engaged in </w:t>
      </w:r>
      <w:r w:rsidR="00526F9D" w:rsidRPr="00F82447">
        <w:rPr>
          <w:sz w:val="24"/>
          <w:szCs w:val="24"/>
        </w:rPr>
        <w:t xml:space="preserve">certain forms of </w:t>
      </w:r>
      <w:r w:rsidR="006F154F" w:rsidRPr="00F82447">
        <w:rPr>
          <w:sz w:val="24"/>
          <w:szCs w:val="24"/>
        </w:rPr>
        <w:t>community participation</w:t>
      </w:r>
      <w:r w:rsidR="00400ADD" w:rsidRPr="00F82447">
        <w:rPr>
          <w:sz w:val="24"/>
          <w:szCs w:val="24"/>
        </w:rPr>
        <w:t xml:space="preserve">, when compared to a similar cohort from the </w:t>
      </w:r>
      <w:r w:rsidR="007D1940" w:rsidRPr="00F82447">
        <w:rPr>
          <w:sz w:val="24"/>
          <w:szCs w:val="24"/>
        </w:rPr>
        <w:t>Survey of Disability, Ageing and Carers</w:t>
      </w:r>
      <w:r w:rsidR="00702849" w:rsidRPr="00F82447">
        <w:rPr>
          <w:sz w:val="24"/>
          <w:szCs w:val="24"/>
        </w:rPr>
        <w:t>.</w:t>
      </w:r>
    </w:p>
    <w:p w14:paraId="160FB33E" w14:textId="77777777" w:rsidR="009661C2" w:rsidRDefault="009661C2" w:rsidP="000A6456">
      <w:pPr>
        <w:pStyle w:val="NoSpacing"/>
        <w:keepNext/>
        <w:jc w:val="center"/>
      </w:pPr>
      <w:r>
        <w:rPr>
          <w:noProof/>
          <w:lang w:eastAsia="en-AU"/>
        </w:rPr>
        <w:drawing>
          <wp:inline distT="0" distB="0" distL="0" distR="0" wp14:anchorId="114B9442" wp14:editId="1B836E69">
            <wp:extent cx="4219023" cy="1753003"/>
            <wp:effectExtent l="0" t="0" r="0" b="0"/>
            <wp:docPr id="34" name="Picture 34" descr="Ticket to Work scenario 17% performing arts groups and activities compared with 0% business as usual. Ticket to Work scenario 23% art/craft or specialty interest groups compared to 0% business as usual. Ticket to work scenario 37% other recreational or special interest group compared to 12% business as usual. Ticket to work scenario 94% went out with friends or relatives compared to 76% business as usu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44516" cy="1763595"/>
                    </a:xfrm>
                    <a:prstGeom prst="rect">
                      <a:avLst/>
                    </a:prstGeom>
                    <a:noFill/>
                  </pic:spPr>
                </pic:pic>
              </a:graphicData>
            </a:graphic>
          </wp:inline>
        </w:drawing>
      </w:r>
    </w:p>
    <w:p w14:paraId="735C1960" w14:textId="77777777" w:rsidR="00727C7A" w:rsidRPr="00F82447" w:rsidRDefault="009661C2" w:rsidP="009661C2">
      <w:pPr>
        <w:pStyle w:val="Caption"/>
        <w:rPr>
          <w:i w:val="0"/>
          <w:color w:val="auto"/>
          <w:sz w:val="24"/>
          <w:szCs w:val="24"/>
        </w:rPr>
      </w:pPr>
      <w:bookmarkStart w:id="15" w:name="_Ref24105412"/>
      <w:r w:rsidRPr="00F82447">
        <w:rPr>
          <w:i w:val="0"/>
          <w:color w:val="auto"/>
          <w:sz w:val="24"/>
          <w:szCs w:val="24"/>
        </w:rPr>
        <w:t xml:space="preserve">Figure </w:t>
      </w:r>
      <w:r w:rsidR="00A37DAD" w:rsidRPr="00F82447">
        <w:rPr>
          <w:i w:val="0"/>
          <w:color w:val="auto"/>
          <w:sz w:val="24"/>
          <w:szCs w:val="24"/>
        </w:rPr>
        <w:fldChar w:fldCharType="begin"/>
      </w:r>
      <w:r w:rsidR="00A37DAD" w:rsidRPr="00F82447">
        <w:rPr>
          <w:i w:val="0"/>
          <w:color w:val="auto"/>
          <w:sz w:val="24"/>
          <w:szCs w:val="24"/>
        </w:rPr>
        <w:instrText xml:space="preserve"> SEQ Figure \* ARABIC </w:instrText>
      </w:r>
      <w:r w:rsidR="00A37DAD" w:rsidRPr="00F82447">
        <w:rPr>
          <w:i w:val="0"/>
          <w:color w:val="auto"/>
          <w:sz w:val="24"/>
          <w:szCs w:val="24"/>
        </w:rPr>
        <w:fldChar w:fldCharType="separate"/>
      </w:r>
      <w:r w:rsidR="004912C4" w:rsidRPr="00F82447">
        <w:rPr>
          <w:i w:val="0"/>
          <w:noProof/>
          <w:color w:val="auto"/>
          <w:sz w:val="24"/>
          <w:szCs w:val="24"/>
        </w:rPr>
        <w:t>9</w:t>
      </w:r>
      <w:r w:rsidR="00A37DAD" w:rsidRPr="00F82447">
        <w:rPr>
          <w:i w:val="0"/>
          <w:noProof/>
          <w:color w:val="auto"/>
          <w:sz w:val="24"/>
          <w:szCs w:val="24"/>
        </w:rPr>
        <w:fldChar w:fldCharType="end"/>
      </w:r>
      <w:bookmarkEnd w:id="15"/>
      <w:r w:rsidRPr="00F82447">
        <w:rPr>
          <w:i w:val="0"/>
          <w:color w:val="auto"/>
          <w:sz w:val="24"/>
          <w:szCs w:val="24"/>
        </w:rPr>
        <w:t xml:space="preserve">: </w:t>
      </w:r>
      <w:r w:rsidR="00F82EAF" w:rsidRPr="00F82447">
        <w:rPr>
          <w:i w:val="0"/>
          <w:color w:val="auto"/>
          <w:sz w:val="24"/>
          <w:szCs w:val="24"/>
        </w:rPr>
        <w:t>Percentage of respondents who had participated in certain social and community a</w:t>
      </w:r>
      <w:r w:rsidRPr="00F82447">
        <w:rPr>
          <w:i w:val="0"/>
          <w:color w:val="auto"/>
          <w:sz w:val="24"/>
          <w:szCs w:val="24"/>
        </w:rPr>
        <w:t>ctivities</w:t>
      </w:r>
      <w:r w:rsidR="00727C7A" w:rsidRPr="00F82447">
        <w:rPr>
          <w:i w:val="0"/>
          <w:color w:val="auto"/>
          <w:sz w:val="24"/>
          <w:szCs w:val="24"/>
        </w:rPr>
        <w:t xml:space="preserve">. </w:t>
      </w:r>
    </w:p>
    <w:p w14:paraId="2F467F7F" w14:textId="77777777" w:rsidR="00BD6B16" w:rsidRPr="00F82447" w:rsidRDefault="00727C7A" w:rsidP="009661C2">
      <w:pPr>
        <w:pStyle w:val="Caption"/>
        <w:rPr>
          <w:i w:val="0"/>
          <w:color w:val="auto"/>
          <w:sz w:val="24"/>
          <w:szCs w:val="24"/>
        </w:rPr>
      </w:pPr>
      <w:r w:rsidRPr="00F82447">
        <w:rPr>
          <w:i w:val="0"/>
          <w:color w:val="auto"/>
          <w:sz w:val="24"/>
          <w:szCs w:val="24"/>
        </w:rPr>
        <w:t>This figure only includes those activities for which there was a statistically significant difference between the Ticket to Work group and the comparison group</w:t>
      </w:r>
    </w:p>
    <w:p w14:paraId="3E95FC49" w14:textId="77777777" w:rsidR="006F154F" w:rsidRPr="00F82447" w:rsidRDefault="00F53C2D" w:rsidP="00D56A09">
      <w:pPr>
        <w:pStyle w:val="NoSpacing"/>
        <w:rPr>
          <w:sz w:val="24"/>
          <w:szCs w:val="24"/>
        </w:rPr>
      </w:pPr>
      <w:r w:rsidRPr="00F82447">
        <w:rPr>
          <w:sz w:val="24"/>
          <w:szCs w:val="24"/>
        </w:rPr>
        <w:t xml:space="preserve">Similarly, </w:t>
      </w:r>
      <w:r w:rsidR="009F7879" w:rsidRPr="00F82447">
        <w:rPr>
          <w:sz w:val="24"/>
          <w:szCs w:val="24"/>
        </w:rPr>
        <w:fldChar w:fldCharType="begin"/>
      </w:r>
      <w:r w:rsidR="009F7879" w:rsidRPr="00F82447">
        <w:rPr>
          <w:sz w:val="24"/>
          <w:szCs w:val="24"/>
        </w:rPr>
        <w:instrText xml:space="preserve"> REF _Ref24112852 \h </w:instrText>
      </w:r>
      <w:r w:rsidR="00F82447" w:rsidRPr="00F82447">
        <w:rPr>
          <w:sz w:val="24"/>
          <w:szCs w:val="24"/>
        </w:rPr>
        <w:instrText xml:space="preserve"> \* MERGEFORMAT </w:instrText>
      </w:r>
      <w:r w:rsidR="009F7879" w:rsidRPr="00F82447">
        <w:rPr>
          <w:sz w:val="24"/>
          <w:szCs w:val="24"/>
        </w:rPr>
      </w:r>
      <w:r w:rsidR="009F7879" w:rsidRPr="00F82447">
        <w:rPr>
          <w:sz w:val="24"/>
          <w:szCs w:val="24"/>
        </w:rPr>
        <w:fldChar w:fldCharType="separate"/>
      </w:r>
      <w:r w:rsidR="009F7879" w:rsidRPr="00F82447">
        <w:rPr>
          <w:sz w:val="24"/>
          <w:szCs w:val="24"/>
        </w:rPr>
        <w:t xml:space="preserve">Figure </w:t>
      </w:r>
      <w:r w:rsidR="009F7879" w:rsidRPr="00F82447">
        <w:rPr>
          <w:noProof/>
          <w:sz w:val="24"/>
          <w:szCs w:val="24"/>
        </w:rPr>
        <w:t>10</w:t>
      </w:r>
      <w:r w:rsidR="009F7879" w:rsidRPr="00F82447">
        <w:rPr>
          <w:sz w:val="24"/>
          <w:szCs w:val="24"/>
        </w:rPr>
        <w:fldChar w:fldCharType="end"/>
      </w:r>
      <w:r w:rsidR="009F7879" w:rsidRPr="00F82447">
        <w:rPr>
          <w:sz w:val="24"/>
          <w:szCs w:val="24"/>
        </w:rPr>
        <w:t xml:space="preserve"> shows that </w:t>
      </w:r>
      <w:r w:rsidR="00023E5B" w:rsidRPr="00F82447">
        <w:rPr>
          <w:sz w:val="24"/>
          <w:szCs w:val="24"/>
        </w:rPr>
        <w:t xml:space="preserve">Ticket to Work participants are about twice as likely to say they have </w:t>
      </w:r>
      <w:r w:rsidR="00CB18CD" w:rsidRPr="00F82447">
        <w:rPr>
          <w:sz w:val="24"/>
          <w:szCs w:val="24"/>
        </w:rPr>
        <w:t xml:space="preserve">levels of independence that are “about right” compared to a similar cohort of </w:t>
      </w:r>
      <w:r w:rsidR="003E309A" w:rsidRPr="00F82447">
        <w:rPr>
          <w:sz w:val="24"/>
          <w:szCs w:val="24"/>
        </w:rPr>
        <w:t>respondents to the NDIS Framework Outcomes Pilot Study</w:t>
      </w:r>
      <w:r w:rsidR="00CB18CD" w:rsidRPr="00F82447">
        <w:rPr>
          <w:sz w:val="24"/>
          <w:szCs w:val="24"/>
        </w:rPr>
        <w:t xml:space="preserve">. </w:t>
      </w:r>
    </w:p>
    <w:p w14:paraId="1AFC4B7F" w14:textId="77777777" w:rsidR="00ED2889" w:rsidRDefault="0033557A" w:rsidP="002F3CD3">
      <w:pPr>
        <w:pStyle w:val="NoSpacing"/>
        <w:keepNext/>
        <w:jc w:val="center"/>
      </w:pPr>
      <w:r>
        <w:rPr>
          <w:noProof/>
          <w:lang w:eastAsia="en-AU"/>
        </w:rPr>
        <w:drawing>
          <wp:inline distT="0" distB="0" distL="0" distR="0" wp14:anchorId="1C2F8218" wp14:editId="659EA54A">
            <wp:extent cx="4788671" cy="2677795"/>
            <wp:effectExtent l="0" t="0" r="0" b="0"/>
            <wp:docPr id="39" name="Picture 39" descr="Ticket to work respondents 63% yes and its about right. 6% yes and i would lilke more and 31% no, i have the same or less compared to the NDIS framework outcomes pilot survey respondents 32% yes and its about right, 31% yes and i would like more, 37% no, i have the same or l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97135" cy="2682528"/>
                    </a:xfrm>
                    <a:prstGeom prst="rect">
                      <a:avLst/>
                    </a:prstGeom>
                    <a:noFill/>
                  </pic:spPr>
                </pic:pic>
              </a:graphicData>
            </a:graphic>
          </wp:inline>
        </w:drawing>
      </w:r>
    </w:p>
    <w:p w14:paraId="5BE90BD8" w14:textId="77777777" w:rsidR="00ED2889" w:rsidRPr="00F82447" w:rsidRDefault="00ED2889" w:rsidP="002F3CD3">
      <w:pPr>
        <w:pStyle w:val="Caption"/>
        <w:jc w:val="center"/>
        <w:rPr>
          <w:i w:val="0"/>
          <w:sz w:val="24"/>
          <w:szCs w:val="24"/>
        </w:rPr>
      </w:pPr>
      <w:bookmarkStart w:id="16" w:name="_Ref24112852"/>
      <w:r w:rsidRPr="00F82447">
        <w:rPr>
          <w:i w:val="0"/>
          <w:color w:val="auto"/>
          <w:sz w:val="24"/>
          <w:szCs w:val="24"/>
        </w:rPr>
        <w:t xml:space="preserve">Figure </w:t>
      </w:r>
      <w:r w:rsidR="00A37DAD" w:rsidRPr="00F82447">
        <w:rPr>
          <w:i w:val="0"/>
          <w:color w:val="auto"/>
          <w:sz w:val="24"/>
          <w:szCs w:val="24"/>
        </w:rPr>
        <w:fldChar w:fldCharType="begin"/>
      </w:r>
      <w:r w:rsidR="00A37DAD" w:rsidRPr="00F82447">
        <w:rPr>
          <w:i w:val="0"/>
          <w:color w:val="auto"/>
          <w:sz w:val="24"/>
          <w:szCs w:val="24"/>
        </w:rPr>
        <w:instrText xml:space="preserve"> SEQ Figure \* ARABIC </w:instrText>
      </w:r>
      <w:r w:rsidR="00A37DAD" w:rsidRPr="00F82447">
        <w:rPr>
          <w:i w:val="0"/>
          <w:color w:val="auto"/>
          <w:sz w:val="24"/>
          <w:szCs w:val="24"/>
        </w:rPr>
        <w:fldChar w:fldCharType="separate"/>
      </w:r>
      <w:r w:rsidR="004912C4" w:rsidRPr="00F82447">
        <w:rPr>
          <w:i w:val="0"/>
          <w:noProof/>
          <w:color w:val="auto"/>
          <w:sz w:val="24"/>
          <w:szCs w:val="24"/>
        </w:rPr>
        <w:t>10</w:t>
      </w:r>
      <w:r w:rsidR="00A37DAD" w:rsidRPr="00F82447">
        <w:rPr>
          <w:i w:val="0"/>
          <w:noProof/>
          <w:color w:val="auto"/>
          <w:sz w:val="24"/>
          <w:szCs w:val="24"/>
        </w:rPr>
        <w:fldChar w:fldCharType="end"/>
      </w:r>
      <w:bookmarkEnd w:id="16"/>
      <w:r w:rsidRPr="00F82447">
        <w:rPr>
          <w:i w:val="0"/>
          <w:color w:val="auto"/>
          <w:sz w:val="24"/>
          <w:szCs w:val="24"/>
        </w:rPr>
        <w:t xml:space="preserve">: </w:t>
      </w:r>
      <w:r w:rsidR="00F95AA7" w:rsidRPr="00F82447">
        <w:rPr>
          <w:i w:val="0"/>
          <w:color w:val="auto"/>
          <w:sz w:val="24"/>
          <w:szCs w:val="24"/>
        </w:rPr>
        <w:t>responses to ‘do you have more independence than you did two years ago?’</w:t>
      </w:r>
    </w:p>
    <w:p w14:paraId="16784CF7" w14:textId="77777777" w:rsidR="00ED2889" w:rsidRPr="00F82447" w:rsidRDefault="00F21A58" w:rsidP="00D56A09">
      <w:pPr>
        <w:pStyle w:val="NoSpacing"/>
        <w:rPr>
          <w:sz w:val="24"/>
          <w:szCs w:val="24"/>
        </w:rPr>
      </w:pPr>
      <w:r w:rsidRPr="00F82447">
        <w:rPr>
          <w:sz w:val="24"/>
          <w:szCs w:val="24"/>
        </w:rPr>
        <w:t xml:space="preserve">Ticket to Work participants have </w:t>
      </w:r>
      <w:r w:rsidR="00D77F5A" w:rsidRPr="00F82447">
        <w:rPr>
          <w:sz w:val="24"/>
          <w:szCs w:val="24"/>
        </w:rPr>
        <w:t xml:space="preserve">substantially </w:t>
      </w:r>
      <w:r w:rsidRPr="00F82447">
        <w:rPr>
          <w:sz w:val="24"/>
          <w:szCs w:val="24"/>
        </w:rPr>
        <w:t>higher levels of social and community participation</w:t>
      </w:r>
      <w:r w:rsidR="003571B3" w:rsidRPr="00F82447">
        <w:rPr>
          <w:sz w:val="24"/>
          <w:szCs w:val="24"/>
        </w:rPr>
        <w:t xml:space="preserve">. </w:t>
      </w:r>
      <w:r w:rsidR="005A58DD" w:rsidRPr="00F82447">
        <w:rPr>
          <w:sz w:val="24"/>
          <w:szCs w:val="24"/>
        </w:rPr>
        <w:t xml:space="preserve">We are proposing that this is </w:t>
      </w:r>
      <w:r w:rsidR="00B273D3" w:rsidRPr="00F82447">
        <w:rPr>
          <w:sz w:val="24"/>
          <w:szCs w:val="24"/>
        </w:rPr>
        <w:t xml:space="preserve">driven by </w:t>
      </w:r>
      <w:r w:rsidR="00A9169B" w:rsidRPr="00F82447">
        <w:rPr>
          <w:sz w:val="24"/>
          <w:szCs w:val="24"/>
        </w:rPr>
        <w:t xml:space="preserve">social opportunities afforded </w:t>
      </w:r>
      <w:r w:rsidR="00F64D00" w:rsidRPr="00F82447">
        <w:rPr>
          <w:sz w:val="24"/>
          <w:szCs w:val="24"/>
        </w:rPr>
        <w:t xml:space="preserve">through </w:t>
      </w:r>
      <w:r w:rsidR="00B273D3" w:rsidRPr="00F82447">
        <w:rPr>
          <w:sz w:val="24"/>
          <w:szCs w:val="24"/>
        </w:rPr>
        <w:t xml:space="preserve">higher levels of participation in </w:t>
      </w:r>
      <w:r w:rsidR="003571B3" w:rsidRPr="00F82447">
        <w:rPr>
          <w:sz w:val="24"/>
          <w:szCs w:val="24"/>
        </w:rPr>
        <w:t>open employment and education</w:t>
      </w:r>
      <w:r w:rsidRPr="00F82447">
        <w:rPr>
          <w:sz w:val="24"/>
          <w:szCs w:val="24"/>
        </w:rPr>
        <w:t>.</w:t>
      </w:r>
      <w:r w:rsidR="00496F46" w:rsidRPr="00F82447">
        <w:rPr>
          <w:sz w:val="24"/>
          <w:szCs w:val="24"/>
        </w:rPr>
        <w:t xml:space="preserve"> </w:t>
      </w:r>
      <w:r w:rsidR="00657DFB" w:rsidRPr="00F82447">
        <w:rPr>
          <w:sz w:val="24"/>
          <w:szCs w:val="24"/>
        </w:rPr>
        <w:t xml:space="preserve">To estimate the possible </w:t>
      </w:r>
      <w:r w:rsidR="00DC2CC2" w:rsidRPr="00F82447">
        <w:rPr>
          <w:sz w:val="24"/>
          <w:szCs w:val="24"/>
        </w:rPr>
        <w:t>cost savings for the NDIS,</w:t>
      </w:r>
      <w:r w:rsidR="005A58DD" w:rsidRPr="00F82447">
        <w:rPr>
          <w:sz w:val="24"/>
          <w:szCs w:val="24"/>
        </w:rPr>
        <w:t xml:space="preserve"> therefore,</w:t>
      </w:r>
      <w:r w:rsidR="00DC2CC2" w:rsidRPr="00F82447">
        <w:rPr>
          <w:sz w:val="24"/>
          <w:szCs w:val="24"/>
        </w:rPr>
        <w:t xml:space="preserve"> we hypothesise that:</w:t>
      </w:r>
    </w:p>
    <w:p w14:paraId="202D5E00" w14:textId="77777777" w:rsidR="00DC2CC2" w:rsidRPr="00F82447" w:rsidRDefault="00DC2CC2" w:rsidP="00F82447">
      <w:pPr>
        <w:pStyle w:val="NoSpacing"/>
        <w:numPr>
          <w:ilvl w:val="0"/>
          <w:numId w:val="17"/>
        </w:numPr>
        <w:ind w:left="360"/>
        <w:rPr>
          <w:sz w:val="24"/>
          <w:szCs w:val="24"/>
        </w:rPr>
      </w:pPr>
      <w:r w:rsidRPr="00F82447">
        <w:rPr>
          <w:sz w:val="24"/>
          <w:szCs w:val="24"/>
        </w:rPr>
        <w:lastRenderedPageBreak/>
        <w:t xml:space="preserve">People who are employed </w:t>
      </w:r>
      <w:r w:rsidR="009958E2" w:rsidRPr="00F82447">
        <w:rPr>
          <w:sz w:val="24"/>
          <w:szCs w:val="24"/>
        </w:rPr>
        <w:t>use fewer hours of group-based community programs</w:t>
      </w:r>
      <w:r w:rsidR="00463D6A" w:rsidRPr="00F82447">
        <w:rPr>
          <w:sz w:val="24"/>
          <w:szCs w:val="24"/>
        </w:rPr>
        <w:t xml:space="preserve"> because they meet more of their social and community needs through work</w:t>
      </w:r>
      <w:r w:rsidR="00333EE5" w:rsidRPr="00F82447">
        <w:rPr>
          <w:sz w:val="24"/>
          <w:szCs w:val="24"/>
        </w:rPr>
        <w:t xml:space="preserve">. </w:t>
      </w:r>
      <w:r w:rsidR="00D40D23" w:rsidRPr="00F82447">
        <w:rPr>
          <w:sz w:val="24"/>
          <w:szCs w:val="24"/>
        </w:rPr>
        <w:t>For</w:t>
      </w:r>
      <w:r w:rsidR="00333EE5" w:rsidRPr="00F82447">
        <w:rPr>
          <w:sz w:val="24"/>
          <w:szCs w:val="24"/>
        </w:rPr>
        <w:t xml:space="preserve"> each hour of work, they use 30 </w:t>
      </w:r>
      <w:r w:rsidR="006845EF" w:rsidRPr="00F82447">
        <w:rPr>
          <w:sz w:val="24"/>
          <w:szCs w:val="24"/>
        </w:rPr>
        <w:t>fewer minutes</w:t>
      </w:r>
      <w:r w:rsidR="00333EE5" w:rsidRPr="00F82447">
        <w:rPr>
          <w:sz w:val="24"/>
          <w:szCs w:val="24"/>
        </w:rPr>
        <w:t xml:space="preserve"> of group-based supports.</w:t>
      </w:r>
    </w:p>
    <w:p w14:paraId="077BD74E" w14:textId="77777777" w:rsidR="00496F46" w:rsidRPr="00F82447" w:rsidRDefault="009958E2" w:rsidP="00F82447">
      <w:pPr>
        <w:pStyle w:val="NoSpacing"/>
        <w:numPr>
          <w:ilvl w:val="0"/>
          <w:numId w:val="17"/>
        </w:numPr>
        <w:ind w:left="360"/>
        <w:rPr>
          <w:sz w:val="24"/>
          <w:szCs w:val="24"/>
        </w:rPr>
      </w:pPr>
      <w:r w:rsidRPr="00F82447">
        <w:rPr>
          <w:sz w:val="24"/>
          <w:szCs w:val="24"/>
        </w:rPr>
        <w:t xml:space="preserve">People who </w:t>
      </w:r>
      <w:r w:rsidR="00572098" w:rsidRPr="00F82447">
        <w:rPr>
          <w:sz w:val="24"/>
          <w:szCs w:val="24"/>
        </w:rPr>
        <w:t>“</w:t>
      </w:r>
      <w:r w:rsidRPr="00F82447">
        <w:rPr>
          <w:sz w:val="24"/>
          <w:szCs w:val="24"/>
        </w:rPr>
        <w:t>go out as often as desired</w:t>
      </w:r>
      <w:r w:rsidR="00572098" w:rsidRPr="00F82447">
        <w:rPr>
          <w:sz w:val="24"/>
          <w:szCs w:val="24"/>
        </w:rPr>
        <w:t>”</w:t>
      </w:r>
      <w:r w:rsidRPr="00F82447">
        <w:rPr>
          <w:sz w:val="24"/>
          <w:szCs w:val="24"/>
        </w:rPr>
        <w:t xml:space="preserve"> use about 30% fewer</w:t>
      </w:r>
      <w:r w:rsidR="00572098" w:rsidRPr="00F82447">
        <w:rPr>
          <w:sz w:val="24"/>
          <w:szCs w:val="24"/>
        </w:rPr>
        <w:t xml:space="preserve"> </w:t>
      </w:r>
      <w:r w:rsidR="00442C53" w:rsidRPr="00F82447">
        <w:rPr>
          <w:sz w:val="24"/>
          <w:szCs w:val="24"/>
        </w:rPr>
        <w:t>individual community participation supports than those who “go out, but not as often as desired”</w:t>
      </w:r>
      <w:r w:rsidR="0040163D" w:rsidRPr="00F82447">
        <w:rPr>
          <w:sz w:val="24"/>
          <w:szCs w:val="24"/>
        </w:rPr>
        <w:t xml:space="preserve"> because this group is more likely to be able to meet those needs independently of NDIS support</w:t>
      </w:r>
      <w:r w:rsidR="00442C53" w:rsidRPr="00F82447">
        <w:rPr>
          <w:sz w:val="24"/>
          <w:szCs w:val="24"/>
        </w:rPr>
        <w:t xml:space="preserve">. </w:t>
      </w:r>
    </w:p>
    <w:p w14:paraId="34FF92BE" w14:textId="77777777" w:rsidR="00FE2419" w:rsidRPr="00F82447" w:rsidRDefault="00FE2419" w:rsidP="00333EE5">
      <w:pPr>
        <w:pStyle w:val="NoSpacing"/>
        <w:rPr>
          <w:sz w:val="24"/>
          <w:szCs w:val="24"/>
        </w:rPr>
      </w:pPr>
      <w:r w:rsidRPr="00F82447">
        <w:rPr>
          <w:sz w:val="24"/>
          <w:szCs w:val="24"/>
        </w:rPr>
        <w:t xml:space="preserve">We </w:t>
      </w:r>
      <w:r w:rsidR="005A58DD" w:rsidRPr="00F82447">
        <w:rPr>
          <w:sz w:val="24"/>
          <w:szCs w:val="24"/>
        </w:rPr>
        <w:t xml:space="preserve">also </w:t>
      </w:r>
      <w:r w:rsidRPr="00F82447">
        <w:rPr>
          <w:sz w:val="24"/>
          <w:szCs w:val="24"/>
        </w:rPr>
        <w:t xml:space="preserve">considered an alternative hypothesis that an increase in the sense of independence by people with disability may </w:t>
      </w:r>
      <w:r w:rsidRPr="00855673">
        <w:rPr>
          <w:sz w:val="24"/>
          <w:szCs w:val="24"/>
        </w:rPr>
        <w:t>increase</w:t>
      </w:r>
      <w:r w:rsidRPr="00F82447">
        <w:rPr>
          <w:sz w:val="24"/>
          <w:szCs w:val="24"/>
        </w:rPr>
        <w:t xml:space="preserve"> their likelihood of going out, and thereby </w:t>
      </w:r>
      <w:r w:rsidRPr="00855673">
        <w:rPr>
          <w:sz w:val="24"/>
          <w:szCs w:val="24"/>
        </w:rPr>
        <w:t>increase</w:t>
      </w:r>
      <w:r w:rsidRPr="00F82447">
        <w:rPr>
          <w:sz w:val="24"/>
          <w:szCs w:val="24"/>
        </w:rPr>
        <w:t xml:space="preserve"> their use of NDIS individual supports to facilitate that. However, Ticket to Work staff indicated that anecdotal evidence from participants was that participants were more likely to participate in social activities without supports. </w:t>
      </w:r>
      <w:r w:rsidR="005532F1" w:rsidRPr="00F82447">
        <w:rPr>
          <w:sz w:val="24"/>
          <w:szCs w:val="24"/>
        </w:rPr>
        <w:t xml:space="preserve">This is supported by data from the evaluation survey of Ticket to Work </w:t>
      </w:r>
      <w:r w:rsidR="004912C4" w:rsidRPr="00F82447">
        <w:rPr>
          <w:sz w:val="24"/>
          <w:szCs w:val="24"/>
        </w:rPr>
        <w:t>participants which found no substantial difference in perceptions of independence between those that have an NDIS plan and those who don’t:</w:t>
      </w:r>
    </w:p>
    <w:p w14:paraId="4BAD60D5" w14:textId="77777777" w:rsidR="004912C4" w:rsidRDefault="00D551E1" w:rsidP="004912C4">
      <w:pPr>
        <w:pStyle w:val="NoSpacing"/>
        <w:keepNext/>
        <w:jc w:val="center"/>
      </w:pPr>
      <w:r>
        <w:rPr>
          <w:noProof/>
          <w:lang w:eastAsia="en-AU"/>
        </w:rPr>
        <w:drawing>
          <wp:inline distT="0" distB="0" distL="0" distR="0" wp14:anchorId="1237E82B" wp14:editId="05D27CC3">
            <wp:extent cx="3051972" cy="1562100"/>
            <wp:effectExtent l="0" t="0" r="0" b="0"/>
            <wp:docPr id="41" name="Picture 41" descr="Ticket to work repsondents.93% not sure if have NDIS plan, 76% do not have NDIS plan, 77% have NDIS plan compared to the comparsion group 6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89314" cy="1581213"/>
                    </a:xfrm>
                    <a:prstGeom prst="rect">
                      <a:avLst/>
                    </a:prstGeom>
                    <a:noFill/>
                  </pic:spPr>
                </pic:pic>
              </a:graphicData>
            </a:graphic>
          </wp:inline>
        </w:drawing>
      </w:r>
    </w:p>
    <w:p w14:paraId="5568B51A" w14:textId="77777777" w:rsidR="00843EEB" w:rsidRPr="00F82447" w:rsidRDefault="004912C4" w:rsidP="00CF66B4">
      <w:pPr>
        <w:pStyle w:val="Caption"/>
        <w:jc w:val="center"/>
        <w:rPr>
          <w:i w:val="0"/>
          <w:color w:val="auto"/>
          <w:sz w:val="24"/>
          <w:szCs w:val="24"/>
        </w:rPr>
      </w:pPr>
      <w:r w:rsidRPr="00F82447">
        <w:rPr>
          <w:i w:val="0"/>
          <w:color w:val="auto"/>
          <w:sz w:val="24"/>
          <w:szCs w:val="24"/>
        </w:rPr>
        <w:t xml:space="preserve">Figure </w:t>
      </w:r>
      <w:r w:rsidR="00A37DAD" w:rsidRPr="00F82447">
        <w:rPr>
          <w:i w:val="0"/>
          <w:color w:val="auto"/>
          <w:sz w:val="24"/>
          <w:szCs w:val="24"/>
        </w:rPr>
        <w:fldChar w:fldCharType="begin"/>
      </w:r>
      <w:r w:rsidR="00A37DAD" w:rsidRPr="00F82447">
        <w:rPr>
          <w:i w:val="0"/>
          <w:color w:val="auto"/>
          <w:sz w:val="24"/>
          <w:szCs w:val="24"/>
        </w:rPr>
        <w:instrText xml:space="preserve"> SEQ Figure \* ARABIC </w:instrText>
      </w:r>
      <w:r w:rsidR="00A37DAD" w:rsidRPr="00F82447">
        <w:rPr>
          <w:i w:val="0"/>
          <w:color w:val="auto"/>
          <w:sz w:val="24"/>
          <w:szCs w:val="24"/>
        </w:rPr>
        <w:fldChar w:fldCharType="separate"/>
      </w:r>
      <w:r w:rsidRPr="00F82447">
        <w:rPr>
          <w:i w:val="0"/>
          <w:noProof/>
          <w:color w:val="auto"/>
          <w:sz w:val="24"/>
          <w:szCs w:val="24"/>
        </w:rPr>
        <w:t>11</w:t>
      </w:r>
      <w:r w:rsidR="00A37DAD" w:rsidRPr="00F82447">
        <w:rPr>
          <w:i w:val="0"/>
          <w:noProof/>
          <w:color w:val="auto"/>
          <w:sz w:val="24"/>
          <w:szCs w:val="24"/>
        </w:rPr>
        <w:fldChar w:fldCharType="end"/>
      </w:r>
      <w:r w:rsidRPr="00F82447">
        <w:rPr>
          <w:i w:val="0"/>
          <w:color w:val="auto"/>
          <w:sz w:val="24"/>
          <w:szCs w:val="24"/>
        </w:rPr>
        <w:t>: Percentage of survey respondents who go out as often as desired, by NDIS plan status</w:t>
      </w:r>
    </w:p>
    <w:p w14:paraId="2CF88B9A" w14:textId="77777777" w:rsidR="00333EE5" w:rsidRPr="00F82447" w:rsidRDefault="0001331A" w:rsidP="00333EE5">
      <w:pPr>
        <w:pStyle w:val="NoSpacing"/>
        <w:rPr>
          <w:sz w:val="24"/>
          <w:szCs w:val="24"/>
        </w:rPr>
      </w:pPr>
      <w:r w:rsidRPr="00F82447">
        <w:rPr>
          <w:sz w:val="24"/>
          <w:szCs w:val="24"/>
        </w:rPr>
        <w:t>The effect of these assumptions is summarised in the following table</w:t>
      </w:r>
      <w:r w:rsidR="0020339B" w:rsidRPr="00F82447">
        <w:rPr>
          <w:sz w:val="24"/>
          <w:szCs w:val="24"/>
        </w:rPr>
        <w:t xml:space="preserve">. </w:t>
      </w:r>
    </w:p>
    <w:tbl>
      <w:tblPr>
        <w:tblStyle w:val="TableGrid"/>
        <w:tblW w:w="0" w:type="auto"/>
        <w:tblLook w:val="04A0" w:firstRow="1" w:lastRow="0" w:firstColumn="1" w:lastColumn="0" w:noHBand="0" w:noVBand="1"/>
        <w:tblDescription w:val="outcome- employed- NDIS plan usage: use an average of 0.5 hours per week of group based soical and community participation supports. Not employed- use an average of 8.5 hours per week of group based social and community participation supports. Group has NDIS plan- go out as often as desired- use an average of 2.9 hours per week of individual social and community participation. Do not go out as often as desired- use an average of 4.1 hours per week of individual social and community participation. Does not have a plan group- all outcomes- none. "/>
      </w:tblPr>
      <w:tblGrid>
        <w:gridCol w:w="1624"/>
        <w:gridCol w:w="2248"/>
        <w:gridCol w:w="5144"/>
      </w:tblGrid>
      <w:tr w:rsidR="00BF5342" w:rsidRPr="00073E59" w14:paraId="41517204" w14:textId="77777777" w:rsidTr="006C4FFC">
        <w:trPr>
          <w:tblHeader/>
        </w:trPr>
        <w:tc>
          <w:tcPr>
            <w:tcW w:w="0" w:type="auto"/>
            <w:shd w:val="clear" w:color="auto" w:fill="7F7F7F" w:themeFill="text1" w:themeFillTint="80"/>
          </w:tcPr>
          <w:p w14:paraId="56104EAA" w14:textId="77777777" w:rsidR="00BF5342" w:rsidRPr="00F82447" w:rsidRDefault="00BF5342" w:rsidP="00BF5342">
            <w:pPr>
              <w:rPr>
                <w:sz w:val="24"/>
                <w:szCs w:val="24"/>
              </w:rPr>
            </w:pPr>
          </w:p>
        </w:tc>
        <w:tc>
          <w:tcPr>
            <w:tcW w:w="0" w:type="auto"/>
            <w:shd w:val="clear" w:color="auto" w:fill="7F7F7F" w:themeFill="text1" w:themeFillTint="80"/>
          </w:tcPr>
          <w:p w14:paraId="4AA6A0AE" w14:textId="77777777" w:rsidR="00BF5342" w:rsidRPr="00F82447" w:rsidRDefault="00BF5342" w:rsidP="00BF5342">
            <w:pPr>
              <w:rPr>
                <w:i/>
                <w:color w:val="FFFFFF" w:themeColor="background1"/>
                <w:sz w:val="24"/>
                <w:szCs w:val="24"/>
              </w:rPr>
            </w:pPr>
            <w:r w:rsidRPr="00F82447">
              <w:rPr>
                <w:i/>
                <w:color w:val="FFFFFF" w:themeColor="background1"/>
                <w:sz w:val="24"/>
                <w:szCs w:val="24"/>
              </w:rPr>
              <w:t>Outcome</w:t>
            </w:r>
          </w:p>
        </w:tc>
        <w:tc>
          <w:tcPr>
            <w:tcW w:w="0" w:type="auto"/>
            <w:shd w:val="clear" w:color="auto" w:fill="7F7F7F" w:themeFill="text1" w:themeFillTint="80"/>
          </w:tcPr>
          <w:p w14:paraId="756F13A4" w14:textId="77777777" w:rsidR="00BF5342" w:rsidRPr="00F82447" w:rsidRDefault="00BF5342" w:rsidP="00BF5342">
            <w:pPr>
              <w:rPr>
                <w:i/>
                <w:color w:val="FFFFFF" w:themeColor="background1"/>
                <w:sz w:val="24"/>
                <w:szCs w:val="24"/>
              </w:rPr>
            </w:pPr>
            <w:r w:rsidRPr="00F82447">
              <w:rPr>
                <w:i/>
                <w:color w:val="FFFFFF" w:themeColor="background1"/>
                <w:sz w:val="24"/>
                <w:szCs w:val="24"/>
              </w:rPr>
              <w:t>NDIS plan usage</w:t>
            </w:r>
          </w:p>
        </w:tc>
      </w:tr>
      <w:tr w:rsidR="00BF5342" w:rsidRPr="00073E59" w14:paraId="385BF5F4" w14:textId="77777777" w:rsidTr="00BF5342">
        <w:tc>
          <w:tcPr>
            <w:tcW w:w="0" w:type="auto"/>
          </w:tcPr>
          <w:p w14:paraId="6C8FCB9B" w14:textId="77777777" w:rsidR="00BF5342" w:rsidRPr="00F82447" w:rsidRDefault="00BF5342" w:rsidP="00BF5342">
            <w:pPr>
              <w:rPr>
                <w:sz w:val="24"/>
                <w:szCs w:val="24"/>
              </w:rPr>
            </w:pPr>
            <w:r w:rsidRPr="00F82447">
              <w:rPr>
                <w:bCs/>
                <w:sz w:val="24"/>
                <w:szCs w:val="24"/>
              </w:rPr>
              <w:t>Has NDIS Plan</w:t>
            </w:r>
          </w:p>
        </w:tc>
        <w:tc>
          <w:tcPr>
            <w:tcW w:w="0" w:type="auto"/>
          </w:tcPr>
          <w:p w14:paraId="6382F670" w14:textId="77777777" w:rsidR="00BF5342" w:rsidRPr="00F82447" w:rsidRDefault="00BF5342" w:rsidP="00BF5342">
            <w:pPr>
              <w:rPr>
                <w:sz w:val="24"/>
                <w:szCs w:val="24"/>
              </w:rPr>
            </w:pPr>
            <w:r w:rsidRPr="00F82447">
              <w:rPr>
                <w:sz w:val="24"/>
                <w:szCs w:val="24"/>
              </w:rPr>
              <w:t>Employed</w:t>
            </w:r>
          </w:p>
        </w:tc>
        <w:tc>
          <w:tcPr>
            <w:tcW w:w="0" w:type="auto"/>
          </w:tcPr>
          <w:p w14:paraId="32350DB7" w14:textId="77777777" w:rsidR="00BF5342" w:rsidRPr="00F82447" w:rsidRDefault="00BF5342" w:rsidP="00BF5342">
            <w:pPr>
              <w:rPr>
                <w:sz w:val="24"/>
                <w:szCs w:val="24"/>
              </w:rPr>
            </w:pPr>
            <w:r w:rsidRPr="00F82447">
              <w:rPr>
                <w:sz w:val="24"/>
                <w:szCs w:val="24"/>
              </w:rPr>
              <w:t xml:space="preserve">Use an average of </w:t>
            </w:r>
            <w:r w:rsidRPr="00F82447">
              <w:rPr>
                <w:b/>
                <w:bCs/>
                <w:sz w:val="24"/>
                <w:szCs w:val="24"/>
              </w:rPr>
              <w:t>0.5 hours per week</w:t>
            </w:r>
            <w:r w:rsidRPr="00F82447">
              <w:rPr>
                <w:sz w:val="24"/>
                <w:szCs w:val="24"/>
              </w:rPr>
              <w:t xml:space="preserve"> of group-based social and community participation supports</w:t>
            </w:r>
          </w:p>
        </w:tc>
      </w:tr>
      <w:tr w:rsidR="00BF5342" w:rsidRPr="00073E59" w14:paraId="2DE09585" w14:textId="77777777" w:rsidTr="00BF5342">
        <w:tc>
          <w:tcPr>
            <w:tcW w:w="0" w:type="auto"/>
          </w:tcPr>
          <w:p w14:paraId="3AF76EA1" w14:textId="77777777" w:rsidR="00BF5342" w:rsidRPr="00F82447" w:rsidRDefault="00BF5342" w:rsidP="00BF5342">
            <w:pPr>
              <w:rPr>
                <w:sz w:val="24"/>
                <w:szCs w:val="24"/>
              </w:rPr>
            </w:pPr>
            <w:r w:rsidRPr="00F82447">
              <w:rPr>
                <w:bCs/>
                <w:sz w:val="24"/>
                <w:szCs w:val="24"/>
              </w:rPr>
              <w:t>Has NDIS Plan</w:t>
            </w:r>
          </w:p>
        </w:tc>
        <w:tc>
          <w:tcPr>
            <w:tcW w:w="0" w:type="auto"/>
          </w:tcPr>
          <w:p w14:paraId="415BD9ED" w14:textId="77777777" w:rsidR="00BF5342" w:rsidRPr="00F82447" w:rsidRDefault="00BF5342" w:rsidP="00BF5342">
            <w:pPr>
              <w:rPr>
                <w:sz w:val="24"/>
                <w:szCs w:val="24"/>
              </w:rPr>
            </w:pPr>
            <w:r w:rsidRPr="00F82447">
              <w:rPr>
                <w:sz w:val="24"/>
                <w:szCs w:val="24"/>
              </w:rPr>
              <w:t>Not employed</w:t>
            </w:r>
          </w:p>
        </w:tc>
        <w:tc>
          <w:tcPr>
            <w:tcW w:w="0" w:type="auto"/>
          </w:tcPr>
          <w:p w14:paraId="7BC41EDA" w14:textId="77777777" w:rsidR="00BF5342" w:rsidRPr="00F82447" w:rsidRDefault="00BF5342" w:rsidP="00BF5342">
            <w:pPr>
              <w:rPr>
                <w:sz w:val="24"/>
                <w:szCs w:val="24"/>
              </w:rPr>
            </w:pPr>
            <w:r w:rsidRPr="00F82447">
              <w:rPr>
                <w:sz w:val="24"/>
                <w:szCs w:val="24"/>
              </w:rPr>
              <w:t xml:space="preserve">Use an average of </w:t>
            </w:r>
            <w:r w:rsidRPr="00F82447">
              <w:rPr>
                <w:b/>
                <w:bCs/>
                <w:sz w:val="24"/>
                <w:szCs w:val="24"/>
              </w:rPr>
              <w:t>8.5 hours per week</w:t>
            </w:r>
            <w:r w:rsidRPr="00F82447">
              <w:rPr>
                <w:sz w:val="24"/>
                <w:szCs w:val="24"/>
              </w:rPr>
              <w:t xml:space="preserve"> of group-based social and community participation supports</w:t>
            </w:r>
          </w:p>
        </w:tc>
      </w:tr>
      <w:tr w:rsidR="00BF5342" w:rsidRPr="00073E59" w14:paraId="5211F2AC" w14:textId="77777777" w:rsidTr="00BF5342">
        <w:tc>
          <w:tcPr>
            <w:tcW w:w="0" w:type="auto"/>
          </w:tcPr>
          <w:p w14:paraId="1BD4E0C4" w14:textId="77777777" w:rsidR="00BF5342" w:rsidRPr="00F82447" w:rsidRDefault="00BF5342" w:rsidP="00BF5342">
            <w:pPr>
              <w:rPr>
                <w:sz w:val="24"/>
                <w:szCs w:val="24"/>
              </w:rPr>
            </w:pPr>
            <w:r w:rsidRPr="00F82447">
              <w:rPr>
                <w:bCs/>
                <w:sz w:val="24"/>
                <w:szCs w:val="24"/>
              </w:rPr>
              <w:t>Has NDIS Plan</w:t>
            </w:r>
          </w:p>
        </w:tc>
        <w:tc>
          <w:tcPr>
            <w:tcW w:w="0" w:type="auto"/>
          </w:tcPr>
          <w:p w14:paraId="50BF83B0" w14:textId="77777777" w:rsidR="00BF5342" w:rsidRPr="00F82447" w:rsidRDefault="00BF5342" w:rsidP="00BF5342">
            <w:pPr>
              <w:rPr>
                <w:sz w:val="24"/>
                <w:szCs w:val="24"/>
              </w:rPr>
            </w:pPr>
            <w:r w:rsidRPr="00F82447">
              <w:rPr>
                <w:sz w:val="24"/>
                <w:szCs w:val="24"/>
              </w:rPr>
              <w:t>Go out as often as desired</w:t>
            </w:r>
          </w:p>
        </w:tc>
        <w:tc>
          <w:tcPr>
            <w:tcW w:w="0" w:type="auto"/>
          </w:tcPr>
          <w:p w14:paraId="5E2BD186" w14:textId="77777777" w:rsidR="00BF5342" w:rsidRPr="00F82447" w:rsidRDefault="00BF5342" w:rsidP="00BF5342">
            <w:pPr>
              <w:rPr>
                <w:sz w:val="24"/>
                <w:szCs w:val="24"/>
              </w:rPr>
            </w:pPr>
            <w:r w:rsidRPr="00F82447">
              <w:rPr>
                <w:sz w:val="24"/>
                <w:szCs w:val="24"/>
              </w:rPr>
              <w:t>Use an average of</w:t>
            </w:r>
            <w:r w:rsidRPr="00F82447">
              <w:rPr>
                <w:b/>
                <w:bCs/>
                <w:sz w:val="24"/>
                <w:szCs w:val="24"/>
              </w:rPr>
              <w:t xml:space="preserve"> 2.9 hours per week</w:t>
            </w:r>
            <w:r w:rsidRPr="00F82447">
              <w:rPr>
                <w:sz w:val="24"/>
                <w:szCs w:val="24"/>
              </w:rPr>
              <w:t xml:space="preserve"> of individual social and community participation supports</w:t>
            </w:r>
          </w:p>
        </w:tc>
      </w:tr>
      <w:tr w:rsidR="00BF5342" w:rsidRPr="00073E59" w14:paraId="7B7EFE5F" w14:textId="77777777" w:rsidTr="00BF5342">
        <w:tc>
          <w:tcPr>
            <w:tcW w:w="0" w:type="auto"/>
          </w:tcPr>
          <w:p w14:paraId="15978708" w14:textId="77777777" w:rsidR="00BF5342" w:rsidRPr="00F82447" w:rsidRDefault="00BF5342" w:rsidP="00BF5342">
            <w:pPr>
              <w:rPr>
                <w:sz w:val="24"/>
                <w:szCs w:val="24"/>
              </w:rPr>
            </w:pPr>
            <w:r w:rsidRPr="00F82447">
              <w:rPr>
                <w:bCs/>
                <w:sz w:val="24"/>
                <w:szCs w:val="24"/>
              </w:rPr>
              <w:t>Has NDIS Plan</w:t>
            </w:r>
          </w:p>
        </w:tc>
        <w:tc>
          <w:tcPr>
            <w:tcW w:w="0" w:type="auto"/>
          </w:tcPr>
          <w:p w14:paraId="7123E983" w14:textId="77777777" w:rsidR="00BF5342" w:rsidRPr="00F82447" w:rsidRDefault="00BF5342" w:rsidP="00BF5342">
            <w:pPr>
              <w:rPr>
                <w:sz w:val="24"/>
                <w:szCs w:val="24"/>
              </w:rPr>
            </w:pPr>
            <w:r w:rsidRPr="00F82447">
              <w:rPr>
                <w:sz w:val="24"/>
                <w:szCs w:val="24"/>
              </w:rPr>
              <w:t>Do not go out as often as desired</w:t>
            </w:r>
          </w:p>
        </w:tc>
        <w:tc>
          <w:tcPr>
            <w:tcW w:w="0" w:type="auto"/>
          </w:tcPr>
          <w:p w14:paraId="09C23BDB" w14:textId="77777777" w:rsidR="00BF5342" w:rsidRPr="00F82447" w:rsidRDefault="00BF5342" w:rsidP="00BF5342">
            <w:pPr>
              <w:rPr>
                <w:sz w:val="24"/>
                <w:szCs w:val="24"/>
              </w:rPr>
            </w:pPr>
            <w:r w:rsidRPr="00F82447">
              <w:rPr>
                <w:sz w:val="24"/>
                <w:szCs w:val="24"/>
              </w:rPr>
              <w:t xml:space="preserve">Use an average of </w:t>
            </w:r>
            <w:r w:rsidRPr="00F82447">
              <w:rPr>
                <w:b/>
                <w:bCs/>
                <w:sz w:val="24"/>
                <w:szCs w:val="24"/>
              </w:rPr>
              <w:t>4.1 hours per week</w:t>
            </w:r>
            <w:r w:rsidRPr="00F82447">
              <w:rPr>
                <w:sz w:val="24"/>
                <w:szCs w:val="24"/>
              </w:rPr>
              <w:t xml:space="preserve"> of individual social and community participation supports</w:t>
            </w:r>
          </w:p>
        </w:tc>
      </w:tr>
      <w:tr w:rsidR="00BF5342" w:rsidRPr="00073E59" w14:paraId="777D41F7" w14:textId="77777777" w:rsidTr="00BF5342">
        <w:tc>
          <w:tcPr>
            <w:tcW w:w="0" w:type="auto"/>
          </w:tcPr>
          <w:p w14:paraId="51F17D18" w14:textId="77777777" w:rsidR="00BF5342" w:rsidRPr="00F82447" w:rsidRDefault="00BF5342" w:rsidP="00BF5342">
            <w:pPr>
              <w:rPr>
                <w:sz w:val="24"/>
                <w:szCs w:val="24"/>
              </w:rPr>
            </w:pPr>
            <w:r w:rsidRPr="00F82447">
              <w:rPr>
                <w:bCs/>
                <w:sz w:val="24"/>
                <w:szCs w:val="24"/>
              </w:rPr>
              <w:lastRenderedPageBreak/>
              <w:t>Does not have NDIS plan</w:t>
            </w:r>
          </w:p>
        </w:tc>
        <w:tc>
          <w:tcPr>
            <w:tcW w:w="0" w:type="auto"/>
          </w:tcPr>
          <w:p w14:paraId="3858E1DA" w14:textId="77777777" w:rsidR="00BF5342" w:rsidRPr="00F82447" w:rsidRDefault="00BF5342" w:rsidP="00BF5342">
            <w:pPr>
              <w:rPr>
                <w:sz w:val="24"/>
                <w:szCs w:val="24"/>
              </w:rPr>
            </w:pPr>
            <w:r w:rsidRPr="00F82447">
              <w:rPr>
                <w:sz w:val="24"/>
                <w:szCs w:val="24"/>
              </w:rPr>
              <w:t>All outcomes</w:t>
            </w:r>
          </w:p>
        </w:tc>
        <w:tc>
          <w:tcPr>
            <w:tcW w:w="0" w:type="auto"/>
          </w:tcPr>
          <w:p w14:paraId="44DD43C2" w14:textId="77777777" w:rsidR="00BF5342" w:rsidRPr="00F82447" w:rsidRDefault="00BF5342" w:rsidP="00BF5342">
            <w:pPr>
              <w:rPr>
                <w:sz w:val="24"/>
                <w:szCs w:val="24"/>
              </w:rPr>
            </w:pPr>
            <w:r w:rsidRPr="00F82447">
              <w:rPr>
                <w:sz w:val="24"/>
                <w:szCs w:val="24"/>
              </w:rPr>
              <w:t>None</w:t>
            </w:r>
          </w:p>
        </w:tc>
      </w:tr>
    </w:tbl>
    <w:p w14:paraId="1B588E6E" w14:textId="77777777" w:rsidR="00670BE9" w:rsidRDefault="00670BE9" w:rsidP="00D56A09">
      <w:pPr>
        <w:pStyle w:val="NoSpacing"/>
      </w:pPr>
    </w:p>
    <w:p w14:paraId="2F5CC271" w14:textId="77777777" w:rsidR="00AD2338" w:rsidRPr="00F82447" w:rsidRDefault="00383F92" w:rsidP="00D56A09">
      <w:pPr>
        <w:pStyle w:val="NoSpacing"/>
        <w:rPr>
          <w:sz w:val="24"/>
          <w:szCs w:val="24"/>
        </w:rPr>
      </w:pPr>
      <w:r w:rsidRPr="00F82447">
        <w:rPr>
          <w:sz w:val="24"/>
          <w:szCs w:val="24"/>
        </w:rPr>
        <w:t xml:space="preserve">The cost savings are dependent on the assumptions outlined above, so we have included a sensitivity test at the end of this section that test </w:t>
      </w:r>
      <w:r w:rsidR="002033DA" w:rsidRPr="00F82447">
        <w:rPr>
          <w:sz w:val="24"/>
          <w:szCs w:val="24"/>
        </w:rPr>
        <w:t xml:space="preserve">the </w:t>
      </w:r>
      <w:r w:rsidRPr="00F82447">
        <w:rPr>
          <w:sz w:val="24"/>
          <w:szCs w:val="24"/>
        </w:rPr>
        <w:t xml:space="preserve">revised assumption that those who are employed or go out as often as desired use only 10% </w:t>
      </w:r>
      <w:r w:rsidR="00AD2338" w:rsidRPr="00F82447">
        <w:rPr>
          <w:sz w:val="24"/>
          <w:szCs w:val="24"/>
        </w:rPr>
        <w:t xml:space="preserve">fewer NDIS supports. </w:t>
      </w:r>
    </w:p>
    <w:p w14:paraId="149C3089" w14:textId="77777777" w:rsidR="00837C4A" w:rsidRPr="00F82447" w:rsidRDefault="00AD2338" w:rsidP="00D56A09">
      <w:pPr>
        <w:pStyle w:val="NoSpacing"/>
        <w:rPr>
          <w:sz w:val="24"/>
          <w:szCs w:val="24"/>
        </w:rPr>
      </w:pPr>
      <w:r w:rsidRPr="00F82447">
        <w:rPr>
          <w:sz w:val="24"/>
          <w:szCs w:val="24"/>
        </w:rPr>
        <w:t>Other</w:t>
      </w:r>
      <w:r w:rsidR="00837C4A" w:rsidRPr="00F82447">
        <w:rPr>
          <w:sz w:val="24"/>
          <w:szCs w:val="24"/>
        </w:rPr>
        <w:t xml:space="preserve"> assumptions underlying the income changes for this group are as follows:</w:t>
      </w:r>
    </w:p>
    <w:tbl>
      <w:tblPr>
        <w:tblStyle w:val="ListTable3-Accent2"/>
        <w:tblW w:w="9039" w:type="dxa"/>
        <w:tblLook w:val="04A0" w:firstRow="1" w:lastRow="0" w:firstColumn="1" w:lastColumn="0" w:noHBand="0" w:noVBand="1"/>
        <w:tblDescription w:val="Group all- assumption 54% of participants had an NDIS plan that includes group or individual community supports. Source 39% of the repsondents to the Ticket to Work survey had an NDIS plan, 30% did not, 31% did not repsond or were unsure. Percentage calcualated from those who knew their NDIS plan status. (The NDIS was still in its rollout phase during 2018, when that data was being collected. It’s reasonable to assume that the proportion of participants with an NDIS plan would be higher in the future)"/>
      </w:tblPr>
      <w:tblGrid>
        <w:gridCol w:w="1987"/>
        <w:gridCol w:w="4032"/>
        <w:gridCol w:w="3020"/>
      </w:tblGrid>
      <w:tr w:rsidR="00837C4A" w:rsidRPr="00F82447" w14:paraId="29628970" w14:textId="77777777" w:rsidTr="006C4FFC">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1987" w:type="dxa"/>
          </w:tcPr>
          <w:p w14:paraId="46FEB62F" w14:textId="77777777" w:rsidR="00837C4A" w:rsidRPr="00F82447" w:rsidRDefault="00837C4A" w:rsidP="00855673">
            <w:pPr>
              <w:pStyle w:val="Bulletedlist"/>
            </w:pPr>
            <w:r w:rsidRPr="00F82447">
              <w:t>Group</w:t>
            </w:r>
          </w:p>
        </w:tc>
        <w:tc>
          <w:tcPr>
            <w:tcW w:w="4032" w:type="dxa"/>
          </w:tcPr>
          <w:p w14:paraId="34A00EAE" w14:textId="77777777" w:rsidR="00837C4A" w:rsidRPr="00F82447" w:rsidRDefault="00837C4A" w:rsidP="00855673">
            <w:pPr>
              <w:pStyle w:val="Bulletedlist"/>
              <w:cnfStyle w:val="100000000000" w:firstRow="1" w:lastRow="0" w:firstColumn="0" w:lastColumn="0" w:oddVBand="0" w:evenVBand="0" w:oddHBand="0" w:evenHBand="0" w:firstRowFirstColumn="0" w:firstRowLastColumn="0" w:lastRowFirstColumn="0" w:lastRowLastColumn="0"/>
            </w:pPr>
            <w:r w:rsidRPr="00F82447">
              <w:t>Assumption</w:t>
            </w:r>
          </w:p>
        </w:tc>
        <w:tc>
          <w:tcPr>
            <w:tcW w:w="3020" w:type="dxa"/>
          </w:tcPr>
          <w:p w14:paraId="7B5FE85F" w14:textId="77777777" w:rsidR="00837C4A" w:rsidRPr="00F82447" w:rsidRDefault="00837C4A" w:rsidP="00855673">
            <w:pPr>
              <w:pStyle w:val="Bulletedlist"/>
              <w:cnfStyle w:val="100000000000" w:firstRow="1" w:lastRow="0" w:firstColumn="0" w:lastColumn="0" w:oddVBand="0" w:evenVBand="0" w:oddHBand="0" w:evenHBand="0" w:firstRowFirstColumn="0" w:firstRowLastColumn="0" w:lastRowFirstColumn="0" w:lastRowLastColumn="0"/>
            </w:pPr>
            <w:r w:rsidRPr="00F82447">
              <w:t>Source</w:t>
            </w:r>
          </w:p>
        </w:tc>
      </w:tr>
      <w:tr w:rsidR="00837C4A" w:rsidRPr="00F82447" w14:paraId="4FB5E9C0" w14:textId="77777777" w:rsidTr="000F4B8B">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1987" w:type="dxa"/>
          </w:tcPr>
          <w:p w14:paraId="443F4A28" w14:textId="77777777" w:rsidR="00837C4A" w:rsidRPr="00F82447" w:rsidRDefault="00837C4A" w:rsidP="00855673">
            <w:pPr>
              <w:pStyle w:val="Bulletedlist"/>
            </w:pPr>
            <w:r w:rsidRPr="00F82447">
              <w:t>All</w:t>
            </w:r>
          </w:p>
        </w:tc>
        <w:tc>
          <w:tcPr>
            <w:tcW w:w="4032" w:type="dxa"/>
          </w:tcPr>
          <w:p w14:paraId="4B0CAA69" w14:textId="77777777" w:rsidR="00837C4A" w:rsidRPr="00F82447" w:rsidRDefault="00837C4A" w:rsidP="000F4B8B">
            <w:pPr>
              <w:pStyle w:val="Tablebullets"/>
              <w:cnfStyle w:val="000000100000" w:firstRow="0" w:lastRow="0" w:firstColumn="0" w:lastColumn="0" w:oddVBand="0" w:evenVBand="0" w:oddHBand="1" w:evenHBand="0" w:firstRowFirstColumn="0" w:firstRowLastColumn="0" w:lastRowFirstColumn="0" w:lastRowLastColumn="0"/>
              <w:rPr>
                <w:sz w:val="24"/>
                <w:szCs w:val="24"/>
              </w:rPr>
            </w:pPr>
            <w:r w:rsidRPr="00F82447">
              <w:rPr>
                <w:sz w:val="24"/>
                <w:szCs w:val="24"/>
              </w:rPr>
              <w:t>54% of participants had an NDIS plan that includes group or individual community supports</w:t>
            </w:r>
          </w:p>
        </w:tc>
        <w:tc>
          <w:tcPr>
            <w:tcW w:w="3020" w:type="dxa"/>
          </w:tcPr>
          <w:p w14:paraId="3FF25BBB" w14:textId="77777777" w:rsidR="00837C4A" w:rsidRPr="00F82447" w:rsidRDefault="00837C4A" w:rsidP="00095121">
            <w:pPr>
              <w:pStyle w:val="Tablebullets"/>
              <w:cnfStyle w:val="000000100000" w:firstRow="0" w:lastRow="0" w:firstColumn="0" w:lastColumn="0" w:oddVBand="0" w:evenVBand="0" w:oddHBand="1" w:evenHBand="0" w:firstRowFirstColumn="0" w:firstRowLastColumn="0" w:lastRowFirstColumn="0" w:lastRowLastColumn="0"/>
              <w:rPr>
                <w:sz w:val="24"/>
                <w:szCs w:val="24"/>
              </w:rPr>
            </w:pPr>
            <w:r w:rsidRPr="00F82447">
              <w:rPr>
                <w:sz w:val="24"/>
                <w:szCs w:val="24"/>
              </w:rPr>
              <w:t>39% of the respondents to the Ticket to Work survey had an NDIS plan, 30% did not, and 31% did not respond or were unsure.</w:t>
            </w:r>
            <w:r w:rsidR="00A83BA8" w:rsidRPr="00F82447">
              <w:rPr>
                <w:sz w:val="24"/>
                <w:szCs w:val="24"/>
              </w:rPr>
              <w:t xml:space="preserve"> Percentage calculated from those who knew their NDIS plan status</w:t>
            </w:r>
            <w:r w:rsidR="00095121" w:rsidRPr="00F82447">
              <w:rPr>
                <w:sz w:val="24"/>
                <w:szCs w:val="24"/>
              </w:rPr>
              <w:t>. (The NDIS was still in its rollout phase during 2018, when that data was being collected. It’s reasonable to assume that the proportion of participants with an NDIS plan would be higher in the future)</w:t>
            </w:r>
          </w:p>
        </w:tc>
      </w:tr>
    </w:tbl>
    <w:p w14:paraId="10D55C45" w14:textId="77777777" w:rsidR="00837C4A" w:rsidRPr="00F82447" w:rsidRDefault="00837C4A" w:rsidP="00837C4A">
      <w:pPr>
        <w:rPr>
          <w:sz w:val="24"/>
          <w:szCs w:val="24"/>
        </w:rPr>
      </w:pPr>
    </w:p>
    <w:p w14:paraId="64417DA9" w14:textId="77777777" w:rsidR="00855673" w:rsidRDefault="00855673">
      <w:pPr>
        <w:rPr>
          <w:b/>
          <w:sz w:val="28"/>
          <w:szCs w:val="28"/>
        </w:rPr>
      </w:pPr>
      <w:r>
        <w:rPr>
          <w:b/>
          <w:sz w:val="28"/>
          <w:szCs w:val="28"/>
        </w:rPr>
        <w:br w:type="page"/>
      </w:r>
    </w:p>
    <w:p w14:paraId="3F7E97E2" w14:textId="77777777" w:rsidR="00522DB7" w:rsidRPr="00F82447" w:rsidRDefault="00A56E07" w:rsidP="00522DB7">
      <w:pPr>
        <w:rPr>
          <w:sz w:val="28"/>
          <w:szCs w:val="28"/>
        </w:rPr>
      </w:pPr>
      <w:r w:rsidRPr="00F82447">
        <w:rPr>
          <w:b/>
          <w:sz w:val="28"/>
          <w:szCs w:val="28"/>
        </w:rPr>
        <w:lastRenderedPageBreak/>
        <w:t xml:space="preserve">Long Term Outcome </w:t>
      </w:r>
      <w:r w:rsidR="00522DB7" w:rsidRPr="00F82447">
        <w:rPr>
          <w:b/>
          <w:sz w:val="28"/>
          <w:szCs w:val="28"/>
        </w:rPr>
        <w:t>6. How many T</w:t>
      </w:r>
      <w:r w:rsidR="00A14F01" w:rsidRPr="00F82447">
        <w:rPr>
          <w:b/>
          <w:sz w:val="28"/>
          <w:szCs w:val="28"/>
        </w:rPr>
        <w:t>icket to Work</w:t>
      </w:r>
      <w:r w:rsidR="00522DB7" w:rsidRPr="00F82447">
        <w:rPr>
          <w:b/>
          <w:sz w:val="28"/>
          <w:szCs w:val="28"/>
        </w:rPr>
        <w:t xml:space="preserve"> participants experienced those outcomes, compared to what we would expect to see in a comparable group?</w:t>
      </w:r>
    </w:p>
    <w:p w14:paraId="76958A9F" w14:textId="77777777" w:rsidR="00837C4A" w:rsidRPr="00F82447" w:rsidRDefault="00837C4A" w:rsidP="00837C4A">
      <w:pPr>
        <w:rPr>
          <w:b/>
          <w:sz w:val="24"/>
          <w:szCs w:val="24"/>
        </w:rPr>
      </w:pPr>
      <w:r w:rsidRPr="00F82447">
        <w:rPr>
          <w:b/>
          <w:sz w:val="24"/>
          <w:szCs w:val="24"/>
        </w:rPr>
        <w:t>Group Supports</w:t>
      </w:r>
    </w:p>
    <w:p w14:paraId="61F3E793" w14:textId="77777777" w:rsidR="00837C4A" w:rsidRPr="00F82447" w:rsidRDefault="00837C4A" w:rsidP="00837C4A">
      <w:pPr>
        <w:rPr>
          <w:sz w:val="24"/>
          <w:szCs w:val="24"/>
        </w:rPr>
      </w:pPr>
      <w:r w:rsidRPr="00F82447">
        <w:rPr>
          <w:sz w:val="24"/>
          <w:szCs w:val="24"/>
        </w:rPr>
        <w:t>We assume that the reduction in the use of group-based community and individual supports is based on whether participants are taking part in education, employment or training. As shown in</w:t>
      </w:r>
      <w:r w:rsidR="00A80EDF" w:rsidRPr="00F82447">
        <w:rPr>
          <w:sz w:val="24"/>
          <w:szCs w:val="24"/>
        </w:rPr>
        <w:t xml:space="preserve"> </w:t>
      </w:r>
      <w:r w:rsidR="00A80EDF" w:rsidRPr="00F82447">
        <w:rPr>
          <w:sz w:val="24"/>
          <w:szCs w:val="24"/>
        </w:rPr>
        <w:fldChar w:fldCharType="begin"/>
      </w:r>
      <w:r w:rsidR="00A80EDF" w:rsidRPr="00F82447">
        <w:rPr>
          <w:sz w:val="24"/>
          <w:szCs w:val="24"/>
        </w:rPr>
        <w:instrText xml:space="preserve"> REF _Ref18957179 \h </w:instrText>
      </w:r>
      <w:r w:rsidR="00F82447" w:rsidRPr="00F82447">
        <w:rPr>
          <w:sz w:val="24"/>
          <w:szCs w:val="24"/>
        </w:rPr>
        <w:instrText xml:space="preserve"> \* MERGEFORMAT </w:instrText>
      </w:r>
      <w:r w:rsidR="00A80EDF" w:rsidRPr="00F82447">
        <w:rPr>
          <w:sz w:val="24"/>
          <w:szCs w:val="24"/>
        </w:rPr>
      </w:r>
      <w:r w:rsidR="00A80EDF" w:rsidRPr="00F82447">
        <w:rPr>
          <w:sz w:val="24"/>
          <w:szCs w:val="24"/>
        </w:rPr>
        <w:fldChar w:fldCharType="separate"/>
      </w:r>
      <w:r w:rsidR="00A80EDF" w:rsidRPr="00F82447">
        <w:rPr>
          <w:sz w:val="24"/>
          <w:szCs w:val="24"/>
        </w:rPr>
        <w:t xml:space="preserve">Figure </w:t>
      </w:r>
      <w:r w:rsidR="00A80EDF" w:rsidRPr="00F82447">
        <w:rPr>
          <w:noProof/>
          <w:sz w:val="24"/>
          <w:szCs w:val="24"/>
        </w:rPr>
        <w:t>12</w:t>
      </w:r>
      <w:r w:rsidR="00A80EDF" w:rsidRPr="00F82447">
        <w:rPr>
          <w:sz w:val="24"/>
          <w:szCs w:val="24"/>
        </w:rPr>
        <w:fldChar w:fldCharType="end"/>
      </w:r>
      <w:r w:rsidR="00A80EDF" w:rsidRPr="00F82447">
        <w:rPr>
          <w:sz w:val="24"/>
          <w:szCs w:val="24"/>
        </w:rPr>
        <w:t xml:space="preserve"> </w:t>
      </w:r>
      <w:r w:rsidRPr="00F82447">
        <w:rPr>
          <w:sz w:val="24"/>
          <w:szCs w:val="24"/>
        </w:rPr>
        <w:t xml:space="preserve">below, 2316 Ticket to Work were engaged in these activities, compared to 1479 </w:t>
      </w:r>
      <w:r w:rsidR="00EC425A" w:rsidRPr="00F82447">
        <w:rPr>
          <w:sz w:val="24"/>
          <w:szCs w:val="24"/>
        </w:rPr>
        <w:t xml:space="preserve">in the business as usual scenario. </w:t>
      </w:r>
    </w:p>
    <w:p w14:paraId="6507EF4E" w14:textId="77777777" w:rsidR="00837C4A" w:rsidRDefault="004A4391" w:rsidP="00837C4A">
      <w:pPr>
        <w:pStyle w:val="NoSpacing"/>
        <w:keepNext/>
      </w:pPr>
      <w:r>
        <w:rPr>
          <w:noProof/>
          <w:lang w:eastAsia="en-AU"/>
        </w:rPr>
        <w:drawing>
          <wp:inline distT="0" distB="0" distL="0" distR="0" wp14:anchorId="7708EEB9" wp14:editId="2CBB1DA7">
            <wp:extent cx="5546071" cy="3030640"/>
            <wp:effectExtent l="0" t="0" r="0" b="0"/>
            <wp:docPr id="26" name="Picture 26" descr="There is 3216 participants in total for this scenario. Ticket to Work scenario 2316 in employment, education, training compared to 1479 in business as usual. Ticket to work scenario 900 not in employment, education or training compared to 1737 in business as usual. Ticket to work scenario 1335 working only compared to 739 business as usual. Ticket to work scenario 724 working and studying compared to 322 business as usual. Ticket to work scenario 247 studying only compared to 418 business as usu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77423" cy="3047772"/>
                    </a:xfrm>
                    <a:prstGeom prst="rect">
                      <a:avLst/>
                    </a:prstGeom>
                    <a:noFill/>
                  </pic:spPr>
                </pic:pic>
              </a:graphicData>
            </a:graphic>
          </wp:inline>
        </w:drawing>
      </w:r>
    </w:p>
    <w:p w14:paraId="7C747BAB" w14:textId="77777777" w:rsidR="00837C4A" w:rsidRPr="00855673" w:rsidRDefault="00837C4A" w:rsidP="00837C4A">
      <w:pPr>
        <w:pStyle w:val="Caption"/>
        <w:rPr>
          <w:i w:val="0"/>
          <w:color w:val="auto"/>
          <w:sz w:val="24"/>
          <w:szCs w:val="24"/>
        </w:rPr>
      </w:pPr>
      <w:bookmarkStart w:id="17" w:name="_Ref18957179"/>
      <w:r w:rsidRPr="00855673">
        <w:rPr>
          <w:i w:val="0"/>
          <w:color w:val="auto"/>
          <w:sz w:val="24"/>
          <w:szCs w:val="24"/>
        </w:rPr>
        <w:t xml:space="preserve">Figure </w:t>
      </w:r>
      <w:r w:rsidR="00A37DAD" w:rsidRPr="00855673">
        <w:rPr>
          <w:i w:val="0"/>
          <w:color w:val="auto"/>
          <w:sz w:val="24"/>
          <w:szCs w:val="24"/>
        </w:rPr>
        <w:fldChar w:fldCharType="begin"/>
      </w:r>
      <w:r w:rsidR="00A37DAD" w:rsidRPr="00855673">
        <w:rPr>
          <w:i w:val="0"/>
          <w:color w:val="auto"/>
          <w:sz w:val="24"/>
          <w:szCs w:val="24"/>
        </w:rPr>
        <w:instrText xml:space="preserve"> SEQ Figure \* ARABIC </w:instrText>
      </w:r>
      <w:r w:rsidR="00A37DAD" w:rsidRPr="00855673">
        <w:rPr>
          <w:i w:val="0"/>
          <w:color w:val="auto"/>
          <w:sz w:val="24"/>
          <w:szCs w:val="24"/>
        </w:rPr>
        <w:fldChar w:fldCharType="separate"/>
      </w:r>
      <w:r w:rsidR="004912C4" w:rsidRPr="00855673">
        <w:rPr>
          <w:i w:val="0"/>
          <w:noProof/>
          <w:color w:val="auto"/>
          <w:sz w:val="24"/>
          <w:szCs w:val="24"/>
        </w:rPr>
        <w:t>12</w:t>
      </w:r>
      <w:r w:rsidR="00A37DAD" w:rsidRPr="00855673">
        <w:rPr>
          <w:i w:val="0"/>
          <w:noProof/>
          <w:color w:val="auto"/>
          <w:sz w:val="24"/>
          <w:szCs w:val="24"/>
        </w:rPr>
        <w:fldChar w:fldCharType="end"/>
      </w:r>
      <w:bookmarkEnd w:id="17"/>
      <w:r w:rsidRPr="00855673">
        <w:rPr>
          <w:i w:val="0"/>
          <w:color w:val="auto"/>
          <w:sz w:val="24"/>
          <w:szCs w:val="24"/>
        </w:rPr>
        <w:t>: Ticket to Work Scenario comparison for employment outcomes</w:t>
      </w:r>
    </w:p>
    <w:p w14:paraId="1BB94463" w14:textId="77777777" w:rsidR="00837C4A" w:rsidRPr="00F82447" w:rsidRDefault="00837C4A" w:rsidP="00837C4A">
      <w:pPr>
        <w:rPr>
          <w:b/>
          <w:sz w:val="28"/>
          <w:szCs w:val="28"/>
        </w:rPr>
      </w:pPr>
      <w:r w:rsidRPr="00F82447">
        <w:rPr>
          <w:b/>
          <w:sz w:val="28"/>
          <w:szCs w:val="28"/>
        </w:rPr>
        <w:t>Individual supports</w:t>
      </w:r>
    </w:p>
    <w:p w14:paraId="2D8147C8" w14:textId="77777777" w:rsidR="00855673" w:rsidRDefault="00837C4A" w:rsidP="00837C4A">
      <w:pPr>
        <w:rPr>
          <w:sz w:val="24"/>
          <w:szCs w:val="24"/>
        </w:rPr>
      </w:pPr>
      <w:r w:rsidRPr="00F82447">
        <w:rPr>
          <w:sz w:val="24"/>
          <w:szCs w:val="24"/>
        </w:rPr>
        <w:t>We assume that individual support usage is driven by the person with disability’s sense of independence: if they feel more independent they are less likely to access NDIS supports to meet their social needs. About 2669 Ticket to Work participants feel a sense of independence (measured by going out as often as desired), compared to the comparison scenario in which 2090 people feel the same.</w:t>
      </w:r>
    </w:p>
    <w:p w14:paraId="53AB97E0" w14:textId="77777777" w:rsidR="00855673" w:rsidRDefault="00855673">
      <w:pPr>
        <w:rPr>
          <w:sz w:val="24"/>
          <w:szCs w:val="24"/>
        </w:rPr>
      </w:pPr>
      <w:r>
        <w:rPr>
          <w:sz w:val="24"/>
          <w:szCs w:val="24"/>
        </w:rPr>
        <w:br w:type="page"/>
      </w:r>
    </w:p>
    <w:p w14:paraId="78EE4C81" w14:textId="77777777" w:rsidR="00837C4A" w:rsidRDefault="00837C4A" w:rsidP="00837C4A">
      <w:r>
        <w:lastRenderedPageBreak/>
        <w:t xml:space="preserve"> </w:t>
      </w:r>
    </w:p>
    <w:p w14:paraId="68F9F2C9" w14:textId="77777777" w:rsidR="00F82447" w:rsidRPr="00F82447" w:rsidRDefault="00F82447" w:rsidP="00F82447">
      <w:pPr>
        <w:rPr>
          <w:sz w:val="28"/>
          <w:szCs w:val="28"/>
        </w:rPr>
      </w:pPr>
      <w:r w:rsidRPr="00F82447">
        <w:rPr>
          <w:b/>
          <w:sz w:val="28"/>
          <w:szCs w:val="28"/>
        </w:rPr>
        <w:t>Long Term Outcome 6. Calculate the additional benefit generated by Ticket to Work</w:t>
      </w:r>
    </w:p>
    <w:p w14:paraId="57E40806" w14:textId="77777777" w:rsidR="00837C4A" w:rsidRDefault="00EC6103" w:rsidP="00837C4A">
      <w:r>
        <w:rPr>
          <w:noProof/>
          <w:lang w:eastAsia="en-AU"/>
        </w:rPr>
        <w:drawing>
          <wp:inline distT="0" distB="0" distL="0" distR="0" wp14:anchorId="216D5F9E" wp14:editId="7BFA02F7">
            <wp:extent cx="5638800" cy="2819400"/>
            <wp:effectExtent l="0" t="0" r="0" b="0"/>
            <wp:docPr id="27" name="Picture 27" descr="3216 participants that start. Ticket to work scenario 2669 go out as often as desired compared to 2090 in business as usual. Ticket to work scenario 547 go out but not as often as desired compared to 1126 in business as usu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39426" cy="2819713"/>
                    </a:xfrm>
                    <a:prstGeom prst="rect">
                      <a:avLst/>
                    </a:prstGeom>
                    <a:noFill/>
                  </pic:spPr>
                </pic:pic>
              </a:graphicData>
            </a:graphic>
          </wp:inline>
        </w:drawing>
      </w:r>
    </w:p>
    <w:p w14:paraId="6214A372" w14:textId="77777777" w:rsidR="00837C4A" w:rsidRPr="003E2436" w:rsidRDefault="00837C4A" w:rsidP="00837C4A">
      <w:pPr>
        <w:pStyle w:val="Caption"/>
        <w:rPr>
          <w:i w:val="0"/>
          <w:color w:val="auto"/>
          <w:sz w:val="24"/>
          <w:szCs w:val="24"/>
        </w:rPr>
      </w:pPr>
      <w:r w:rsidRPr="003E2436">
        <w:rPr>
          <w:i w:val="0"/>
          <w:color w:val="auto"/>
          <w:sz w:val="24"/>
          <w:szCs w:val="24"/>
        </w:rPr>
        <w:t xml:space="preserve">Figure </w:t>
      </w:r>
      <w:r w:rsidR="00A37DAD" w:rsidRPr="003E2436">
        <w:rPr>
          <w:i w:val="0"/>
          <w:color w:val="auto"/>
          <w:sz w:val="24"/>
          <w:szCs w:val="24"/>
        </w:rPr>
        <w:fldChar w:fldCharType="begin"/>
      </w:r>
      <w:r w:rsidR="00A37DAD" w:rsidRPr="003E2436">
        <w:rPr>
          <w:i w:val="0"/>
          <w:color w:val="auto"/>
          <w:sz w:val="24"/>
          <w:szCs w:val="24"/>
        </w:rPr>
        <w:instrText xml:space="preserve"> SEQ Figure \* ARABIC </w:instrText>
      </w:r>
      <w:r w:rsidR="00A37DAD" w:rsidRPr="003E2436">
        <w:rPr>
          <w:i w:val="0"/>
          <w:color w:val="auto"/>
          <w:sz w:val="24"/>
          <w:szCs w:val="24"/>
        </w:rPr>
        <w:fldChar w:fldCharType="separate"/>
      </w:r>
      <w:r w:rsidR="004912C4" w:rsidRPr="003E2436">
        <w:rPr>
          <w:i w:val="0"/>
          <w:noProof/>
          <w:color w:val="auto"/>
          <w:sz w:val="24"/>
          <w:szCs w:val="24"/>
        </w:rPr>
        <w:t>13</w:t>
      </w:r>
      <w:r w:rsidR="00A37DAD" w:rsidRPr="003E2436">
        <w:rPr>
          <w:i w:val="0"/>
          <w:noProof/>
          <w:color w:val="auto"/>
          <w:sz w:val="24"/>
          <w:szCs w:val="24"/>
        </w:rPr>
        <w:fldChar w:fldCharType="end"/>
      </w:r>
      <w:r w:rsidRPr="003E2436">
        <w:rPr>
          <w:i w:val="0"/>
          <w:color w:val="auto"/>
          <w:sz w:val="24"/>
          <w:szCs w:val="24"/>
        </w:rPr>
        <w:t>: Ticket to Work Scenario comparison for independence outcomes</w:t>
      </w:r>
    </w:p>
    <w:p w14:paraId="4CCF4160" w14:textId="77777777" w:rsidR="003E2436" w:rsidRDefault="00135272" w:rsidP="00A8404D">
      <w:pPr>
        <w:rPr>
          <w:sz w:val="24"/>
          <w:szCs w:val="24"/>
        </w:rPr>
      </w:pPr>
      <w:r w:rsidRPr="003E2436">
        <w:rPr>
          <w:b/>
          <w:bCs/>
          <w:sz w:val="24"/>
          <w:szCs w:val="24"/>
        </w:rPr>
        <w:t xml:space="preserve">How much NDIS support </w:t>
      </w:r>
      <w:r w:rsidR="00216486" w:rsidRPr="003E2436">
        <w:rPr>
          <w:b/>
          <w:bCs/>
          <w:sz w:val="24"/>
          <w:szCs w:val="24"/>
        </w:rPr>
        <w:t>d</w:t>
      </w:r>
      <w:r w:rsidRPr="003E2436">
        <w:rPr>
          <w:b/>
          <w:bCs/>
          <w:sz w:val="24"/>
          <w:szCs w:val="24"/>
        </w:rPr>
        <w:t>o participants receive:</w:t>
      </w:r>
      <w:r w:rsidRPr="003E2436">
        <w:rPr>
          <w:sz w:val="24"/>
          <w:szCs w:val="24"/>
        </w:rPr>
        <w:t xml:space="preserve"> </w:t>
      </w:r>
      <w:r w:rsidR="0030795B" w:rsidRPr="003E2436">
        <w:rPr>
          <w:sz w:val="24"/>
          <w:szCs w:val="24"/>
        </w:rPr>
        <w:t xml:space="preserve">To understand the impact on individual and group community participation supports, we first need to know how much of these supports NDIS recipients are accessing. </w:t>
      </w:r>
      <w:r w:rsidR="00A8404D" w:rsidRPr="003E2436">
        <w:rPr>
          <w:sz w:val="24"/>
          <w:szCs w:val="24"/>
        </w:rPr>
        <w:t>Whilst the NDIA does not publish average amounts of support by support categories, it has previously reported</w:t>
      </w:r>
      <w:r w:rsidR="008E3F6F" w:rsidRPr="003E2436">
        <w:rPr>
          <w:sz w:val="24"/>
          <w:szCs w:val="24"/>
        </w:rPr>
        <w:t xml:space="preserve"> in the NDIS 1st quarterly report to the COAG Disability Reform Council: 2016-17 Q1 at figure 2.11</w:t>
      </w:r>
      <w:r w:rsidR="0079702C" w:rsidRPr="003E2436">
        <w:rPr>
          <w:sz w:val="24"/>
          <w:szCs w:val="24"/>
        </w:rPr>
        <w:t xml:space="preserve"> at </w:t>
      </w:r>
      <w:hyperlink r:id="rId38" w:history="1">
        <w:r w:rsidR="0079702C" w:rsidRPr="003E2436">
          <w:rPr>
            <w:rStyle w:val="Hyperlink"/>
            <w:sz w:val="24"/>
            <w:szCs w:val="24"/>
          </w:rPr>
          <w:t>National Disability Insurance Scheme</w:t>
        </w:r>
      </w:hyperlink>
      <w:r w:rsidR="0079702C" w:rsidRPr="003E2436">
        <w:rPr>
          <w:sz w:val="24"/>
          <w:szCs w:val="24"/>
        </w:rPr>
        <w:t xml:space="preserve"> </w:t>
      </w:r>
      <w:r w:rsidR="00A8404D" w:rsidRPr="003E2436">
        <w:rPr>
          <w:sz w:val="24"/>
          <w:szCs w:val="24"/>
        </w:rPr>
        <w:t>that 18.5% of committed supports are for core community supports and social/civic participation supports. The average plan value for a person with intellectual disability is about $95,000, implying that average community participation supports may be approximately $17,</w:t>
      </w:r>
      <w:r w:rsidR="00DC545E" w:rsidRPr="003E2436">
        <w:rPr>
          <w:sz w:val="24"/>
          <w:szCs w:val="24"/>
        </w:rPr>
        <w:t>575</w:t>
      </w:r>
      <w:r w:rsidR="00A8404D" w:rsidRPr="003E2436">
        <w:rPr>
          <w:sz w:val="24"/>
          <w:szCs w:val="24"/>
        </w:rPr>
        <w:t xml:space="preserve"> </w:t>
      </w:r>
      <w:r w:rsidR="008E3F6F" w:rsidRPr="003E2436">
        <w:rPr>
          <w:sz w:val="24"/>
          <w:szCs w:val="24"/>
        </w:rPr>
        <w:t>this</w:t>
      </w:r>
      <w:r w:rsidR="00A8404D" w:rsidRPr="003E2436">
        <w:rPr>
          <w:sz w:val="24"/>
          <w:szCs w:val="24"/>
        </w:rPr>
        <w:t xml:space="preserve"> estimate could be improved with m</w:t>
      </w:r>
      <w:r w:rsidR="008E3F6F" w:rsidRPr="003E2436">
        <w:rPr>
          <w:sz w:val="24"/>
          <w:szCs w:val="24"/>
        </w:rPr>
        <w:t xml:space="preserve">ore granular data from the NDIS. (NDIS National Dashboard as at 30 June 2019 at p9 </w:t>
      </w:r>
      <w:r w:rsidR="00A27852" w:rsidRPr="003E2436">
        <w:rPr>
          <w:sz w:val="24"/>
          <w:szCs w:val="24"/>
        </w:rPr>
        <w:t>at</w:t>
      </w:r>
      <w:hyperlink w:history="1">
        <w:r w:rsidR="003E2436" w:rsidRPr="002C3F39">
          <w:rPr>
            <w:rStyle w:val="Hyperlink"/>
            <w:sz w:val="24"/>
            <w:szCs w:val="24"/>
          </w:rPr>
          <w:t xml:space="preserve"> www.NationalDisabilityInsuranceScheme.gov.au</w:t>
        </w:r>
      </w:hyperlink>
      <w:r w:rsidR="00A27852" w:rsidRPr="003E2436">
        <w:rPr>
          <w:sz w:val="24"/>
          <w:szCs w:val="24"/>
        </w:rPr>
        <w:t xml:space="preserve"> </w:t>
      </w:r>
    </w:p>
    <w:p w14:paraId="460BEE78" w14:textId="77777777" w:rsidR="00A8404D" w:rsidRPr="003E2436" w:rsidRDefault="00FB1059" w:rsidP="00A8404D">
      <w:pPr>
        <w:rPr>
          <w:sz w:val="24"/>
          <w:szCs w:val="24"/>
        </w:rPr>
      </w:pPr>
      <w:r w:rsidRPr="003E2436">
        <w:rPr>
          <w:sz w:val="24"/>
          <w:szCs w:val="24"/>
        </w:rPr>
        <w:t>But f</w:t>
      </w:r>
      <w:r w:rsidR="004F258F" w:rsidRPr="003E2436">
        <w:rPr>
          <w:sz w:val="24"/>
          <w:szCs w:val="24"/>
        </w:rPr>
        <w:t>or the purposes of this report we assume that th</w:t>
      </w:r>
      <w:r w:rsidR="00AA5BA8" w:rsidRPr="003E2436">
        <w:rPr>
          <w:sz w:val="24"/>
          <w:szCs w:val="24"/>
        </w:rPr>
        <w:t xml:space="preserve">e average </w:t>
      </w:r>
      <w:r w:rsidR="00E33F2E" w:rsidRPr="003E2436">
        <w:rPr>
          <w:sz w:val="24"/>
          <w:szCs w:val="24"/>
        </w:rPr>
        <w:t xml:space="preserve">participant receives about </w:t>
      </w:r>
      <w:r w:rsidR="00BF3780" w:rsidRPr="003E2436">
        <w:rPr>
          <w:sz w:val="24"/>
          <w:szCs w:val="24"/>
        </w:rPr>
        <w:t>8.5 hours of group-based supports and 4.1 hours of individual supports</w:t>
      </w:r>
      <w:r w:rsidR="001652C8" w:rsidRPr="003E2436">
        <w:rPr>
          <w:sz w:val="24"/>
          <w:szCs w:val="24"/>
        </w:rPr>
        <w:t xml:space="preserve">, for a total of $17,575 at NDIS’s </w:t>
      </w:r>
      <w:r w:rsidR="00BF42D9" w:rsidRPr="003E2436">
        <w:rPr>
          <w:sz w:val="24"/>
          <w:szCs w:val="24"/>
        </w:rPr>
        <w:t xml:space="preserve">2019 </w:t>
      </w:r>
      <w:r w:rsidR="001652C8" w:rsidRPr="003E2436">
        <w:rPr>
          <w:sz w:val="24"/>
          <w:szCs w:val="24"/>
        </w:rPr>
        <w:t>hourly</w:t>
      </w:r>
      <w:r w:rsidR="00BF42D9" w:rsidRPr="003E2436">
        <w:rPr>
          <w:sz w:val="24"/>
          <w:szCs w:val="24"/>
        </w:rPr>
        <w:t xml:space="preserve"> </w:t>
      </w:r>
      <w:r w:rsidR="001652C8" w:rsidRPr="003E2436">
        <w:rPr>
          <w:sz w:val="24"/>
          <w:szCs w:val="24"/>
        </w:rPr>
        <w:t>rates</w:t>
      </w:r>
      <w:r w:rsidR="00BF42D9" w:rsidRPr="003E2436">
        <w:rPr>
          <w:sz w:val="24"/>
          <w:szCs w:val="24"/>
        </w:rPr>
        <w:t xml:space="preserve"> for these supports. </w:t>
      </w:r>
    </w:p>
    <w:p w14:paraId="52C84F54" w14:textId="77777777" w:rsidR="00F01A25" w:rsidRPr="003E2436" w:rsidRDefault="007A3304" w:rsidP="00A8404D">
      <w:pPr>
        <w:rPr>
          <w:rFonts w:cs="Arial"/>
          <w:b/>
          <w:sz w:val="24"/>
          <w:szCs w:val="24"/>
        </w:rPr>
      </w:pPr>
      <w:r w:rsidRPr="003E2436">
        <w:rPr>
          <w:rFonts w:cs="Arial"/>
          <w:b/>
          <w:sz w:val="24"/>
          <w:szCs w:val="24"/>
        </w:rPr>
        <w:t>NDIS support type:</w:t>
      </w:r>
    </w:p>
    <w:p w14:paraId="69982C45" w14:textId="77777777" w:rsidR="007A3304" w:rsidRPr="003E2436" w:rsidRDefault="007A3304" w:rsidP="003E2436">
      <w:pPr>
        <w:pStyle w:val="ListParagraph"/>
        <w:numPr>
          <w:ilvl w:val="0"/>
          <w:numId w:val="23"/>
        </w:numPr>
        <w:ind w:left="450"/>
        <w:rPr>
          <w:rFonts w:ascii="Arial" w:hAnsi="Arial" w:cs="Arial"/>
          <w:sz w:val="24"/>
          <w:szCs w:val="24"/>
        </w:rPr>
      </w:pPr>
      <w:r w:rsidRPr="003E2436">
        <w:rPr>
          <w:rFonts w:ascii="Arial" w:hAnsi="Arial" w:cs="Arial"/>
          <w:sz w:val="24"/>
          <w:szCs w:val="24"/>
        </w:rPr>
        <w:t>Group based: 8.5hrs of support/week, $17.97 per hour support cost and $7,910 committed support amount</w:t>
      </w:r>
    </w:p>
    <w:p w14:paraId="0DE73C58" w14:textId="77777777" w:rsidR="007A3304" w:rsidRPr="003E2436" w:rsidRDefault="007A3304" w:rsidP="003E2436">
      <w:pPr>
        <w:pStyle w:val="ListParagraph"/>
        <w:numPr>
          <w:ilvl w:val="0"/>
          <w:numId w:val="23"/>
        </w:numPr>
        <w:ind w:left="450"/>
        <w:rPr>
          <w:rFonts w:ascii="Arial" w:hAnsi="Arial" w:cs="Arial"/>
          <w:sz w:val="24"/>
          <w:szCs w:val="24"/>
        </w:rPr>
      </w:pPr>
      <w:r w:rsidRPr="003E2436">
        <w:rPr>
          <w:rFonts w:ascii="Arial" w:hAnsi="Arial" w:cs="Arial"/>
          <w:sz w:val="24"/>
          <w:szCs w:val="24"/>
        </w:rPr>
        <w:t>Individual supports: 4.1hrs of support/week, $45.54 per hour support cost and $9,665 committed supported amount</w:t>
      </w:r>
    </w:p>
    <w:p w14:paraId="7B02B74F" w14:textId="77777777" w:rsidR="007A3304" w:rsidRPr="003E2436" w:rsidRDefault="007A3304" w:rsidP="003E2436">
      <w:pPr>
        <w:pStyle w:val="ListParagraph"/>
        <w:numPr>
          <w:ilvl w:val="0"/>
          <w:numId w:val="23"/>
        </w:numPr>
        <w:ind w:left="450"/>
        <w:rPr>
          <w:rFonts w:ascii="Arial" w:hAnsi="Arial" w:cs="Arial"/>
          <w:sz w:val="24"/>
          <w:szCs w:val="24"/>
        </w:rPr>
      </w:pPr>
      <w:r w:rsidRPr="003E2436">
        <w:rPr>
          <w:rFonts w:ascii="Arial" w:hAnsi="Arial" w:cs="Arial"/>
          <w:sz w:val="24"/>
          <w:szCs w:val="24"/>
        </w:rPr>
        <w:lastRenderedPageBreak/>
        <w:t>Total: $17,575</w:t>
      </w:r>
    </w:p>
    <w:p w14:paraId="323F4C82" w14:textId="77777777" w:rsidR="00B66625" w:rsidRPr="003E2436" w:rsidRDefault="00216486" w:rsidP="006B4DCF">
      <w:pPr>
        <w:pStyle w:val="NoSpacing"/>
        <w:rPr>
          <w:sz w:val="24"/>
          <w:szCs w:val="24"/>
        </w:rPr>
      </w:pPr>
      <w:r w:rsidRPr="003E2436">
        <w:rPr>
          <w:b/>
          <w:bCs/>
          <w:sz w:val="24"/>
          <w:szCs w:val="24"/>
        </w:rPr>
        <w:t>What impact do our assumptions have on per-person NDIS usage:</w:t>
      </w:r>
      <w:r w:rsidRPr="003E2436">
        <w:rPr>
          <w:sz w:val="24"/>
          <w:szCs w:val="24"/>
        </w:rPr>
        <w:t xml:space="preserve"> </w:t>
      </w:r>
      <w:r w:rsidR="00E605A8" w:rsidRPr="003E2436">
        <w:rPr>
          <w:sz w:val="24"/>
          <w:szCs w:val="24"/>
        </w:rPr>
        <w:t xml:space="preserve">The </w:t>
      </w:r>
      <w:r w:rsidR="007909E2" w:rsidRPr="003E2436">
        <w:rPr>
          <w:sz w:val="24"/>
          <w:szCs w:val="24"/>
        </w:rPr>
        <w:t xml:space="preserve">financial </w:t>
      </w:r>
      <w:r w:rsidR="00E605A8" w:rsidRPr="003E2436">
        <w:rPr>
          <w:sz w:val="24"/>
          <w:szCs w:val="24"/>
        </w:rPr>
        <w:t xml:space="preserve">impact of our hypothesis that </w:t>
      </w:r>
      <w:r w:rsidR="00B87178" w:rsidRPr="003E2436">
        <w:rPr>
          <w:sz w:val="24"/>
          <w:szCs w:val="24"/>
        </w:rPr>
        <w:t xml:space="preserve">those in employment </w:t>
      </w:r>
      <w:r w:rsidR="007909E2" w:rsidRPr="003E2436">
        <w:rPr>
          <w:sz w:val="24"/>
          <w:szCs w:val="24"/>
        </w:rPr>
        <w:t>access fewer</w:t>
      </w:r>
      <w:r w:rsidR="0093345E" w:rsidRPr="003E2436">
        <w:rPr>
          <w:sz w:val="24"/>
          <w:szCs w:val="24"/>
        </w:rPr>
        <w:t xml:space="preserve"> group-based supports is summarised in the following table. </w:t>
      </w:r>
      <w:r w:rsidR="00EE303C" w:rsidRPr="003E2436">
        <w:rPr>
          <w:sz w:val="24"/>
          <w:szCs w:val="24"/>
        </w:rPr>
        <w:t xml:space="preserve">If a participant has an NDIS plan, </w:t>
      </w:r>
      <w:r w:rsidR="00A0783D" w:rsidRPr="003E2436">
        <w:rPr>
          <w:sz w:val="24"/>
          <w:szCs w:val="24"/>
        </w:rPr>
        <w:t xml:space="preserve">expenditure on group-based supports </w:t>
      </w:r>
      <w:r w:rsidR="006F4B2A" w:rsidRPr="003E2436">
        <w:rPr>
          <w:sz w:val="24"/>
          <w:szCs w:val="24"/>
        </w:rPr>
        <w:t xml:space="preserve">for those in employment </w:t>
      </w:r>
      <w:r w:rsidR="00A0783D" w:rsidRPr="003E2436">
        <w:rPr>
          <w:sz w:val="24"/>
          <w:szCs w:val="24"/>
        </w:rPr>
        <w:t xml:space="preserve">is assumed to be </w:t>
      </w:r>
      <w:r w:rsidR="006F4B2A" w:rsidRPr="003E2436">
        <w:rPr>
          <w:sz w:val="24"/>
          <w:szCs w:val="24"/>
        </w:rPr>
        <w:t>$</w:t>
      </w:r>
      <w:r w:rsidR="00D52B14" w:rsidRPr="003E2436">
        <w:rPr>
          <w:sz w:val="24"/>
          <w:szCs w:val="24"/>
        </w:rPr>
        <w:t>410</w:t>
      </w:r>
      <w:r w:rsidR="006F4B2A" w:rsidRPr="003E2436">
        <w:rPr>
          <w:sz w:val="24"/>
          <w:szCs w:val="24"/>
        </w:rPr>
        <w:t xml:space="preserve"> per annum, compared to $</w:t>
      </w:r>
      <w:r w:rsidR="00D52B14" w:rsidRPr="003E2436">
        <w:rPr>
          <w:sz w:val="24"/>
          <w:szCs w:val="24"/>
        </w:rPr>
        <w:t>7,910</w:t>
      </w:r>
      <w:r w:rsidR="006F4B2A" w:rsidRPr="003E2436">
        <w:rPr>
          <w:sz w:val="24"/>
          <w:szCs w:val="24"/>
        </w:rPr>
        <w:t xml:space="preserve"> per annum for those not in employment, education, or training. </w:t>
      </w:r>
      <w:r w:rsidR="0081479B" w:rsidRPr="003E2436">
        <w:rPr>
          <w:sz w:val="24"/>
          <w:szCs w:val="24"/>
        </w:rPr>
        <w:t xml:space="preserve">The difference is driven by our assumption that </w:t>
      </w:r>
      <w:r w:rsidR="00D15F69" w:rsidRPr="003E2436">
        <w:rPr>
          <w:sz w:val="24"/>
          <w:szCs w:val="24"/>
        </w:rPr>
        <w:t>those who</w:t>
      </w:r>
      <w:r w:rsidR="0032694E" w:rsidRPr="003E2436">
        <w:rPr>
          <w:sz w:val="24"/>
          <w:szCs w:val="24"/>
        </w:rPr>
        <w:t xml:space="preserve"> work reduce their </w:t>
      </w:r>
      <w:r w:rsidR="00806675" w:rsidRPr="003E2436">
        <w:rPr>
          <w:sz w:val="24"/>
          <w:szCs w:val="24"/>
        </w:rPr>
        <w:t xml:space="preserve">access to group programs by 30 minutes for each hour they work. </w:t>
      </w:r>
    </w:p>
    <w:p w14:paraId="4166E5FA" w14:textId="77777777" w:rsidR="007A3304" w:rsidRPr="003E2436" w:rsidRDefault="007A3304" w:rsidP="002F3E49">
      <w:pPr>
        <w:pStyle w:val="NoSpacing"/>
        <w:spacing w:after="120" w:line="240" w:lineRule="auto"/>
        <w:rPr>
          <w:b/>
          <w:sz w:val="24"/>
          <w:szCs w:val="24"/>
        </w:rPr>
      </w:pPr>
      <w:r w:rsidRPr="003E2436">
        <w:rPr>
          <w:b/>
          <w:sz w:val="24"/>
          <w:szCs w:val="24"/>
        </w:rPr>
        <w:t>Participation type</w:t>
      </w:r>
    </w:p>
    <w:p w14:paraId="23917DFD" w14:textId="77777777" w:rsidR="002F3E49" w:rsidRPr="003E2436" w:rsidRDefault="007A3304" w:rsidP="002F3E49">
      <w:pPr>
        <w:pStyle w:val="NoSpacing"/>
        <w:spacing w:after="120" w:line="240" w:lineRule="auto"/>
        <w:rPr>
          <w:sz w:val="24"/>
          <w:szCs w:val="24"/>
        </w:rPr>
      </w:pPr>
      <w:r w:rsidRPr="003E2436">
        <w:rPr>
          <w:sz w:val="24"/>
          <w:szCs w:val="24"/>
        </w:rPr>
        <w:t>Engaged in Employment, Education or Training</w:t>
      </w:r>
      <w:r w:rsidRPr="003E2436">
        <w:rPr>
          <w:sz w:val="24"/>
          <w:szCs w:val="24"/>
        </w:rPr>
        <w:tab/>
      </w:r>
    </w:p>
    <w:p w14:paraId="1F9B2868" w14:textId="77777777" w:rsidR="002F3E49" w:rsidRPr="003E2436" w:rsidRDefault="002F3E49" w:rsidP="003E2436">
      <w:pPr>
        <w:pStyle w:val="NoSpacing"/>
        <w:numPr>
          <w:ilvl w:val="0"/>
          <w:numId w:val="24"/>
        </w:numPr>
        <w:spacing w:after="120" w:line="240" w:lineRule="auto"/>
        <w:ind w:left="360"/>
        <w:rPr>
          <w:sz w:val="24"/>
          <w:szCs w:val="24"/>
        </w:rPr>
      </w:pPr>
      <w:r w:rsidRPr="003E2436">
        <w:rPr>
          <w:sz w:val="24"/>
          <w:szCs w:val="24"/>
        </w:rPr>
        <w:t>Have NDIS plan</w:t>
      </w:r>
    </w:p>
    <w:p w14:paraId="1E69DAED" w14:textId="77777777" w:rsidR="002F3E49" w:rsidRPr="003E2436" w:rsidRDefault="007A3304" w:rsidP="00D91454">
      <w:pPr>
        <w:pStyle w:val="NoSpacing"/>
        <w:numPr>
          <w:ilvl w:val="1"/>
          <w:numId w:val="24"/>
        </w:numPr>
        <w:spacing w:after="120" w:line="240" w:lineRule="auto"/>
        <w:rPr>
          <w:sz w:val="24"/>
          <w:szCs w:val="24"/>
        </w:rPr>
      </w:pPr>
      <w:r w:rsidRPr="003E2436">
        <w:rPr>
          <w:sz w:val="24"/>
          <w:szCs w:val="24"/>
        </w:rPr>
        <w:t xml:space="preserve">0.5 hours group based </w:t>
      </w:r>
      <w:r w:rsidR="002F3E49" w:rsidRPr="003E2436">
        <w:rPr>
          <w:sz w:val="24"/>
          <w:szCs w:val="24"/>
        </w:rPr>
        <w:t>programs</w:t>
      </w:r>
    </w:p>
    <w:p w14:paraId="5E0071F7" w14:textId="77777777" w:rsidR="007A3304" w:rsidRPr="003E2436" w:rsidRDefault="002F3E49" w:rsidP="00D91454">
      <w:pPr>
        <w:pStyle w:val="NoSpacing"/>
        <w:numPr>
          <w:ilvl w:val="1"/>
          <w:numId w:val="24"/>
        </w:numPr>
        <w:spacing w:after="120" w:line="240" w:lineRule="auto"/>
        <w:rPr>
          <w:sz w:val="24"/>
          <w:szCs w:val="24"/>
        </w:rPr>
      </w:pPr>
      <w:r w:rsidRPr="003E2436">
        <w:rPr>
          <w:sz w:val="24"/>
          <w:szCs w:val="24"/>
        </w:rPr>
        <w:t>$410 annual cost group based programs</w:t>
      </w:r>
    </w:p>
    <w:p w14:paraId="5220EF97" w14:textId="77777777" w:rsidR="002F3E49" w:rsidRPr="003E2436" w:rsidRDefault="002F3E49" w:rsidP="003E2436">
      <w:pPr>
        <w:pStyle w:val="NoSpacing"/>
        <w:numPr>
          <w:ilvl w:val="0"/>
          <w:numId w:val="24"/>
        </w:numPr>
        <w:spacing w:after="120" w:line="240" w:lineRule="auto"/>
        <w:ind w:left="360"/>
        <w:rPr>
          <w:sz w:val="24"/>
          <w:szCs w:val="24"/>
        </w:rPr>
      </w:pPr>
      <w:r w:rsidRPr="003E2436">
        <w:rPr>
          <w:sz w:val="24"/>
          <w:szCs w:val="24"/>
        </w:rPr>
        <w:t>Does not have NDIS plan</w:t>
      </w:r>
    </w:p>
    <w:p w14:paraId="54944C0C" w14:textId="77777777" w:rsidR="002F3E49" w:rsidRPr="003E2436" w:rsidRDefault="002F3E49" w:rsidP="00D91454">
      <w:pPr>
        <w:pStyle w:val="NoSpacing"/>
        <w:numPr>
          <w:ilvl w:val="1"/>
          <w:numId w:val="24"/>
        </w:numPr>
        <w:spacing w:after="120" w:line="240" w:lineRule="auto"/>
        <w:rPr>
          <w:sz w:val="24"/>
          <w:szCs w:val="24"/>
        </w:rPr>
      </w:pPr>
      <w:r w:rsidRPr="003E2436">
        <w:rPr>
          <w:sz w:val="24"/>
          <w:szCs w:val="24"/>
        </w:rPr>
        <w:t xml:space="preserve"> 0 hours group based programs</w:t>
      </w:r>
    </w:p>
    <w:p w14:paraId="58363A2E" w14:textId="77777777" w:rsidR="002F3E49" w:rsidRPr="003E2436" w:rsidRDefault="002F3E49" w:rsidP="00D91454">
      <w:pPr>
        <w:pStyle w:val="NoSpacing"/>
        <w:numPr>
          <w:ilvl w:val="1"/>
          <w:numId w:val="24"/>
        </w:numPr>
        <w:spacing w:after="120" w:line="240" w:lineRule="auto"/>
        <w:rPr>
          <w:sz w:val="24"/>
          <w:szCs w:val="24"/>
        </w:rPr>
      </w:pPr>
      <w:r w:rsidRPr="003E2436">
        <w:rPr>
          <w:sz w:val="24"/>
          <w:szCs w:val="24"/>
        </w:rPr>
        <w:t>$0 annual cost group based programs</w:t>
      </w:r>
    </w:p>
    <w:p w14:paraId="3362DE0A" w14:textId="77777777" w:rsidR="002F3E49" w:rsidRPr="003E2436" w:rsidRDefault="002F3E49" w:rsidP="002F3E49">
      <w:pPr>
        <w:pStyle w:val="NoSpacing"/>
        <w:spacing w:after="120" w:line="240" w:lineRule="auto"/>
        <w:rPr>
          <w:sz w:val="24"/>
          <w:szCs w:val="24"/>
        </w:rPr>
      </w:pPr>
      <w:r w:rsidRPr="003E2436">
        <w:rPr>
          <w:sz w:val="24"/>
          <w:szCs w:val="24"/>
        </w:rPr>
        <w:t>Not Engaged in Employment, Education or Training</w:t>
      </w:r>
    </w:p>
    <w:p w14:paraId="72ECEB9D" w14:textId="77777777" w:rsidR="002F3E49" w:rsidRPr="003E2436" w:rsidRDefault="002F3E49" w:rsidP="003E2436">
      <w:pPr>
        <w:pStyle w:val="NoSpacing"/>
        <w:numPr>
          <w:ilvl w:val="0"/>
          <w:numId w:val="24"/>
        </w:numPr>
        <w:spacing w:after="120" w:line="240" w:lineRule="auto"/>
        <w:ind w:left="360"/>
        <w:rPr>
          <w:sz w:val="24"/>
          <w:szCs w:val="24"/>
        </w:rPr>
      </w:pPr>
      <w:r w:rsidRPr="003E2436">
        <w:rPr>
          <w:sz w:val="24"/>
          <w:szCs w:val="24"/>
        </w:rPr>
        <w:t>Have NDIS plan</w:t>
      </w:r>
    </w:p>
    <w:p w14:paraId="0617D8E7" w14:textId="77777777" w:rsidR="002F3E49" w:rsidRPr="003E2436" w:rsidRDefault="002F3E49" w:rsidP="00D91454">
      <w:pPr>
        <w:pStyle w:val="NoSpacing"/>
        <w:numPr>
          <w:ilvl w:val="1"/>
          <w:numId w:val="24"/>
        </w:numPr>
        <w:spacing w:after="120" w:line="240" w:lineRule="auto"/>
        <w:rPr>
          <w:sz w:val="24"/>
          <w:szCs w:val="24"/>
        </w:rPr>
      </w:pPr>
      <w:r w:rsidRPr="003E2436">
        <w:rPr>
          <w:sz w:val="24"/>
          <w:szCs w:val="24"/>
        </w:rPr>
        <w:t xml:space="preserve">8.5 hours group based programs, </w:t>
      </w:r>
    </w:p>
    <w:p w14:paraId="5BE8DAED" w14:textId="77777777" w:rsidR="002F3E49" w:rsidRPr="003E2436" w:rsidRDefault="002F3E49" w:rsidP="00D91454">
      <w:pPr>
        <w:pStyle w:val="NoSpacing"/>
        <w:numPr>
          <w:ilvl w:val="1"/>
          <w:numId w:val="24"/>
        </w:numPr>
        <w:spacing w:after="120" w:line="240" w:lineRule="auto"/>
        <w:rPr>
          <w:sz w:val="24"/>
          <w:szCs w:val="24"/>
        </w:rPr>
      </w:pPr>
      <w:r w:rsidRPr="003E2436">
        <w:rPr>
          <w:sz w:val="24"/>
          <w:szCs w:val="24"/>
        </w:rPr>
        <w:t>$7,910 annual cost group based programs</w:t>
      </w:r>
    </w:p>
    <w:p w14:paraId="0F239B1B" w14:textId="77777777" w:rsidR="002F3E49" w:rsidRPr="003E2436" w:rsidRDefault="002F3E49" w:rsidP="003E2436">
      <w:pPr>
        <w:pStyle w:val="NoSpacing"/>
        <w:numPr>
          <w:ilvl w:val="0"/>
          <w:numId w:val="24"/>
        </w:numPr>
        <w:spacing w:after="120" w:line="240" w:lineRule="auto"/>
        <w:ind w:left="360"/>
        <w:rPr>
          <w:sz w:val="24"/>
          <w:szCs w:val="24"/>
        </w:rPr>
      </w:pPr>
      <w:r w:rsidRPr="003E2436">
        <w:rPr>
          <w:sz w:val="24"/>
          <w:szCs w:val="24"/>
        </w:rPr>
        <w:t>Does not have NDIS plan</w:t>
      </w:r>
    </w:p>
    <w:p w14:paraId="64020897" w14:textId="77777777" w:rsidR="002F3E49" w:rsidRPr="003E2436" w:rsidRDefault="002F3E49" w:rsidP="00D91454">
      <w:pPr>
        <w:pStyle w:val="NoSpacing"/>
        <w:numPr>
          <w:ilvl w:val="1"/>
          <w:numId w:val="24"/>
        </w:numPr>
        <w:spacing w:after="120" w:line="240" w:lineRule="auto"/>
        <w:rPr>
          <w:sz w:val="24"/>
          <w:szCs w:val="24"/>
        </w:rPr>
      </w:pPr>
      <w:r w:rsidRPr="003E2436">
        <w:rPr>
          <w:sz w:val="24"/>
          <w:szCs w:val="24"/>
        </w:rPr>
        <w:t xml:space="preserve"> 0 hours group based programs</w:t>
      </w:r>
    </w:p>
    <w:p w14:paraId="3D106205" w14:textId="77777777" w:rsidR="002F3E49" w:rsidRPr="003E2436" w:rsidRDefault="002F3E49" w:rsidP="00D91454">
      <w:pPr>
        <w:pStyle w:val="NoSpacing"/>
        <w:numPr>
          <w:ilvl w:val="1"/>
          <w:numId w:val="24"/>
        </w:numPr>
        <w:spacing w:after="120" w:line="240" w:lineRule="auto"/>
        <w:rPr>
          <w:sz w:val="24"/>
          <w:szCs w:val="24"/>
        </w:rPr>
      </w:pPr>
      <w:r w:rsidRPr="003E2436">
        <w:rPr>
          <w:sz w:val="24"/>
          <w:szCs w:val="24"/>
        </w:rPr>
        <w:t>$0 annual cost group based programs</w:t>
      </w:r>
    </w:p>
    <w:p w14:paraId="388D3980" w14:textId="77777777" w:rsidR="002F3E49" w:rsidRPr="003E2436" w:rsidRDefault="002F3E49" w:rsidP="002F3E49">
      <w:pPr>
        <w:pStyle w:val="NoSpacing"/>
        <w:rPr>
          <w:sz w:val="24"/>
          <w:szCs w:val="24"/>
        </w:rPr>
      </w:pPr>
    </w:p>
    <w:p w14:paraId="1CE3BB9E" w14:textId="77777777" w:rsidR="00516959" w:rsidRPr="003E2436" w:rsidRDefault="002F3E49" w:rsidP="00516959">
      <w:pPr>
        <w:pStyle w:val="NoSpacing"/>
        <w:rPr>
          <w:sz w:val="24"/>
          <w:szCs w:val="24"/>
        </w:rPr>
      </w:pPr>
      <w:r w:rsidRPr="003E2436">
        <w:rPr>
          <w:sz w:val="24"/>
          <w:szCs w:val="24"/>
        </w:rPr>
        <w:t>Similarly, the</w:t>
      </w:r>
      <w:r w:rsidR="0087057C" w:rsidRPr="003E2436">
        <w:rPr>
          <w:sz w:val="24"/>
          <w:szCs w:val="24"/>
        </w:rPr>
        <w:t xml:space="preserve"> shows the </w:t>
      </w:r>
      <w:r w:rsidR="00F703FD" w:rsidRPr="003E2436">
        <w:rPr>
          <w:sz w:val="24"/>
          <w:szCs w:val="24"/>
        </w:rPr>
        <w:t xml:space="preserve">financial impact of our assumption that </w:t>
      </w:r>
      <w:r w:rsidR="00EB6FE0" w:rsidRPr="003E2436">
        <w:rPr>
          <w:sz w:val="24"/>
          <w:szCs w:val="24"/>
        </w:rPr>
        <w:t xml:space="preserve">those who ‘go out as often as desired’ access fewer hours of individual supports. Those with an NDIS plan </w:t>
      </w:r>
      <w:r w:rsidR="003575F6" w:rsidRPr="003E2436">
        <w:rPr>
          <w:sz w:val="24"/>
          <w:szCs w:val="24"/>
        </w:rPr>
        <w:t>who ‘go out as often as desired’</w:t>
      </w:r>
      <w:r w:rsidR="00A62696" w:rsidRPr="003E2436">
        <w:rPr>
          <w:sz w:val="24"/>
          <w:szCs w:val="24"/>
        </w:rPr>
        <w:t xml:space="preserve"> use $</w:t>
      </w:r>
      <w:r w:rsidR="007F5FA8" w:rsidRPr="003E2436">
        <w:rPr>
          <w:sz w:val="24"/>
          <w:szCs w:val="24"/>
        </w:rPr>
        <w:t>6,770</w:t>
      </w:r>
      <w:r w:rsidR="00A62696" w:rsidRPr="003E2436">
        <w:rPr>
          <w:sz w:val="24"/>
          <w:szCs w:val="24"/>
        </w:rPr>
        <w:t xml:space="preserve"> on individual supports, compared to $</w:t>
      </w:r>
      <w:r w:rsidR="007F5FA8" w:rsidRPr="003E2436">
        <w:rPr>
          <w:sz w:val="24"/>
          <w:szCs w:val="24"/>
        </w:rPr>
        <w:t>9,670</w:t>
      </w:r>
      <w:r w:rsidR="00A62696" w:rsidRPr="003E2436">
        <w:rPr>
          <w:sz w:val="24"/>
          <w:szCs w:val="24"/>
        </w:rPr>
        <w:t xml:space="preserve"> for those who do not go out as often as desired</w:t>
      </w:r>
      <w:r w:rsidR="00CE5A2F" w:rsidRPr="003E2436">
        <w:rPr>
          <w:sz w:val="24"/>
          <w:szCs w:val="24"/>
        </w:rPr>
        <w:t xml:space="preserve">. </w:t>
      </w:r>
    </w:p>
    <w:p w14:paraId="67A16740" w14:textId="77777777" w:rsidR="002F3E49" w:rsidRPr="003E2436" w:rsidRDefault="002F3E49" w:rsidP="00516959">
      <w:pPr>
        <w:pStyle w:val="NoSpacing"/>
        <w:rPr>
          <w:b/>
          <w:sz w:val="24"/>
          <w:szCs w:val="24"/>
        </w:rPr>
      </w:pPr>
      <w:r w:rsidRPr="003E2436">
        <w:rPr>
          <w:b/>
          <w:sz w:val="24"/>
          <w:szCs w:val="24"/>
        </w:rPr>
        <w:t>Participation type</w:t>
      </w:r>
    </w:p>
    <w:p w14:paraId="3602EDB3" w14:textId="77777777" w:rsidR="002F3E49" w:rsidRPr="003E2436" w:rsidRDefault="002F3E49" w:rsidP="002F3E49">
      <w:pPr>
        <w:pStyle w:val="NoSpacing"/>
        <w:spacing w:after="120" w:line="240" w:lineRule="auto"/>
        <w:rPr>
          <w:sz w:val="24"/>
          <w:szCs w:val="24"/>
        </w:rPr>
      </w:pPr>
      <w:r w:rsidRPr="003E2436">
        <w:rPr>
          <w:sz w:val="24"/>
          <w:szCs w:val="24"/>
        </w:rPr>
        <w:t>Go out as often as desired</w:t>
      </w:r>
    </w:p>
    <w:p w14:paraId="2965B1A3" w14:textId="77777777" w:rsidR="002F3E49" w:rsidRPr="003E2436" w:rsidRDefault="002F3E49" w:rsidP="003E2436">
      <w:pPr>
        <w:pStyle w:val="NoSpacing"/>
        <w:numPr>
          <w:ilvl w:val="0"/>
          <w:numId w:val="24"/>
        </w:numPr>
        <w:spacing w:after="120" w:line="240" w:lineRule="auto"/>
        <w:ind w:left="360"/>
        <w:rPr>
          <w:sz w:val="24"/>
          <w:szCs w:val="24"/>
        </w:rPr>
      </w:pPr>
      <w:r w:rsidRPr="003E2436">
        <w:rPr>
          <w:sz w:val="24"/>
          <w:szCs w:val="24"/>
        </w:rPr>
        <w:t>Have NDIS plan</w:t>
      </w:r>
    </w:p>
    <w:p w14:paraId="3D5C8A3D" w14:textId="77777777" w:rsidR="002F3E49" w:rsidRPr="003E2436" w:rsidRDefault="002F3E49" w:rsidP="00D91454">
      <w:pPr>
        <w:pStyle w:val="NoSpacing"/>
        <w:numPr>
          <w:ilvl w:val="1"/>
          <w:numId w:val="24"/>
        </w:numPr>
        <w:spacing w:after="120" w:line="240" w:lineRule="auto"/>
        <w:rPr>
          <w:sz w:val="24"/>
          <w:szCs w:val="24"/>
        </w:rPr>
      </w:pPr>
      <w:r w:rsidRPr="003E2436">
        <w:rPr>
          <w:sz w:val="24"/>
          <w:szCs w:val="24"/>
        </w:rPr>
        <w:t xml:space="preserve">2.9 hours individual supports per week </w:t>
      </w:r>
    </w:p>
    <w:p w14:paraId="22301FB4" w14:textId="77777777" w:rsidR="002F3E49" w:rsidRPr="003E2436" w:rsidRDefault="002F3E49" w:rsidP="00D91454">
      <w:pPr>
        <w:pStyle w:val="NoSpacing"/>
        <w:numPr>
          <w:ilvl w:val="1"/>
          <w:numId w:val="24"/>
        </w:numPr>
        <w:spacing w:after="120" w:line="240" w:lineRule="auto"/>
        <w:rPr>
          <w:sz w:val="24"/>
          <w:szCs w:val="24"/>
        </w:rPr>
      </w:pPr>
      <w:r w:rsidRPr="003E2436">
        <w:rPr>
          <w:sz w:val="24"/>
          <w:szCs w:val="24"/>
        </w:rPr>
        <w:t>$6,770 annual cost individual supports</w:t>
      </w:r>
    </w:p>
    <w:p w14:paraId="2B3CF231" w14:textId="77777777" w:rsidR="002F3E49" w:rsidRPr="003E2436" w:rsidRDefault="002F3E49" w:rsidP="003E2436">
      <w:pPr>
        <w:pStyle w:val="NoSpacing"/>
        <w:numPr>
          <w:ilvl w:val="0"/>
          <w:numId w:val="24"/>
        </w:numPr>
        <w:spacing w:after="120" w:line="240" w:lineRule="auto"/>
        <w:ind w:left="360"/>
        <w:rPr>
          <w:sz w:val="24"/>
          <w:szCs w:val="24"/>
        </w:rPr>
      </w:pPr>
      <w:r w:rsidRPr="003E2436">
        <w:rPr>
          <w:sz w:val="24"/>
          <w:szCs w:val="24"/>
        </w:rPr>
        <w:t>Does not have NDIS plan</w:t>
      </w:r>
    </w:p>
    <w:p w14:paraId="5C24054F" w14:textId="77777777" w:rsidR="002F3E49" w:rsidRPr="003E2436" w:rsidRDefault="002F3E49" w:rsidP="00D91454">
      <w:pPr>
        <w:pStyle w:val="NoSpacing"/>
        <w:numPr>
          <w:ilvl w:val="1"/>
          <w:numId w:val="24"/>
        </w:numPr>
        <w:spacing w:after="120" w:line="240" w:lineRule="auto"/>
        <w:rPr>
          <w:sz w:val="24"/>
          <w:szCs w:val="24"/>
        </w:rPr>
      </w:pPr>
      <w:r w:rsidRPr="003E2436">
        <w:rPr>
          <w:sz w:val="24"/>
          <w:szCs w:val="24"/>
        </w:rPr>
        <w:lastRenderedPageBreak/>
        <w:t xml:space="preserve"> 0 hours individual supports per week</w:t>
      </w:r>
    </w:p>
    <w:p w14:paraId="6CEC9AC9" w14:textId="77777777" w:rsidR="002F3E49" w:rsidRPr="003E2436" w:rsidRDefault="002F3E49" w:rsidP="00D91454">
      <w:pPr>
        <w:pStyle w:val="NoSpacing"/>
        <w:numPr>
          <w:ilvl w:val="1"/>
          <w:numId w:val="24"/>
        </w:numPr>
        <w:spacing w:after="120" w:line="240" w:lineRule="auto"/>
        <w:rPr>
          <w:sz w:val="24"/>
          <w:szCs w:val="24"/>
        </w:rPr>
      </w:pPr>
      <w:r w:rsidRPr="003E2436">
        <w:rPr>
          <w:sz w:val="24"/>
          <w:szCs w:val="24"/>
        </w:rPr>
        <w:t>$0 annual cost individual supports</w:t>
      </w:r>
    </w:p>
    <w:p w14:paraId="4BFB1139" w14:textId="77777777" w:rsidR="002F3E49" w:rsidRPr="003E2436" w:rsidRDefault="002F3E49" w:rsidP="002F3E49">
      <w:pPr>
        <w:pStyle w:val="NoSpacing"/>
        <w:spacing w:after="120" w:line="240" w:lineRule="auto"/>
        <w:rPr>
          <w:sz w:val="24"/>
          <w:szCs w:val="24"/>
        </w:rPr>
      </w:pPr>
      <w:r w:rsidRPr="003E2436">
        <w:rPr>
          <w:sz w:val="24"/>
          <w:szCs w:val="24"/>
        </w:rPr>
        <w:t>Don’t go out as often as desired</w:t>
      </w:r>
    </w:p>
    <w:p w14:paraId="79D08973" w14:textId="77777777" w:rsidR="002F3E49" w:rsidRPr="003E2436" w:rsidRDefault="002F3E49" w:rsidP="003E2436">
      <w:pPr>
        <w:pStyle w:val="NoSpacing"/>
        <w:numPr>
          <w:ilvl w:val="0"/>
          <w:numId w:val="24"/>
        </w:numPr>
        <w:spacing w:after="120" w:line="240" w:lineRule="auto"/>
        <w:ind w:left="360"/>
        <w:rPr>
          <w:sz w:val="24"/>
          <w:szCs w:val="24"/>
        </w:rPr>
      </w:pPr>
      <w:r w:rsidRPr="003E2436">
        <w:rPr>
          <w:sz w:val="24"/>
          <w:szCs w:val="24"/>
        </w:rPr>
        <w:t>Have NDIS plan</w:t>
      </w:r>
    </w:p>
    <w:p w14:paraId="5036077F" w14:textId="77777777" w:rsidR="002F3E49" w:rsidRPr="003E2436" w:rsidRDefault="002F3E49" w:rsidP="00D91454">
      <w:pPr>
        <w:pStyle w:val="NoSpacing"/>
        <w:numPr>
          <w:ilvl w:val="1"/>
          <w:numId w:val="24"/>
        </w:numPr>
        <w:spacing w:after="120" w:line="240" w:lineRule="auto"/>
        <w:rPr>
          <w:sz w:val="24"/>
          <w:szCs w:val="24"/>
        </w:rPr>
      </w:pPr>
      <w:r w:rsidRPr="003E2436">
        <w:rPr>
          <w:sz w:val="24"/>
          <w:szCs w:val="24"/>
        </w:rPr>
        <w:t xml:space="preserve">4.1 hours individual supports per week </w:t>
      </w:r>
    </w:p>
    <w:p w14:paraId="43CA83C1" w14:textId="77777777" w:rsidR="002F3E49" w:rsidRPr="003E2436" w:rsidRDefault="002F3E49" w:rsidP="00D91454">
      <w:pPr>
        <w:pStyle w:val="NoSpacing"/>
        <w:numPr>
          <w:ilvl w:val="1"/>
          <w:numId w:val="24"/>
        </w:numPr>
        <w:spacing w:after="120" w:line="240" w:lineRule="auto"/>
        <w:rPr>
          <w:sz w:val="24"/>
          <w:szCs w:val="24"/>
        </w:rPr>
      </w:pPr>
      <w:r w:rsidRPr="003E2436">
        <w:rPr>
          <w:sz w:val="24"/>
          <w:szCs w:val="24"/>
        </w:rPr>
        <w:t>$9,670 annual cost individual supports</w:t>
      </w:r>
    </w:p>
    <w:p w14:paraId="4B2D5D2D" w14:textId="77777777" w:rsidR="002F3E49" w:rsidRPr="003E2436" w:rsidRDefault="002F3E49" w:rsidP="003E2436">
      <w:pPr>
        <w:pStyle w:val="NoSpacing"/>
        <w:numPr>
          <w:ilvl w:val="0"/>
          <w:numId w:val="24"/>
        </w:numPr>
        <w:spacing w:after="120" w:line="240" w:lineRule="auto"/>
        <w:ind w:left="360"/>
        <w:rPr>
          <w:sz w:val="24"/>
          <w:szCs w:val="24"/>
        </w:rPr>
      </w:pPr>
      <w:r w:rsidRPr="003E2436">
        <w:rPr>
          <w:sz w:val="24"/>
          <w:szCs w:val="24"/>
        </w:rPr>
        <w:t>Does not have NDIS plan</w:t>
      </w:r>
    </w:p>
    <w:p w14:paraId="265C6DED" w14:textId="77777777" w:rsidR="002F3E49" w:rsidRPr="003E2436" w:rsidRDefault="002F3E49" w:rsidP="00D91454">
      <w:pPr>
        <w:pStyle w:val="NoSpacing"/>
        <w:numPr>
          <w:ilvl w:val="1"/>
          <w:numId w:val="24"/>
        </w:numPr>
        <w:spacing w:after="120" w:line="240" w:lineRule="auto"/>
        <w:rPr>
          <w:sz w:val="24"/>
          <w:szCs w:val="24"/>
        </w:rPr>
      </w:pPr>
      <w:r w:rsidRPr="003E2436">
        <w:rPr>
          <w:sz w:val="24"/>
          <w:szCs w:val="24"/>
        </w:rPr>
        <w:t xml:space="preserve"> 0 hours individual supports per week</w:t>
      </w:r>
    </w:p>
    <w:p w14:paraId="42F1EA20" w14:textId="77777777" w:rsidR="002F3E49" w:rsidRPr="003E2436" w:rsidRDefault="002F3E49" w:rsidP="00D91454">
      <w:pPr>
        <w:pStyle w:val="NoSpacing"/>
        <w:numPr>
          <w:ilvl w:val="1"/>
          <w:numId w:val="24"/>
        </w:numPr>
        <w:spacing w:after="120" w:line="240" w:lineRule="auto"/>
        <w:rPr>
          <w:sz w:val="24"/>
          <w:szCs w:val="24"/>
        </w:rPr>
      </w:pPr>
      <w:r w:rsidRPr="003E2436">
        <w:rPr>
          <w:sz w:val="24"/>
          <w:szCs w:val="24"/>
        </w:rPr>
        <w:t>$0 annual cost individual supports</w:t>
      </w:r>
    </w:p>
    <w:p w14:paraId="55AF9CF9" w14:textId="77777777" w:rsidR="002F3E49" w:rsidRPr="002F3E49" w:rsidRDefault="002F3E49" w:rsidP="00516959">
      <w:pPr>
        <w:pStyle w:val="NoSpacing"/>
      </w:pPr>
      <w:r>
        <w:tab/>
      </w:r>
    </w:p>
    <w:p w14:paraId="4D25E402" w14:textId="77777777" w:rsidR="00484F42" w:rsidRPr="003E2436" w:rsidRDefault="00216486" w:rsidP="00584E8E">
      <w:pPr>
        <w:rPr>
          <w:sz w:val="24"/>
          <w:szCs w:val="24"/>
        </w:rPr>
      </w:pPr>
      <w:r w:rsidRPr="003E2436">
        <w:rPr>
          <w:b/>
          <w:bCs/>
          <w:sz w:val="24"/>
          <w:szCs w:val="24"/>
        </w:rPr>
        <w:t>What is the impact of these changes for the whole cohort:</w:t>
      </w:r>
      <w:r w:rsidRPr="003E2436">
        <w:rPr>
          <w:sz w:val="24"/>
          <w:szCs w:val="24"/>
        </w:rPr>
        <w:t xml:space="preserve"> </w:t>
      </w:r>
      <w:r w:rsidR="00210577" w:rsidRPr="003E2436">
        <w:rPr>
          <w:sz w:val="24"/>
          <w:szCs w:val="24"/>
        </w:rPr>
        <w:t xml:space="preserve">We now apply </w:t>
      </w:r>
      <w:r w:rsidRPr="003E2436">
        <w:rPr>
          <w:sz w:val="24"/>
          <w:szCs w:val="24"/>
        </w:rPr>
        <w:t>the per-person changes to</w:t>
      </w:r>
      <w:r w:rsidR="00210577" w:rsidRPr="003E2436">
        <w:rPr>
          <w:sz w:val="24"/>
          <w:szCs w:val="24"/>
        </w:rPr>
        <w:t xml:space="preserve"> the </w:t>
      </w:r>
      <w:r w:rsidR="00FB756B" w:rsidRPr="003E2436">
        <w:rPr>
          <w:sz w:val="24"/>
          <w:szCs w:val="24"/>
        </w:rPr>
        <w:t>whole cohort</w:t>
      </w:r>
      <w:r w:rsidR="00492EE6" w:rsidRPr="003E2436">
        <w:rPr>
          <w:sz w:val="24"/>
          <w:szCs w:val="24"/>
        </w:rPr>
        <w:t xml:space="preserve"> in the business as usual and Ticket to Work scenarios</w:t>
      </w:r>
      <w:r w:rsidR="00FB756B" w:rsidRPr="003E2436">
        <w:rPr>
          <w:sz w:val="24"/>
          <w:szCs w:val="24"/>
        </w:rPr>
        <w:t>.</w:t>
      </w:r>
      <w:r w:rsidRPr="003E2436">
        <w:rPr>
          <w:sz w:val="24"/>
          <w:szCs w:val="24"/>
        </w:rPr>
        <w:t xml:space="preserve">  </w:t>
      </w:r>
      <w:r w:rsidR="00584E8E" w:rsidRPr="003E2436">
        <w:rPr>
          <w:sz w:val="24"/>
          <w:szCs w:val="24"/>
        </w:rPr>
        <w:t>Over the three</w:t>
      </w:r>
      <w:r w:rsidR="00EB0461" w:rsidRPr="003E2436">
        <w:rPr>
          <w:sz w:val="24"/>
          <w:szCs w:val="24"/>
        </w:rPr>
        <w:t>-</w:t>
      </w:r>
      <w:r w:rsidR="00584E8E" w:rsidRPr="003E2436">
        <w:rPr>
          <w:sz w:val="24"/>
          <w:szCs w:val="24"/>
        </w:rPr>
        <w:t>year impact period, Ticket to Work participants are estimated to use a total of $</w:t>
      </w:r>
      <w:r w:rsidR="00F2210B" w:rsidRPr="003E2436">
        <w:rPr>
          <w:sz w:val="24"/>
          <w:szCs w:val="24"/>
        </w:rPr>
        <w:t>1</w:t>
      </w:r>
      <w:r w:rsidR="00F519A3" w:rsidRPr="003E2436">
        <w:rPr>
          <w:sz w:val="24"/>
          <w:szCs w:val="24"/>
        </w:rPr>
        <w:t>3</w:t>
      </w:r>
      <w:r w:rsidR="00F2210B" w:rsidRPr="003E2436">
        <w:rPr>
          <w:sz w:val="24"/>
          <w:szCs w:val="24"/>
        </w:rPr>
        <w:t>.</w:t>
      </w:r>
      <w:r w:rsidR="00F519A3" w:rsidRPr="003E2436">
        <w:rPr>
          <w:sz w:val="24"/>
          <w:szCs w:val="24"/>
        </w:rPr>
        <w:t>5</w:t>
      </w:r>
      <w:r w:rsidR="00584E8E" w:rsidRPr="003E2436">
        <w:rPr>
          <w:sz w:val="24"/>
          <w:szCs w:val="24"/>
        </w:rPr>
        <w:t xml:space="preserve">m </w:t>
      </w:r>
      <w:r w:rsidR="00F2210B" w:rsidRPr="003E2436">
        <w:rPr>
          <w:sz w:val="24"/>
          <w:szCs w:val="24"/>
        </w:rPr>
        <w:t>less</w:t>
      </w:r>
      <w:r w:rsidR="00584E8E" w:rsidRPr="003E2436">
        <w:rPr>
          <w:sz w:val="24"/>
          <w:szCs w:val="24"/>
        </w:rPr>
        <w:t xml:space="preserve"> in NDIS supports than the they would have under the ‘business as usual’ scenario. This is about $</w:t>
      </w:r>
      <w:r w:rsidR="00D12E95" w:rsidRPr="003E2436">
        <w:rPr>
          <w:sz w:val="24"/>
          <w:szCs w:val="24"/>
        </w:rPr>
        <w:t>42</w:t>
      </w:r>
      <w:r w:rsidR="008D5EF7" w:rsidRPr="003E2436">
        <w:rPr>
          <w:sz w:val="24"/>
          <w:szCs w:val="24"/>
        </w:rPr>
        <w:t>00</w:t>
      </w:r>
      <w:r w:rsidR="00584E8E" w:rsidRPr="003E2436">
        <w:rPr>
          <w:sz w:val="24"/>
          <w:szCs w:val="24"/>
        </w:rPr>
        <w:t xml:space="preserve"> per participant over three years. </w:t>
      </w:r>
    </w:p>
    <w:p w14:paraId="41A8FB9D" w14:textId="77777777" w:rsidR="006456F1" w:rsidRPr="003E2436" w:rsidRDefault="006456F1" w:rsidP="00584E8E">
      <w:pPr>
        <w:rPr>
          <w:sz w:val="24"/>
          <w:szCs w:val="24"/>
        </w:rPr>
      </w:pPr>
    </w:p>
    <w:p w14:paraId="0AC99C8A" w14:textId="77777777" w:rsidR="006456F1" w:rsidRPr="003E2436" w:rsidRDefault="006456F1" w:rsidP="00584E8E">
      <w:pPr>
        <w:rPr>
          <w:b/>
          <w:sz w:val="24"/>
          <w:szCs w:val="24"/>
        </w:rPr>
      </w:pPr>
      <w:r w:rsidRPr="003E2436">
        <w:rPr>
          <w:b/>
          <w:sz w:val="24"/>
          <w:szCs w:val="24"/>
        </w:rPr>
        <w:t>Reduction in NDIS Social and Community Supports over three years</w:t>
      </w:r>
    </w:p>
    <w:p w14:paraId="73872030" w14:textId="77777777" w:rsidR="006456F1" w:rsidRPr="003E2436" w:rsidRDefault="006456F1" w:rsidP="006456F1">
      <w:pPr>
        <w:spacing w:after="120" w:line="240" w:lineRule="auto"/>
        <w:rPr>
          <w:rFonts w:cs="Arial"/>
          <w:sz w:val="24"/>
          <w:szCs w:val="24"/>
        </w:rPr>
      </w:pPr>
      <w:r w:rsidRPr="003E2436">
        <w:rPr>
          <w:rFonts w:cs="Arial"/>
          <w:sz w:val="24"/>
          <w:szCs w:val="24"/>
        </w:rPr>
        <w:t>Business as usual</w:t>
      </w:r>
    </w:p>
    <w:p w14:paraId="21EACB46" w14:textId="77777777" w:rsidR="006456F1" w:rsidRPr="003E2436" w:rsidRDefault="006456F1" w:rsidP="003E2436">
      <w:pPr>
        <w:pStyle w:val="ListParagraph"/>
        <w:numPr>
          <w:ilvl w:val="1"/>
          <w:numId w:val="25"/>
        </w:numPr>
        <w:spacing w:after="120" w:line="240" w:lineRule="auto"/>
        <w:ind w:left="450"/>
        <w:rPr>
          <w:rFonts w:ascii="Arial" w:hAnsi="Arial" w:cs="Arial"/>
          <w:sz w:val="24"/>
          <w:szCs w:val="24"/>
        </w:rPr>
      </w:pPr>
      <w:r w:rsidRPr="003E2436">
        <w:rPr>
          <w:rFonts w:ascii="Arial" w:hAnsi="Arial" w:cs="Arial"/>
          <w:sz w:val="24"/>
          <w:szCs w:val="24"/>
        </w:rPr>
        <w:t>Entire cohort $66.6m</w:t>
      </w:r>
    </w:p>
    <w:p w14:paraId="4784FD64" w14:textId="77777777" w:rsidR="006456F1" w:rsidRPr="003E2436" w:rsidRDefault="006456F1" w:rsidP="003E2436">
      <w:pPr>
        <w:pStyle w:val="ListParagraph"/>
        <w:numPr>
          <w:ilvl w:val="1"/>
          <w:numId w:val="25"/>
        </w:numPr>
        <w:tabs>
          <w:tab w:val="left" w:pos="1800"/>
        </w:tabs>
        <w:spacing w:after="120" w:line="240" w:lineRule="auto"/>
        <w:ind w:left="450"/>
        <w:rPr>
          <w:rFonts w:ascii="Arial" w:hAnsi="Arial" w:cs="Arial"/>
          <w:sz w:val="24"/>
          <w:szCs w:val="24"/>
        </w:rPr>
      </w:pPr>
      <w:r w:rsidRPr="003E2436">
        <w:rPr>
          <w:rFonts w:ascii="Arial" w:hAnsi="Arial" w:cs="Arial"/>
          <w:sz w:val="24"/>
          <w:szCs w:val="24"/>
        </w:rPr>
        <w:t>Average per participant $20,700</w:t>
      </w:r>
    </w:p>
    <w:p w14:paraId="53F9D1AC" w14:textId="77777777" w:rsidR="006456F1" w:rsidRPr="003E2436" w:rsidRDefault="006456F1" w:rsidP="006456F1">
      <w:pPr>
        <w:spacing w:after="120" w:line="240" w:lineRule="auto"/>
        <w:rPr>
          <w:rFonts w:cs="Arial"/>
          <w:sz w:val="24"/>
          <w:szCs w:val="24"/>
        </w:rPr>
      </w:pPr>
      <w:r w:rsidRPr="003E2436">
        <w:rPr>
          <w:rFonts w:cs="Arial"/>
          <w:sz w:val="24"/>
          <w:szCs w:val="24"/>
        </w:rPr>
        <w:t xml:space="preserve">Ticket to Work </w:t>
      </w:r>
    </w:p>
    <w:p w14:paraId="31EDA65A" w14:textId="77777777" w:rsidR="006456F1" w:rsidRPr="003E2436" w:rsidRDefault="006456F1" w:rsidP="003E2436">
      <w:pPr>
        <w:pStyle w:val="ListParagraph"/>
        <w:numPr>
          <w:ilvl w:val="1"/>
          <w:numId w:val="25"/>
        </w:numPr>
        <w:spacing w:after="120" w:line="240" w:lineRule="auto"/>
        <w:ind w:left="450"/>
        <w:rPr>
          <w:rFonts w:ascii="Arial" w:hAnsi="Arial" w:cs="Arial"/>
          <w:sz w:val="24"/>
          <w:szCs w:val="24"/>
        </w:rPr>
      </w:pPr>
      <w:r w:rsidRPr="003E2436">
        <w:rPr>
          <w:rFonts w:ascii="Arial" w:hAnsi="Arial" w:cs="Arial"/>
          <w:sz w:val="24"/>
          <w:szCs w:val="24"/>
        </w:rPr>
        <w:t>Entire cohort $53.2m</w:t>
      </w:r>
    </w:p>
    <w:p w14:paraId="05138FA2" w14:textId="77777777" w:rsidR="006456F1" w:rsidRPr="003E2436" w:rsidRDefault="006456F1" w:rsidP="003E2436">
      <w:pPr>
        <w:pStyle w:val="ListParagraph"/>
        <w:numPr>
          <w:ilvl w:val="1"/>
          <w:numId w:val="25"/>
        </w:numPr>
        <w:spacing w:after="120" w:line="240" w:lineRule="auto"/>
        <w:ind w:left="450"/>
        <w:rPr>
          <w:rFonts w:ascii="Arial" w:hAnsi="Arial" w:cs="Arial"/>
          <w:sz w:val="24"/>
          <w:szCs w:val="24"/>
        </w:rPr>
      </w:pPr>
      <w:r w:rsidRPr="003E2436">
        <w:rPr>
          <w:rFonts w:ascii="Arial" w:hAnsi="Arial" w:cs="Arial"/>
          <w:sz w:val="24"/>
          <w:szCs w:val="24"/>
        </w:rPr>
        <w:t>Average per participant $16,500</w:t>
      </w:r>
    </w:p>
    <w:p w14:paraId="5A79F186" w14:textId="77777777" w:rsidR="006456F1" w:rsidRPr="003E2436" w:rsidRDefault="006456F1" w:rsidP="006456F1">
      <w:pPr>
        <w:spacing w:after="120" w:line="240" w:lineRule="auto"/>
        <w:rPr>
          <w:rFonts w:cs="Arial"/>
          <w:sz w:val="24"/>
          <w:szCs w:val="24"/>
        </w:rPr>
      </w:pPr>
      <w:r w:rsidRPr="003E2436">
        <w:rPr>
          <w:rFonts w:cs="Arial"/>
          <w:sz w:val="24"/>
          <w:szCs w:val="24"/>
        </w:rPr>
        <w:t xml:space="preserve">Difference </w:t>
      </w:r>
    </w:p>
    <w:p w14:paraId="133379F3" w14:textId="77777777" w:rsidR="006456F1" w:rsidRPr="003E2436" w:rsidRDefault="006456F1" w:rsidP="003E2436">
      <w:pPr>
        <w:pStyle w:val="ListParagraph"/>
        <w:numPr>
          <w:ilvl w:val="1"/>
          <w:numId w:val="25"/>
        </w:numPr>
        <w:spacing w:after="120" w:line="240" w:lineRule="auto"/>
        <w:ind w:left="450"/>
        <w:rPr>
          <w:rFonts w:ascii="Arial" w:hAnsi="Arial" w:cs="Arial"/>
          <w:sz w:val="24"/>
          <w:szCs w:val="24"/>
        </w:rPr>
      </w:pPr>
      <w:r w:rsidRPr="003E2436">
        <w:rPr>
          <w:rFonts w:ascii="Arial" w:hAnsi="Arial" w:cs="Arial"/>
          <w:sz w:val="24"/>
          <w:szCs w:val="24"/>
        </w:rPr>
        <w:t>Entire cohort $13.5m</w:t>
      </w:r>
    </w:p>
    <w:p w14:paraId="38DA11B4" w14:textId="77777777" w:rsidR="00F35FB2" w:rsidRPr="003E2436" w:rsidRDefault="006456F1" w:rsidP="003E2436">
      <w:pPr>
        <w:pStyle w:val="ListParagraph"/>
        <w:numPr>
          <w:ilvl w:val="1"/>
          <w:numId w:val="25"/>
        </w:numPr>
        <w:spacing w:after="120" w:line="240" w:lineRule="auto"/>
        <w:ind w:left="450"/>
        <w:rPr>
          <w:rFonts w:ascii="Arial" w:hAnsi="Arial" w:cs="Arial"/>
          <w:sz w:val="24"/>
          <w:szCs w:val="24"/>
        </w:rPr>
      </w:pPr>
      <w:r w:rsidRPr="003E2436">
        <w:rPr>
          <w:rFonts w:ascii="Arial" w:hAnsi="Arial" w:cs="Arial"/>
          <w:sz w:val="24"/>
          <w:szCs w:val="24"/>
        </w:rPr>
        <w:t>Average per participant $4,200</w:t>
      </w:r>
    </w:p>
    <w:p w14:paraId="20E60999" w14:textId="77777777" w:rsidR="006456F1" w:rsidRPr="003E2436" w:rsidRDefault="006456F1" w:rsidP="006456F1">
      <w:pPr>
        <w:spacing w:after="120" w:line="240" w:lineRule="auto"/>
        <w:rPr>
          <w:rFonts w:cs="Arial"/>
          <w:sz w:val="24"/>
          <w:szCs w:val="24"/>
        </w:rPr>
      </w:pPr>
    </w:p>
    <w:p w14:paraId="340AF8F1" w14:textId="77777777" w:rsidR="00E422B0" w:rsidRPr="003E2436" w:rsidRDefault="00227B56" w:rsidP="006456F1">
      <w:pPr>
        <w:rPr>
          <w:rFonts w:cs="Arial"/>
          <w:b/>
          <w:sz w:val="28"/>
          <w:szCs w:val="28"/>
        </w:rPr>
      </w:pPr>
      <w:r w:rsidRPr="003E2436">
        <w:rPr>
          <w:b/>
          <w:sz w:val="28"/>
          <w:szCs w:val="28"/>
        </w:rPr>
        <w:t xml:space="preserve">Long Term Outcome </w:t>
      </w:r>
      <w:r w:rsidR="00E422B0" w:rsidRPr="003E2436">
        <w:rPr>
          <w:b/>
          <w:sz w:val="28"/>
          <w:szCs w:val="28"/>
        </w:rPr>
        <w:t xml:space="preserve">7. </w:t>
      </w:r>
      <w:r w:rsidR="00B3181C" w:rsidRPr="003E2436">
        <w:rPr>
          <w:b/>
          <w:sz w:val="28"/>
          <w:szCs w:val="28"/>
        </w:rPr>
        <w:t>Increase in Disability Employment Support usage</w:t>
      </w:r>
    </w:p>
    <w:p w14:paraId="23FCFE88" w14:textId="77777777" w:rsidR="009136BF" w:rsidRPr="003E2436" w:rsidRDefault="00227B56" w:rsidP="00372178">
      <w:pPr>
        <w:rPr>
          <w:sz w:val="28"/>
          <w:szCs w:val="28"/>
        </w:rPr>
      </w:pPr>
      <w:r w:rsidRPr="003E2436">
        <w:rPr>
          <w:b/>
          <w:sz w:val="28"/>
          <w:szCs w:val="28"/>
        </w:rPr>
        <w:t xml:space="preserve">Long Term Outcome </w:t>
      </w:r>
      <w:r w:rsidR="00711670" w:rsidRPr="003E2436">
        <w:rPr>
          <w:b/>
          <w:sz w:val="28"/>
          <w:szCs w:val="28"/>
        </w:rPr>
        <w:t>7</w:t>
      </w:r>
      <w:r w:rsidR="00372178" w:rsidRPr="003E2436">
        <w:rPr>
          <w:b/>
          <w:sz w:val="28"/>
          <w:szCs w:val="28"/>
        </w:rPr>
        <w:t>. What outcomes do participants experience as a result of being involved in Ticket to Work?</w:t>
      </w:r>
      <w:r w:rsidR="00372178" w:rsidRPr="003E2436">
        <w:rPr>
          <w:sz w:val="28"/>
          <w:szCs w:val="28"/>
        </w:rPr>
        <w:t xml:space="preserve"> </w:t>
      </w:r>
    </w:p>
    <w:p w14:paraId="3BBD7E19" w14:textId="77777777" w:rsidR="001144B0" w:rsidRPr="003E2436" w:rsidRDefault="009136BF" w:rsidP="00264E74">
      <w:pPr>
        <w:pStyle w:val="NoSpacing"/>
        <w:rPr>
          <w:sz w:val="24"/>
          <w:szCs w:val="24"/>
        </w:rPr>
      </w:pPr>
      <w:r w:rsidRPr="003E2436">
        <w:rPr>
          <w:sz w:val="24"/>
          <w:szCs w:val="24"/>
        </w:rPr>
        <w:t xml:space="preserve">Disability </w:t>
      </w:r>
      <w:r w:rsidR="009E1806" w:rsidRPr="003E2436">
        <w:rPr>
          <w:sz w:val="24"/>
          <w:szCs w:val="24"/>
        </w:rPr>
        <w:t>Em</w:t>
      </w:r>
      <w:r w:rsidRPr="003E2436">
        <w:rPr>
          <w:sz w:val="24"/>
          <w:szCs w:val="24"/>
        </w:rPr>
        <w:t xml:space="preserve">ployment </w:t>
      </w:r>
      <w:r w:rsidR="009E1806" w:rsidRPr="003E2436">
        <w:rPr>
          <w:sz w:val="24"/>
          <w:szCs w:val="24"/>
        </w:rPr>
        <w:t>S</w:t>
      </w:r>
      <w:r w:rsidRPr="003E2436">
        <w:rPr>
          <w:sz w:val="24"/>
          <w:szCs w:val="24"/>
        </w:rPr>
        <w:t>ervices (DES)</w:t>
      </w:r>
      <w:r w:rsidRPr="003E2436">
        <w:rPr>
          <w:b/>
          <w:sz w:val="24"/>
          <w:szCs w:val="24"/>
        </w:rPr>
        <w:t xml:space="preserve"> </w:t>
      </w:r>
      <w:r w:rsidRPr="003E2436">
        <w:rPr>
          <w:sz w:val="24"/>
          <w:szCs w:val="24"/>
        </w:rPr>
        <w:t>payments are made by the government to service providers to assist people with disability</w:t>
      </w:r>
      <w:r w:rsidR="002D48FE" w:rsidRPr="003E2436">
        <w:rPr>
          <w:sz w:val="24"/>
          <w:szCs w:val="24"/>
        </w:rPr>
        <w:t xml:space="preserve"> to</w:t>
      </w:r>
      <w:r w:rsidRPr="003E2436">
        <w:rPr>
          <w:sz w:val="24"/>
          <w:szCs w:val="24"/>
        </w:rPr>
        <w:t xml:space="preserve"> find and keep a job. </w:t>
      </w:r>
      <w:r w:rsidR="003C1747" w:rsidRPr="003E2436">
        <w:rPr>
          <w:sz w:val="24"/>
          <w:szCs w:val="24"/>
        </w:rPr>
        <w:t xml:space="preserve">DES </w:t>
      </w:r>
      <w:r w:rsidR="003C1747" w:rsidRPr="003E2436">
        <w:rPr>
          <w:sz w:val="24"/>
          <w:szCs w:val="24"/>
        </w:rPr>
        <w:lastRenderedPageBreak/>
        <w:t xml:space="preserve">payments are only payable for people assessed as being capable of working at least 8 hours per week, and are not available for people working in an ADE or in study. </w:t>
      </w:r>
      <w:r w:rsidRPr="003E2436">
        <w:rPr>
          <w:sz w:val="24"/>
          <w:szCs w:val="24"/>
        </w:rPr>
        <w:t xml:space="preserve">These payments include a range of ongoing service fees, as well as outcome fees for people with disability who are placed in work. </w:t>
      </w:r>
      <w:r w:rsidR="001144B0" w:rsidRPr="003E2436">
        <w:rPr>
          <w:sz w:val="24"/>
          <w:szCs w:val="24"/>
        </w:rPr>
        <w:t>There are three broad groups of assistance:</w:t>
      </w:r>
    </w:p>
    <w:p w14:paraId="6F9B64FD" w14:textId="77777777" w:rsidR="001144B0" w:rsidRPr="003E2436" w:rsidRDefault="00F0281B" w:rsidP="003E2436">
      <w:pPr>
        <w:pStyle w:val="NoSpacing"/>
        <w:numPr>
          <w:ilvl w:val="0"/>
          <w:numId w:val="16"/>
        </w:numPr>
        <w:ind w:left="360"/>
        <w:rPr>
          <w:sz w:val="24"/>
          <w:szCs w:val="24"/>
        </w:rPr>
      </w:pPr>
      <w:r w:rsidRPr="003E2436">
        <w:rPr>
          <w:sz w:val="24"/>
          <w:szCs w:val="24"/>
        </w:rPr>
        <w:t xml:space="preserve">Employment Assistance is provided to people with disability looking for jobs, </w:t>
      </w:r>
    </w:p>
    <w:p w14:paraId="377E2AEF" w14:textId="77777777" w:rsidR="001144B0" w:rsidRPr="003E2436" w:rsidRDefault="00F0281B" w:rsidP="003E2436">
      <w:pPr>
        <w:pStyle w:val="NoSpacing"/>
        <w:numPr>
          <w:ilvl w:val="0"/>
          <w:numId w:val="16"/>
        </w:numPr>
        <w:ind w:left="360"/>
        <w:rPr>
          <w:sz w:val="24"/>
          <w:szCs w:val="24"/>
        </w:rPr>
      </w:pPr>
      <w:r w:rsidRPr="003E2436">
        <w:rPr>
          <w:sz w:val="24"/>
          <w:szCs w:val="24"/>
        </w:rPr>
        <w:t>Post-Placement support is provided for people in the year following</w:t>
      </w:r>
      <w:r w:rsidR="00283169" w:rsidRPr="003E2436">
        <w:rPr>
          <w:sz w:val="24"/>
          <w:szCs w:val="24"/>
        </w:rPr>
        <w:t xml:space="preserve"> the start of a new job, </w:t>
      </w:r>
      <w:r w:rsidR="001144B0" w:rsidRPr="003E2436">
        <w:rPr>
          <w:sz w:val="24"/>
          <w:szCs w:val="24"/>
        </w:rPr>
        <w:t>and</w:t>
      </w:r>
    </w:p>
    <w:p w14:paraId="7E41D163" w14:textId="77777777" w:rsidR="007A719D" w:rsidRPr="003E2436" w:rsidRDefault="001144B0" w:rsidP="003E2436">
      <w:pPr>
        <w:pStyle w:val="NoSpacing"/>
        <w:numPr>
          <w:ilvl w:val="0"/>
          <w:numId w:val="16"/>
        </w:numPr>
        <w:ind w:left="360"/>
        <w:rPr>
          <w:sz w:val="24"/>
          <w:szCs w:val="24"/>
        </w:rPr>
      </w:pPr>
      <w:r w:rsidRPr="003E2436">
        <w:rPr>
          <w:sz w:val="24"/>
          <w:szCs w:val="24"/>
        </w:rPr>
        <w:t>O</w:t>
      </w:r>
      <w:r w:rsidR="00283169" w:rsidRPr="003E2436">
        <w:rPr>
          <w:sz w:val="24"/>
          <w:szCs w:val="24"/>
        </w:rPr>
        <w:t xml:space="preserve">ngoing </w:t>
      </w:r>
      <w:r w:rsidRPr="003E2436">
        <w:rPr>
          <w:sz w:val="24"/>
          <w:szCs w:val="24"/>
        </w:rPr>
        <w:t>S</w:t>
      </w:r>
      <w:r w:rsidR="00283169" w:rsidRPr="003E2436">
        <w:rPr>
          <w:sz w:val="24"/>
          <w:szCs w:val="24"/>
        </w:rPr>
        <w:t xml:space="preserve">upport may be provided if required. </w:t>
      </w:r>
    </w:p>
    <w:p w14:paraId="3E0AB681" w14:textId="77777777" w:rsidR="001144B0" w:rsidRDefault="001144B0" w:rsidP="001144B0">
      <w:pPr>
        <w:pStyle w:val="NoSpacing"/>
      </w:pPr>
      <w:r w:rsidRPr="003E2436">
        <w:rPr>
          <w:sz w:val="24"/>
          <w:szCs w:val="24"/>
        </w:rPr>
        <w:t>The sequencing of these support phases</w:t>
      </w:r>
      <w:r w:rsidR="00085FD0" w:rsidRPr="003E2436">
        <w:rPr>
          <w:sz w:val="24"/>
          <w:szCs w:val="24"/>
        </w:rPr>
        <w:t>, along with the payment rates,</w:t>
      </w:r>
      <w:r w:rsidRPr="003E2436">
        <w:rPr>
          <w:sz w:val="24"/>
          <w:szCs w:val="24"/>
        </w:rPr>
        <w:t xml:space="preserve"> are set out in the diagram below. A </w:t>
      </w:r>
      <w:r w:rsidR="00503177" w:rsidRPr="003E2436">
        <w:rPr>
          <w:sz w:val="24"/>
          <w:szCs w:val="24"/>
        </w:rPr>
        <w:t>former DES participant that longer requires support to maintain or find a job is an</w:t>
      </w:r>
      <w:r w:rsidR="00503177">
        <w:t xml:space="preserve"> independent worker. </w:t>
      </w:r>
    </w:p>
    <w:p w14:paraId="3C08504D" w14:textId="77777777" w:rsidR="002253BE" w:rsidRDefault="007827DF" w:rsidP="00264E74">
      <w:pPr>
        <w:pStyle w:val="NoSpacing"/>
        <w:keepNext/>
      </w:pPr>
      <w:r>
        <w:rPr>
          <w:noProof/>
          <w:lang w:eastAsia="en-AU"/>
        </w:rPr>
        <w:drawing>
          <wp:inline distT="0" distB="0" distL="0" distR="0" wp14:anchorId="4150C460" wp14:editId="528A8073">
            <wp:extent cx="5531485" cy="1515763"/>
            <wp:effectExtent l="0" t="0" r="0" b="8255"/>
            <wp:docPr id="21" name="Picture 21" descr="This flow chart show the following. &#10;1. Employment assistance (to find a job) Fee: $738 per quarter then move onto start job. &#10;2. Post placement support (for up to 52weeks after finding a job) Fee up to $5467. There are 2 options after this phase. Option 1 they become a independent worker or &#10;3. Ongoing support (if needed) Fee $446 per instance of flexible ongoing support or $5352 for medium ongoing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63041" cy="1524410"/>
                    </a:xfrm>
                    <a:prstGeom prst="rect">
                      <a:avLst/>
                    </a:prstGeom>
                    <a:noFill/>
                  </pic:spPr>
                </pic:pic>
              </a:graphicData>
            </a:graphic>
          </wp:inline>
        </w:drawing>
      </w:r>
    </w:p>
    <w:p w14:paraId="25FD60DB" w14:textId="77777777" w:rsidR="00372178" w:rsidRPr="003E2436" w:rsidRDefault="002253BE" w:rsidP="00264E74">
      <w:pPr>
        <w:pStyle w:val="Caption"/>
        <w:rPr>
          <w:i w:val="0"/>
          <w:sz w:val="24"/>
          <w:szCs w:val="24"/>
        </w:rPr>
      </w:pPr>
      <w:bookmarkStart w:id="18" w:name="_Ref22875592"/>
      <w:r w:rsidRPr="003E2436">
        <w:rPr>
          <w:i w:val="0"/>
          <w:color w:val="auto"/>
          <w:sz w:val="24"/>
          <w:szCs w:val="24"/>
        </w:rPr>
        <w:t xml:space="preserve">Figure </w:t>
      </w:r>
      <w:r w:rsidR="00A37DAD" w:rsidRPr="003E2436">
        <w:rPr>
          <w:i w:val="0"/>
          <w:color w:val="auto"/>
          <w:sz w:val="24"/>
          <w:szCs w:val="24"/>
        </w:rPr>
        <w:fldChar w:fldCharType="begin"/>
      </w:r>
      <w:r w:rsidR="00A37DAD" w:rsidRPr="003E2436">
        <w:rPr>
          <w:i w:val="0"/>
          <w:color w:val="auto"/>
          <w:sz w:val="24"/>
          <w:szCs w:val="24"/>
        </w:rPr>
        <w:instrText xml:space="preserve"> SEQ Figure \* ARABIC </w:instrText>
      </w:r>
      <w:r w:rsidR="00A37DAD" w:rsidRPr="003E2436">
        <w:rPr>
          <w:i w:val="0"/>
          <w:color w:val="auto"/>
          <w:sz w:val="24"/>
          <w:szCs w:val="24"/>
        </w:rPr>
        <w:fldChar w:fldCharType="separate"/>
      </w:r>
      <w:r w:rsidR="004912C4" w:rsidRPr="003E2436">
        <w:rPr>
          <w:i w:val="0"/>
          <w:noProof/>
          <w:color w:val="auto"/>
          <w:sz w:val="24"/>
          <w:szCs w:val="24"/>
        </w:rPr>
        <w:t>14</w:t>
      </w:r>
      <w:r w:rsidR="00A37DAD" w:rsidRPr="003E2436">
        <w:rPr>
          <w:i w:val="0"/>
          <w:noProof/>
          <w:color w:val="auto"/>
          <w:sz w:val="24"/>
          <w:szCs w:val="24"/>
        </w:rPr>
        <w:fldChar w:fldCharType="end"/>
      </w:r>
      <w:bookmarkEnd w:id="18"/>
      <w:r w:rsidRPr="003E2436">
        <w:rPr>
          <w:i w:val="0"/>
          <w:color w:val="auto"/>
          <w:sz w:val="24"/>
          <w:szCs w:val="24"/>
        </w:rPr>
        <w:t>: Phases of DES support to job seekers</w:t>
      </w:r>
    </w:p>
    <w:p w14:paraId="047984F5" w14:textId="77777777" w:rsidR="00283169" w:rsidRPr="003E2436" w:rsidRDefault="00A80EDF" w:rsidP="00227B56">
      <w:pPr>
        <w:pStyle w:val="NoSpacing"/>
        <w:rPr>
          <w:sz w:val="24"/>
          <w:szCs w:val="24"/>
        </w:rPr>
      </w:pPr>
      <w:r w:rsidRPr="003E2436">
        <w:rPr>
          <w:sz w:val="24"/>
          <w:szCs w:val="24"/>
        </w:rPr>
        <w:fldChar w:fldCharType="begin"/>
      </w:r>
      <w:r w:rsidRPr="003E2436">
        <w:rPr>
          <w:sz w:val="24"/>
          <w:szCs w:val="24"/>
        </w:rPr>
        <w:instrText xml:space="preserve"> REF _Ref22875612 \h </w:instrText>
      </w:r>
      <w:r w:rsidR="003E2436">
        <w:rPr>
          <w:sz w:val="24"/>
          <w:szCs w:val="24"/>
        </w:rPr>
        <w:instrText xml:space="preserve"> \* MERGEFORMAT </w:instrText>
      </w:r>
      <w:r w:rsidRPr="003E2436">
        <w:rPr>
          <w:sz w:val="24"/>
          <w:szCs w:val="24"/>
        </w:rPr>
      </w:r>
      <w:r w:rsidRPr="003E2436">
        <w:rPr>
          <w:sz w:val="24"/>
          <w:szCs w:val="24"/>
        </w:rPr>
        <w:fldChar w:fldCharType="separate"/>
      </w:r>
      <w:r w:rsidRPr="003E2436">
        <w:rPr>
          <w:sz w:val="24"/>
          <w:szCs w:val="24"/>
        </w:rPr>
        <w:t xml:space="preserve">Figure </w:t>
      </w:r>
      <w:r w:rsidRPr="003E2436">
        <w:rPr>
          <w:noProof/>
          <w:sz w:val="24"/>
          <w:szCs w:val="24"/>
        </w:rPr>
        <w:t>15</w:t>
      </w:r>
      <w:r w:rsidRPr="003E2436">
        <w:rPr>
          <w:sz w:val="24"/>
          <w:szCs w:val="24"/>
        </w:rPr>
        <w:fldChar w:fldCharType="end"/>
      </w:r>
      <w:r w:rsidRPr="003E2436">
        <w:rPr>
          <w:sz w:val="24"/>
          <w:szCs w:val="24"/>
        </w:rPr>
        <w:t xml:space="preserve"> </w:t>
      </w:r>
      <w:r w:rsidR="002253BE" w:rsidRPr="003E2436">
        <w:rPr>
          <w:sz w:val="24"/>
          <w:szCs w:val="24"/>
        </w:rPr>
        <w:t>below</w:t>
      </w:r>
      <w:r w:rsidR="00DC040E" w:rsidRPr="003E2436">
        <w:rPr>
          <w:sz w:val="24"/>
          <w:szCs w:val="24"/>
        </w:rPr>
        <w:t xml:space="preserve"> </w:t>
      </w:r>
      <w:r w:rsidR="002253BE" w:rsidRPr="003E2436">
        <w:rPr>
          <w:sz w:val="24"/>
          <w:szCs w:val="24"/>
        </w:rPr>
        <w:t>shows that some 92% of participants are in the</w:t>
      </w:r>
      <w:r w:rsidR="005017EB" w:rsidRPr="003E2436">
        <w:rPr>
          <w:sz w:val="24"/>
          <w:szCs w:val="24"/>
        </w:rPr>
        <w:t xml:space="preserve"> Employment Assistance or Post-Placement phases of DES support. In contrast, </w:t>
      </w:r>
      <w:r w:rsidR="001D5F26" w:rsidRPr="003E2436">
        <w:rPr>
          <w:sz w:val="24"/>
          <w:szCs w:val="24"/>
        </w:rPr>
        <w:t xml:space="preserve">relatively few Ticket to Work </w:t>
      </w:r>
      <w:r w:rsidR="00F50515" w:rsidRPr="003E2436">
        <w:rPr>
          <w:sz w:val="24"/>
          <w:szCs w:val="24"/>
        </w:rPr>
        <w:t>DES recipients</w:t>
      </w:r>
      <w:r w:rsidR="001D5F26" w:rsidRPr="003E2436">
        <w:rPr>
          <w:sz w:val="24"/>
          <w:szCs w:val="24"/>
        </w:rPr>
        <w:t xml:space="preserve"> </w:t>
      </w:r>
      <w:r w:rsidR="00F50515" w:rsidRPr="003E2436">
        <w:rPr>
          <w:sz w:val="24"/>
          <w:szCs w:val="24"/>
        </w:rPr>
        <w:t>are in these phases</w:t>
      </w:r>
      <w:r w:rsidR="00140E1E" w:rsidRPr="003E2436">
        <w:rPr>
          <w:sz w:val="24"/>
          <w:szCs w:val="24"/>
        </w:rPr>
        <w:t>: about 70% are in the Ongoing Support phase</w:t>
      </w:r>
      <w:r w:rsidR="006A1A6F" w:rsidRPr="003E2436">
        <w:rPr>
          <w:sz w:val="24"/>
          <w:szCs w:val="24"/>
        </w:rPr>
        <w:t xml:space="preserve">, indicating progress towards </w:t>
      </w:r>
      <w:r w:rsidR="00562E07" w:rsidRPr="003E2436">
        <w:rPr>
          <w:sz w:val="24"/>
          <w:szCs w:val="24"/>
        </w:rPr>
        <w:t>independent work</w:t>
      </w:r>
      <w:r w:rsidR="00AE45A9" w:rsidRPr="003E2436">
        <w:rPr>
          <w:sz w:val="24"/>
          <w:szCs w:val="24"/>
        </w:rPr>
        <w:t>. (Ticket to Work data calculated by the Department of Social Services in December 2017. All DES recipient data is from the 30 September 2019 DES Month</w:t>
      </w:r>
      <w:r w:rsidR="00A27852" w:rsidRPr="003E2436">
        <w:rPr>
          <w:sz w:val="24"/>
          <w:szCs w:val="24"/>
        </w:rPr>
        <w:t xml:space="preserve">ly Tracking Data available from </w:t>
      </w:r>
      <w:hyperlink r:id="rId40" w:history="1">
        <w:r w:rsidR="00A27852" w:rsidRPr="003E2436">
          <w:rPr>
            <w:rStyle w:val="Hyperlink"/>
            <w:sz w:val="24"/>
            <w:szCs w:val="24"/>
          </w:rPr>
          <w:t>Disability Employment Services data.</w:t>
        </w:r>
      </w:hyperlink>
      <w:r w:rsidR="00A27852" w:rsidRPr="003E2436">
        <w:rPr>
          <w:sz w:val="24"/>
          <w:szCs w:val="24"/>
        </w:rPr>
        <w:t xml:space="preserve"> </w:t>
      </w:r>
      <w:r w:rsidR="00AE45A9" w:rsidRPr="003E2436">
        <w:rPr>
          <w:sz w:val="24"/>
          <w:szCs w:val="24"/>
        </w:rPr>
        <w:t>The comparison group is all people with disability, because data is unavailable for a more comparable group (under 25 with intellectual disability).</w:t>
      </w:r>
    </w:p>
    <w:p w14:paraId="44EE64D9" w14:textId="77777777" w:rsidR="002253BE" w:rsidRDefault="00126A92" w:rsidP="00264E74">
      <w:pPr>
        <w:pStyle w:val="NoSpacing"/>
        <w:keepNext/>
        <w:jc w:val="center"/>
      </w:pPr>
      <w:r>
        <w:rPr>
          <w:noProof/>
          <w:lang w:eastAsia="en-AU"/>
        </w:rPr>
        <w:lastRenderedPageBreak/>
        <w:drawing>
          <wp:inline distT="0" distB="0" distL="0" distR="0" wp14:anchorId="266E92FF" wp14:editId="7B0A0498">
            <wp:extent cx="4432300" cy="1613997"/>
            <wp:effectExtent l="0" t="0" r="6350" b="5715"/>
            <wp:docPr id="7" name="Picture 7" descr="All Des recipients 64% employment assistance compared to 7% Ticket to work des recipients. All Des recipients 28% post placement support compared to 22% ticket to work des recipients. All des recipients 8% ongoing support compared to 71% ticket to work des recipi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462648" cy="1625048"/>
                    </a:xfrm>
                    <a:prstGeom prst="rect">
                      <a:avLst/>
                    </a:prstGeom>
                    <a:noFill/>
                  </pic:spPr>
                </pic:pic>
              </a:graphicData>
            </a:graphic>
          </wp:inline>
        </w:drawing>
      </w:r>
    </w:p>
    <w:p w14:paraId="089FBB5E" w14:textId="77777777" w:rsidR="00283169" w:rsidRPr="003E2436" w:rsidRDefault="002253BE" w:rsidP="00264E74">
      <w:pPr>
        <w:pStyle w:val="Caption"/>
        <w:rPr>
          <w:i w:val="0"/>
          <w:sz w:val="24"/>
          <w:szCs w:val="24"/>
        </w:rPr>
      </w:pPr>
      <w:bookmarkStart w:id="19" w:name="_Ref22875612"/>
      <w:r w:rsidRPr="003E2436">
        <w:rPr>
          <w:i w:val="0"/>
          <w:color w:val="auto"/>
          <w:sz w:val="24"/>
          <w:szCs w:val="24"/>
        </w:rPr>
        <w:t xml:space="preserve">Figure </w:t>
      </w:r>
      <w:r w:rsidR="00A37DAD" w:rsidRPr="003E2436">
        <w:rPr>
          <w:i w:val="0"/>
          <w:color w:val="auto"/>
          <w:sz w:val="24"/>
          <w:szCs w:val="24"/>
        </w:rPr>
        <w:fldChar w:fldCharType="begin"/>
      </w:r>
      <w:r w:rsidR="00A37DAD" w:rsidRPr="003E2436">
        <w:rPr>
          <w:i w:val="0"/>
          <w:color w:val="auto"/>
          <w:sz w:val="24"/>
          <w:szCs w:val="24"/>
        </w:rPr>
        <w:instrText xml:space="preserve"> SEQ Figure \* ARABIC </w:instrText>
      </w:r>
      <w:r w:rsidR="00A37DAD" w:rsidRPr="003E2436">
        <w:rPr>
          <w:i w:val="0"/>
          <w:color w:val="auto"/>
          <w:sz w:val="24"/>
          <w:szCs w:val="24"/>
        </w:rPr>
        <w:fldChar w:fldCharType="separate"/>
      </w:r>
      <w:r w:rsidR="004912C4" w:rsidRPr="003E2436">
        <w:rPr>
          <w:i w:val="0"/>
          <w:noProof/>
          <w:color w:val="auto"/>
          <w:sz w:val="24"/>
          <w:szCs w:val="24"/>
        </w:rPr>
        <w:t>15</w:t>
      </w:r>
      <w:r w:rsidR="00A37DAD" w:rsidRPr="003E2436">
        <w:rPr>
          <w:i w:val="0"/>
          <w:noProof/>
          <w:color w:val="auto"/>
          <w:sz w:val="24"/>
          <w:szCs w:val="24"/>
        </w:rPr>
        <w:fldChar w:fldCharType="end"/>
      </w:r>
      <w:bookmarkEnd w:id="19"/>
      <w:r w:rsidRPr="003E2436">
        <w:rPr>
          <w:i w:val="0"/>
          <w:color w:val="auto"/>
          <w:sz w:val="24"/>
          <w:szCs w:val="24"/>
        </w:rPr>
        <w:t>: Percentage of DES participants in each of the phases of support</w:t>
      </w:r>
    </w:p>
    <w:p w14:paraId="72E3B327" w14:textId="77777777" w:rsidR="009136BF" w:rsidRPr="003E2436" w:rsidRDefault="009136BF" w:rsidP="00AE45A9">
      <w:pPr>
        <w:rPr>
          <w:rFonts w:cs="Arial"/>
          <w:sz w:val="24"/>
          <w:szCs w:val="24"/>
        </w:rPr>
      </w:pPr>
      <w:r w:rsidRPr="003E2436">
        <w:rPr>
          <w:sz w:val="24"/>
          <w:szCs w:val="24"/>
        </w:rPr>
        <w:t xml:space="preserve">Ticket to Work </w:t>
      </w:r>
      <w:r w:rsidR="00896700" w:rsidRPr="003E2436">
        <w:rPr>
          <w:sz w:val="24"/>
          <w:szCs w:val="24"/>
        </w:rPr>
        <w:t>has effects that both decrease and increase the total amounts that are paid by the government to providers supporting Ticket to Work participants. In particular</w:t>
      </w:r>
      <w:r w:rsidRPr="003E2436">
        <w:rPr>
          <w:sz w:val="24"/>
          <w:szCs w:val="24"/>
        </w:rPr>
        <w:t>:</w:t>
      </w:r>
    </w:p>
    <w:p w14:paraId="245CCD3D" w14:textId="77777777" w:rsidR="009136BF" w:rsidRPr="003E2436" w:rsidRDefault="009136BF" w:rsidP="003E2436">
      <w:pPr>
        <w:pStyle w:val="Bulletlist"/>
        <w:ind w:left="360"/>
        <w:rPr>
          <w:sz w:val="24"/>
          <w:szCs w:val="24"/>
        </w:rPr>
      </w:pPr>
      <w:r w:rsidRPr="003E2436">
        <w:rPr>
          <w:sz w:val="24"/>
          <w:szCs w:val="24"/>
          <w:u w:val="single"/>
        </w:rPr>
        <w:t>Ticket to Work may increase DES payments:</w:t>
      </w:r>
      <w:r w:rsidRPr="003E2436">
        <w:rPr>
          <w:sz w:val="24"/>
          <w:szCs w:val="24"/>
        </w:rPr>
        <w:t xml:space="preserve"> </w:t>
      </w:r>
      <w:r w:rsidR="001A414B" w:rsidRPr="003E2436">
        <w:rPr>
          <w:sz w:val="24"/>
          <w:szCs w:val="24"/>
        </w:rPr>
        <w:t xml:space="preserve">82% of </w:t>
      </w:r>
      <w:r w:rsidR="002B6F7E" w:rsidRPr="003E2436">
        <w:rPr>
          <w:sz w:val="24"/>
          <w:szCs w:val="24"/>
        </w:rPr>
        <w:t xml:space="preserve">Ticket to Work participants </w:t>
      </w:r>
      <w:r w:rsidR="000A1F87" w:rsidRPr="003E2436">
        <w:rPr>
          <w:sz w:val="24"/>
          <w:szCs w:val="24"/>
        </w:rPr>
        <w:t xml:space="preserve">either </w:t>
      </w:r>
      <w:r w:rsidR="002B6F7E" w:rsidRPr="003E2436">
        <w:rPr>
          <w:sz w:val="24"/>
          <w:szCs w:val="24"/>
        </w:rPr>
        <w:t>work in open employment</w:t>
      </w:r>
      <w:r w:rsidR="000A1F87" w:rsidRPr="003E2436">
        <w:rPr>
          <w:sz w:val="24"/>
          <w:szCs w:val="24"/>
        </w:rPr>
        <w:t xml:space="preserve"> or are looking for work</w:t>
      </w:r>
      <w:r w:rsidR="00A237A3" w:rsidRPr="003E2436">
        <w:rPr>
          <w:sz w:val="24"/>
          <w:szCs w:val="24"/>
        </w:rPr>
        <w:t>, compared to 42% in the business-as-usual scenario</w:t>
      </w:r>
      <w:r w:rsidR="000A1F87" w:rsidRPr="003E2436">
        <w:rPr>
          <w:sz w:val="24"/>
          <w:szCs w:val="24"/>
        </w:rPr>
        <w:t xml:space="preserve">. </w:t>
      </w:r>
      <w:r w:rsidR="002B6F7E" w:rsidRPr="003E2436">
        <w:rPr>
          <w:sz w:val="24"/>
          <w:szCs w:val="24"/>
        </w:rPr>
        <w:t xml:space="preserve"> </w:t>
      </w:r>
      <w:r w:rsidR="00A237A3" w:rsidRPr="003E2436">
        <w:rPr>
          <w:sz w:val="24"/>
          <w:szCs w:val="24"/>
        </w:rPr>
        <w:t xml:space="preserve">As a result, </w:t>
      </w:r>
      <w:r w:rsidR="0047411B" w:rsidRPr="003E2436">
        <w:rPr>
          <w:sz w:val="24"/>
          <w:szCs w:val="24"/>
        </w:rPr>
        <w:t xml:space="preserve">there is a significantly </w:t>
      </w:r>
      <w:r w:rsidR="002A0EE0" w:rsidRPr="003E2436">
        <w:rPr>
          <w:sz w:val="24"/>
          <w:szCs w:val="24"/>
        </w:rPr>
        <w:t xml:space="preserve">more people </w:t>
      </w:r>
      <w:r w:rsidR="001B4925" w:rsidRPr="003E2436">
        <w:rPr>
          <w:sz w:val="24"/>
          <w:szCs w:val="24"/>
        </w:rPr>
        <w:t xml:space="preserve">being supported </w:t>
      </w:r>
      <w:r w:rsidR="00B050E9" w:rsidRPr="003E2436">
        <w:rPr>
          <w:sz w:val="24"/>
          <w:szCs w:val="24"/>
        </w:rPr>
        <w:t xml:space="preserve">by DES </w:t>
      </w:r>
      <w:r w:rsidR="001B4925" w:rsidRPr="003E2436">
        <w:rPr>
          <w:sz w:val="24"/>
          <w:szCs w:val="24"/>
        </w:rPr>
        <w:t>to find and keep work</w:t>
      </w:r>
      <w:r w:rsidR="00B050E9" w:rsidRPr="003E2436">
        <w:rPr>
          <w:sz w:val="24"/>
          <w:szCs w:val="24"/>
        </w:rPr>
        <w:t xml:space="preserve">. </w:t>
      </w:r>
    </w:p>
    <w:p w14:paraId="173A708F" w14:textId="77777777" w:rsidR="006C4FFC" w:rsidRDefault="00CB1BA9" w:rsidP="003E2436">
      <w:pPr>
        <w:pStyle w:val="Bulletlist"/>
        <w:ind w:left="360"/>
        <w:rPr>
          <w:sz w:val="24"/>
          <w:szCs w:val="24"/>
        </w:rPr>
      </w:pPr>
      <w:r w:rsidRPr="003E2436">
        <w:rPr>
          <w:sz w:val="24"/>
          <w:szCs w:val="24"/>
          <w:u w:val="single"/>
        </w:rPr>
        <w:t>Ticket to Work may decrease DES payments:</w:t>
      </w:r>
      <w:r w:rsidRPr="003E2436">
        <w:rPr>
          <w:sz w:val="24"/>
          <w:szCs w:val="24"/>
        </w:rPr>
        <w:t xml:space="preserve"> As shown in</w:t>
      </w:r>
      <w:r w:rsidR="00A80EDF" w:rsidRPr="003E2436">
        <w:rPr>
          <w:sz w:val="24"/>
          <w:szCs w:val="24"/>
        </w:rPr>
        <w:t xml:space="preserve"> </w:t>
      </w:r>
      <w:r w:rsidR="00A80EDF" w:rsidRPr="003E2436">
        <w:rPr>
          <w:sz w:val="24"/>
          <w:szCs w:val="24"/>
        </w:rPr>
        <w:fldChar w:fldCharType="begin"/>
      </w:r>
      <w:r w:rsidR="00A80EDF" w:rsidRPr="003E2436">
        <w:rPr>
          <w:sz w:val="24"/>
          <w:szCs w:val="24"/>
        </w:rPr>
        <w:instrText xml:space="preserve"> REF _Ref22875612 \h </w:instrText>
      </w:r>
      <w:r w:rsidR="003E2436">
        <w:rPr>
          <w:sz w:val="24"/>
          <w:szCs w:val="24"/>
        </w:rPr>
        <w:instrText xml:space="preserve"> \* MERGEFORMAT </w:instrText>
      </w:r>
      <w:r w:rsidR="00A80EDF" w:rsidRPr="003E2436">
        <w:rPr>
          <w:sz w:val="24"/>
          <w:szCs w:val="24"/>
        </w:rPr>
      </w:r>
      <w:r w:rsidR="00A80EDF" w:rsidRPr="003E2436">
        <w:rPr>
          <w:sz w:val="24"/>
          <w:szCs w:val="24"/>
        </w:rPr>
        <w:fldChar w:fldCharType="separate"/>
      </w:r>
      <w:r w:rsidR="00A80EDF" w:rsidRPr="003E2436">
        <w:rPr>
          <w:sz w:val="24"/>
          <w:szCs w:val="24"/>
        </w:rPr>
        <w:t xml:space="preserve">Figure </w:t>
      </w:r>
      <w:r w:rsidR="00A80EDF" w:rsidRPr="003E2436">
        <w:rPr>
          <w:noProof/>
          <w:sz w:val="24"/>
          <w:szCs w:val="24"/>
        </w:rPr>
        <w:t>15</w:t>
      </w:r>
      <w:r w:rsidR="00A80EDF" w:rsidRPr="003E2436">
        <w:rPr>
          <w:sz w:val="24"/>
          <w:szCs w:val="24"/>
        </w:rPr>
        <w:fldChar w:fldCharType="end"/>
      </w:r>
      <w:r w:rsidRPr="003E2436">
        <w:rPr>
          <w:sz w:val="24"/>
          <w:szCs w:val="24"/>
        </w:rPr>
        <w:t xml:space="preserve">, Ticket to Work participants </w:t>
      </w:r>
      <w:r w:rsidR="00812677" w:rsidRPr="003E2436">
        <w:rPr>
          <w:sz w:val="24"/>
          <w:szCs w:val="24"/>
        </w:rPr>
        <w:t xml:space="preserve">who receive DES </w:t>
      </w:r>
      <w:r w:rsidRPr="003E2436">
        <w:rPr>
          <w:sz w:val="24"/>
          <w:szCs w:val="24"/>
        </w:rPr>
        <w:t>are more likely than other people with disability to be supported in the post-placement and ongoing support phases of their employment pathway. In addition, Ticket to Work research indicates that participants are staying in work for longer than is typ</w:t>
      </w:r>
      <w:r w:rsidR="00905978" w:rsidRPr="003E2436">
        <w:rPr>
          <w:sz w:val="24"/>
          <w:szCs w:val="24"/>
        </w:rPr>
        <w:t>ical for people with disability (</w:t>
      </w:r>
      <w:hyperlink r:id="rId42" w:history="1">
        <w:r w:rsidR="00905978" w:rsidRPr="003E2436">
          <w:rPr>
            <w:rStyle w:val="Hyperlink"/>
            <w:sz w:val="24"/>
            <w:szCs w:val="24"/>
          </w:rPr>
          <w:t>www.tickettowork.org.au</w:t>
        </w:r>
      </w:hyperlink>
      <w:r w:rsidR="00905978" w:rsidRPr="003E2436">
        <w:rPr>
          <w:sz w:val="24"/>
          <w:szCs w:val="24"/>
        </w:rPr>
        <w:t>)</w:t>
      </w:r>
      <w:r w:rsidR="00A27852" w:rsidRPr="003E2436">
        <w:rPr>
          <w:sz w:val="24"/>
          <w:szCs w:val="24"/>
        </w:rPr>
        <w:t xml:space="preserve">. </w:t>
      </w:r>
      <w:r w:rsidRPr="003E2436">
        <w:rPr>
          <w:sz w:val="24"/>
          <w:szCs w:val="24"/>
        </w:rPr>
        <w:t xml:space="preserve">Where this is the case, there may be cost savings to government in the longer term </w:t>
      </w:r>
      <w:r w:rsidR="00812677" w:rsidRPr="003E2436">
        <w:rPr>
          <w:sz w:val="24"/>
          <w:szCs w:val="24"/>
        </w:rPr>
        <w:t>as</w:t>
      </w:r>
      <w:r w:rsidRPr="003E2436">
        <w:rPr>
          <w:sz w:val="24"/>
          <w:szCs w:val="24"/>
        </w:rPr>
        <w:t xml:space="preserve"> Ticket to Work participants are able to transition to independent workers without requirement for ongoing support.</w:t>
      </w:r>
    </w:p>
    <w:p w14:paraId="37FCD7CB" w14:textId="77777777" w:rsidR="00E91EA2" w:rsidRPr="003E2436" w:rsidRDefault="00E91EA2" w:rsidP="00E91EA2">
      <w:pPr>
        <w:pStyle w:val="Bulletlist"/>
        <w:numPr>
          <w:ilvl w:val="0"/>
          <w:numId w:val="0"/>
        </w:numPr>
        <w:ind w:left="360"/>
        <w:rPr>
          <w:sz w:val="24"/>
          <w:szCs w:val="24"/>
        </w:rPr>
      </w:pPr>
    </w:p>
    <w:p w14:paraId="79EF6946" w14:textId="77777777" w:rsidR="00141490" w:rsidRPr="0060666C" w:rsidRDefault="00EE4513" w:rsidP="0060666C">
      <w:pPr>
        <w:pStyle w:val="NoSpacing"/>
        <w:rPr>
          <w:b/>
          <w:sz w:val="28"/>
          <w:szCs w:val="28"/>
        </w:rPr>
      </w:pPr>
      <w:r w:rsidRPr="0060666C">
        <w:rPr>
          <w:b/>
          <w:sz w:val="28"/>
          <w:szCs w:val="28"/>
        </w:rPr>
        <w:t xml:space="preserve">Long Term Outcome </w:t>
      </w:r>
      <w:r w:rsidR="00711670" w:rsidRPr="0060666C">
        <w:rPr>
          <w:b/>
          <w:sz w:val="28"/>
          <w:szCs w:val="28"/>
        </w:rPr>
        <w:t>7</w:t>
      </w:r>
      <w:r w:rsidR="00141490" w:rsidRPr="0060666C">
        <w:rPr>
          <w:b/>
          <w:sz w:val="28"/>
          <w:szCs w:val="28"/>
        </w:rPr>
        <w:t xml:space="preserve">. What </w:t>
      </w:r>
      <w:r w:rsidR="00DE0B01" w:rsidRPr="0060666C">
        <w:rPr>
          <w:b/>
          <w:sz w:val="28"/>
          <w:szCs w:val="28"/>
        </w:rPr>
        <w:t>benefits or costs can reasonably</w:t>
      </w:r>
      <w:r w:rsidR="00141490" w:rsidRPr="0060666C">
        <w:rPr>
          <w:b/>
          <w:sz w:val="28"/>
          <w:szCs w:val="28"/>
        </w:rPr>
        <w:t xml:space="preserve"> be expected to occur as a result of that outcome? </w:t>
      </w:r>
    </w:p>
    <w:p w14:paraId="70A69D29" w14:textId="77777777" w:rsidR="0029688E" w:rsidRPr="003E2436" w:rsidRDefault="009D6B7E" w:rsidP="0029688E">
      <w:pPr>
        <w:rPr>
          <w:sz w:val="24"/>
          <w:szCs w:val="24"/>
        </w:rPr>
      </w:pPr>
      <w:r w:rsidRPr="003E2436">
        <w:rPr>
          <w:sz w:val="24"/>
          <w:szCs w:val="24"/>
        </w:rPr>
        <w:t xml:space="preserve">Ticket to Work increases the number of </w:t>
      </w:r>
      <w:r w:rsidR="00803FB8" w:rsidRPr="003E2436">
        <w:rPr>
          <w:sz w:val="24"/>
          <w:szCs w:val="24"/>
        </w:rPr>
        <w:t xml:space="preserve">people </w:t>
      </w:r>
      <w:r w:rsidRPr="003E2436">
        <w:rPr>
          <w:sz w:val="24"/>
          <w:szCs w:val="24"/>
        </w:rPr>
        <w:t xml:space="preserve">in </w:t>
      </w:r>
      <w:r w:rsidR="00AE1CD5" w:rsidRPr="003E2436">
        <w:rPr>
          <w:sz w:val="24"/>
          <w:szCs w:val="24"/>
        </w:rPr>
        <w:t>open employment</w:t>
      </w:r>
      <w:r w:rsidR="00CC6E3C" w:rsidRPr="003E2436">
        <w:rPr>
          <w:sz w:val="24"/>
          <w:szCs w:val="24"/>
        </w:rPr>
        <w:t xml:space="preserve"> and there</w:t>
      </w:r>
      <w:r w:rsidRPr="003E2436">
        <w:rPr>
          <w:sz w:val="24"/>
          <w:szCs w:val="24"/>
        </w:rPr>
        <w:t xml:space="preserve">fore it will increase the number of people receiving DES. </w:t>
      </w:r>
      <w:r w:rsidR="00AC4FAE" w:rsidRPr="003E2436">
        <w:rPr>
          <w:sz w:val="24"/>
          <w:szCs w:val="24"/>
        </w:rPr>
        <w:t xml:space="preserve">However, </w:t>
      </w:r>
      <w:r w:rsidR="00866F0E" w:rsidRPr="003E2436">
        <w:rPr>
          <w:sz w:val="24"/>
          <w:szCs w:val="24"/>
        </w:rPr>
        <w:t xml:space="preserve">Ticket to Work </w:t>
      </w:r>
      <w:r w:rsidR="00802B73" w:rsidRPr="003E2436">
        <w:rPr>
          <w:sz w:val="24"/>
          <w:szCs w:val="24"/>
        </w:rPr>
        <w:t>participants</w:t>
      </w:r>
      <w:r w:rsidR="00262B08" w:rsidRPr="003E2436">
        <w:rPr>
          <w:sz w:val="24"/>
          <w:szCs w:val="24"/>
        </w:rPr>
        <w:t xml:space="preserve"> post school</w:t>
      </w:r>
      <w:r w:rsidR="00802B73" w:rsidRPr="003E2436">
        <w:rPr>
          <w:sz w:val="24"/>
          <w:szCs w:val="24"/>
        </w:rPr>
        <w:t xml:space="preserve"> are more likely to be in the Post-Placement, Ongoing Support, or Independent Worker support phases. </w:t>
      </w:r>
    </w:p>
    <w:tbl>
      <w:tblPr>
        <w:tblStyle w:val="TableGrid"/>
        <w:tblW w:w="0" w:type="auto"/>
        <w:tblLook w:val="04A0" w:firstRow="1" w:lastRow="0" w:firstColumn="1" w:lastColumn="0" w:noHBand="0" w:noVBand="1"/>
        <w:tblDescription w:val="Payment- Disability Employment Services: assumption • Payments to providers for DES recipients in Employment Assistance: $738 per quarter. Payments to providers for DES recipients in Post Placement Support: $5467. Payments to providers for DES recipients in Medium Ongoing Support: $5352. Payments to providers for DES recipients for one instance of Flexible Ongoing Support: $446. Half those in ongoing support receive medium ongoing support, and half receive one instance of flexible ongoing support per year. Source for these points are DES agreement ESS1 rates. &#10;44% of people in Open Employment in the Ticket to Work scenario are Independent Workers. 13% of people in Open Employment in the Business as Usual case are Independent Workers. Source for these points is DSS data on Ticket to Work participants found that about 49% of recipients who had previously received DES no longer receive it. DSS does not have data on their subsequent pathways, so we assume that 80% of these people go on to be Independent Workers. As no comparison data is available for all people with disability, we assume the likelihood of being an independent worker mirrors that of being in open employment. "/>
      </w:tblPr>
      <w:tblGrid>
        <w:gridCol w:w="1859"/>
        <w:gridCol w:w="2788"/>
        <w:gridCol w:w="4369"/>
      </w:tblGrid>
      <w:tr w:rsidR="00E90D27" w:rsidRPr="00073E59" w14:paraId="0A0FE352" w14:textId="77777777" w:rsidTr="006C4FFC">
        <w:trPr>
          <w:tblHeader/>
        </w:trPr>
        <w:tc>
          <w:tcPr>
            <w:tcW w:w="0" w:type="auto"/>
            <w:shd w:val="clear" w:color="auto" w:fill="7F7F7F" w:themeFill="text1" w:themeFillTint="80"/>
          </w:tcPr>
          <w:p w14:paraId="42E81C1D" w14:textId="77777777" w:rsidR="00E90D27" w:rsidRPr="003E2436" w:rsidRDefault="00E90D27" w:rsidP="00976ADF">
            <w:pPr>
              <w:rPr>
                <w:color w:val="FFFFFF" w:themeColor="background1"/>
                <w:sz w:val="24"/>
                <w:szCs w:val="24"/>
              </w:rPr>
            </w:pPr>
            <w:r w:rsidRPr="003E2436">
              <w:rPr>
                <w:color w:val="FFFFFF" w:themeColor="background1"/>
                <w:sz w:val="24"/>
                <w:szCs w:val="24"/>
              </w:rPr>
              <w:lastRenderedPageBreak/>
              <w:t>Payment</w:t>
            </w:r>
          </w:p>
        </w:tc>
        <w:tc>
          <w:tcPr>
            <w:tcW w:w="0" w:type="auto"/>
            <w:shd w:val="clear" w:color="auto" w:fill="7F7F7F" w:themeFill="text1" w:themeFillTint="80"/>
          </w:tcPr>
          <w:p w14:paraId="5D8B65DE" w14:textId="77777777" w:rsidR="00E90D27" w:rsidRPr="003E2436" w:rsidRDefault="00E90D27" w:rsidP="00976ADF">
            <w:pPr>
              <w:rPr>
                <w:color w:val="FFFFFF" w:themeColor="background1"/>
                <w:sz w:val="24"/>
                <w:szCs w:val="24"/>
              </w:rPr>
            </w:pPr>
            <w:r w:rsidRPr="003E2436">
              <w:rPr>
                <w:color w:val="FFFFFF" w:themeColor="background1"/>
                <w:sz w:val="24"/>
                <w:szCs w:val="24"/>
              </w:rPr>
              <w:t xml:space="preserve">Assumption </w:t>
            </w:r>
          </w:p>
        </w:tc>
        <w:tc>
          <w:tcPr>
            <w:tcW w:w="0" w:type="auto"/>
            <w:shd w:val="clear" w:color="auto" w:fill="7F7F7F" w:themeFill="text1" w:themeFillTint="80"/>
          </w:tcPr>
          <w:p w14:paraId="47CFCD9D" w14:textId="77777777" w:rsidR="00E90D27" w:rsidRPr="003E2436" w:rsidRDefault="00E90D27" w:rsidP="00976ADF">
            <w:pPr>
              <w:rPr>
                <w:color w:val="FFFFFF" w:themeColor="background1"/>
                <w:sz w:val="24"/>
                <w:szCs w:val="24"/>
              </w:rPr>
            </w:pPr>
            <w:r w:rsidRPr="003E2436">
              <w:rPr>
                <w:color w:val="FFFFFF" w:themeColor="background1"/>
                <w:sz w:val="24"/>
                <w:szCs w:val="24"/>
              </w:rPr>
              <w:t>Source</w:t>
            </w:r>
          </w:p>
        </w:tc>
      </w:tr>
      <w:tr w:rsidR="0079702C" w:rsidRPr="002C1624" w14:paraId="6A9E1797" w14:textId="77777777" w:rsidTr="006C4FFC">
        <w:trPr>
          <w:tblHeader/>
        </w:trPr>
        <w:tc>
          <w:tcPr>
            <w:tcW w:w="0" w:type="auto"/>
          </w:tcPr>
          <w:p w14:paraId="1E9067C1" w14:textId="77777777" w:rsidR="00E90D27" w:rsidRPr="00855673" w:rsidRDefault="00E90D27" w:rsidP="00855673">
            <w:pPr>
              <w:pStyle w:val="Bulletedlist"/>
            </w:pPr>
            <w:r w:rsidRPr="00855673">
              <w:t>Disability Employment Services</w:t>
            </w:r>
          </w:p>
        </w:tc>
        <w:tc>
          <w:tcPr>
            <w:tcW w:w="0" w:type="auto"/>
          </w:tcPr>
          <w:p w14:paraId="24E91BF9" w14:textId="77777777" w:rsidR="00E90D27" w:rsidRPr="003E2436" w:rsidRDefault="00E90D27" w:rsidP="00976ADF">
            <w:pPr>
              <w:pStyle w:val="Tablebullets"/>
              <w:numPr>
                <w:ilvl w:val="0"/>
                <w:numId w:val="0"/>
              </w:numPr>
              <w:ind w:left="1"/>
              <w:rPr>
                <w:sz w:val="24"/>
                <w:szCs w:val="24"/>
              </w:rPr>
            </w:pPr>
            <w:r w:rsidRPr="003E2436">
              <w:rPr>
                <w:sz w:val="24"/>
                <w:szCs w:val="24"/>
              </w:rPr>
              <w:t>Payments to providers for DES recipients in Employment Assistance: $738 per quarter</w:t>
            </w:r>
          </w:p>
          <w:p w14:paraId="1DE2F687" w14:textId="77777777" w:rsidR="00E90D27" w:rsidRPr="003E2436" w:rsidRDefault="00E90D27" w:rsidP="00976ADF">
            <w:pPr>
              <w:rPr>
                <w:sz w:val="24"/>
                <w:szCs w:val="24"/>
              </w:rPr>
            </w:pPr>
          </w:p>
        </w:tc>
        <w:tc>
          <w:tcPr>
            <w:tcW w:w="0" w:type="auto"/>
            <w:vAlign w:val="center"/>
          </w:tcPr>
          <w:p w14:paraId="27184F11" w14:textId="77777777" w:rsidR="00E90D27" w:rsidRPr="003E2436" w:rsidRDefault="00E90D27" w:rsidP="00976ADF">
            <w:pPr>
              <w:rPr>
                <w:sz w:val="24"/>
                <w:szCs w:val="24"/>
              </w:rPr>
            </w:pPr>
            <w:r w:rsidRPr="003E2436">
              <w:rPr>
                <w:sz w:val="24"/>
                <w:szCs w:val="24"/>
              </w:rPr>
              <w:t>DES agreement ESS1 rates</w:t>
            </w:r>
          </w:p>
        </w:tc>
      </w:tr>
      <w:tr w:rsidR="0079702C" w:rsidRPr="002C1624" w14:paraId="5139167C" w14:textId="77777777" w:rsidTr="006C4FFC">
        <w:trPr>
          <w:tblHeader/>
        </w:trPr>
        <w:tc>
          <w:tcPr>
            <w:tcW w:w="0" w:type="auto"/>
          </w:tcPr>
          <w:p w14:paraId="4DFBE295" w14:textId="77777777" w:rsidR="00E90D27" w:rsidRPr="00855673" w:rsidRDefault="00E90D27" w:rsidP="00855673">
            <w:pPr>
              <w:pStyle w:val="Bulletedlist"/>
            </w:pPr>
            <w:r w:rsidRPr="00855673">
              <w:t>Disability Employment Services</w:t>
            </w:r>
          </w:p>
        </w:tc>
        <w:tc>
          <w:tcPr>
            <w:tcW w:w="0" w:type="auto"/>
          </w:tcPr>
          <w:p w14:paraId="53304917" w14:textId="77777777" w:rsidR="00E90D27" w:rsidRPr="003E2436" w:rsidRDefault="00E90D27" w:rsidP="00976ADF">
            <w:pPr>
              <w:pStyle w:val="Tablebullets"/>
              <w:numPr>
                <w:ilvl w:val="0"/>
                <w:numId w:val="0"/>
              </w:numPr>
              <w:ind w:left="91"/>
              <w:rPr>
                <w:sz w:val="24"/>
                <w:szCs w:val="24"/>
              </w:rPr>
            </w:pPr>
            <w:r w:rsidRPr="003E2436">
              <w:rPr>
                <w:sz w:val="24"/>
                <w:szCs w:val="24"/>
              </w:rPr>
              <w:t>Payments to providers for DES recipients in Post Placement Support: $5467</w:t>
            </w:r>
          </w:p>
          <w:p w14:paraId="7E70E4D2" w14:textId="77777777" w:rsidR="00E90D27" w:rsidRPr="003E2436" w:rsidRDefault="00E90D27" w:rsidP="00976ADF">
            <w:pPr>
              <w:rPr>
                <w:sz w:val="24"/>
                <w:szCs w:val="24"/>
              </w:rPr>
            </w:pPr>
          </w:p>
        </w:tc>
        <w:tc>
          <w:tcPr>
            <w:tcW w:w="0" w:type="auto"/>
            <w:vAlign w:val="center"/>
          </w:tcPr>
          <w:p w14:paraId="4C075AF4" w14:textId="77777777" w:rsidR="00E90D27" w:rsidRPr="003E2436" w:rsidRDefault="00E90D27" w:rsidP="00976ADF">
            <w:pPr>
              <w:rPr>
                <w:sz w:val="24"/>
                <w:szCs w:val="24"/>
              </w:rPr>
            </w:pPr>
            <w:r w:rsidRPr="003E2436">
              <w:rPr>
                <w:sz w:val="24"/>
                <w:szCs w:val="24"/>
              </w:rPr>
              <w:t>DES agreement ESS1 rates</w:t>
            </w:r>
          </w:p>
        </w:tc>
      </w:tr>
      <w:tr w:rsidR="0079702C" w:rsidRPr="002C1624" w14:paraId="76CABE5C" w14:textId="77777777" w:rsidTr="006C4FFC">
        <w:trPr>
          <w:tblHeader/>
        </w:trPr>
        <w:tc>
          <w:tcPr>
            <w:tcW w:w="0" w:type="auto"/>
          </w:tcPr>
          <w:p w14:paraId="162076B4" w14:textId="77777777" w:rsidR="00E90D27" w:rsidRPr="00855673" w:rsidRDefault="00E90D27" w:rsidP="00855673">
            <w:pPr>
              <w:pStyle w:val="Bulletedlist"/>
            </w:pPr>
            <w:r w:rsidRPr="00855673">
              <w:t>Disability Employment Services</w:t>
            </w:r>
          </w:p>
        </w:tc>
        <w:tc>
          <w:tcPr>
            <w:tcW w:w="0" w:type="auto"/>
          </w:tcPr>
          <w:p w14:paraId="7676A131" w14:textId="77777777" w:rsidR="00E90D27" w:rsidRPr="003E2436" w:rsidRDefault="00E90D27" w:rsidP="00976ADF">
            <w:pPr>
              <w:pStyle w:val="Tablebullets"/>
              <w:numPr>
                <w:ilvl w:val="0"/>
                <w:numId w:val="0"/>
              </w:numPr>
              <w:ind w:left="91"/>
              <w:rPr>
                <w:sz w:val="24"/>
                <w:szCs w:val="24"/>
              </w:rPr>
            </w:pPr>
            <w:r w:rsidRPr="003E2436">
              <w:rPr>
                <w:sz w:val="24"/>
                <w:szCs w:val="24"/>
              </w:rPr>
              <w:t>Payments to providers for DES recipients in Medium Ongoing Support: $5352</w:t>
            </w:r>
          </w:p>
          <w:p w14:paraId="4012D1C8" w14:textId="77777777" w:rsidR="00E90D27" w:rsidRPr="003E2436" w:rsidRDefault="00E90D27" w:rsidP="00855673">
            <w:pPr>
              <w:pStyle w:val="Bulletedlist"/>
            </w:pPr>
          </w:p>
        </w:tc>
        <w:tc>
          <w:tcPr>
            <w:tcW w:w="0" w:type="auto"/>
            <w:vAlign w:val="center"/>
          </w:tcPr>
          <w:p w14:paraId="2D06BE99" w14:textId="77777777" w:rsidR="00E90D27" w:rsidRPr="003E2436" w:rsidRDefault="00E90D27" w:rsidP="00855673">
            <w:pPr>
              <w:pStyle w:val="Bulletedlist"/>
              <w:jc w:val="left"/>
            </w:pPr>
            <w:r w:rsidRPr="00855673">
              <w:rPr>
                <w:rFonts w:cstheme="minorBidi"/>
                <w:b w:val="0"/>
              </w:rPr>
              <w:t>DES agreement ESS1 rates</w:t>
            </w:r>
          </w:p>
        </w:tc>
      </w:tr>
      <w:tr w:rsidR="0079702C" w:rsidRPr="002C1624" w14:paraId="7C6139FE" w14:textId="77777777" w:rsidTr="006C4FFC">
        <w:trPr>
          <w:tblHeader/>
        </w:trPr>
        <w:tc>
          <w:tcPr>
            <w:tcW w:w="0" w:type="auto"/>
          </w:tcPr>
          <w:p w14:paraId="5AF5B3E6" w14:textId="77777777" w:rsidR="00E90D27" w:rsidRPr="00855673" w:rsidRDefault="00E90D27" w:rsidP="00855673">
            <w:pPr>
              <w:pStyle w:val="Bulletedlist"/>
            </w:pPr>
            <w:r w:rsidRPr="00855673">
              <w:t>Disability Employment Services</w:t>
            </w:r>
          </w:p>
        </w:tc>
        <w:tc>
          <w:tcPr>
            <w:tcW w:w="0" w:type="auto"/>
          </w:tcPr>
          <w:p w14:paraId="1F036EBA" w14:textId="77777777" w:rsidR="00E90D27" w:rsidRPr="003E2436" w:rsidRDefault="00E90D27" w:rsidP="00976ADF">
            <w:pPr>
              <w:pStyle w:val="Tablebullets"/>
              <w:numPr>
                <w:ilvl w:val="0"/>
                <w:numId w:val="0"/>
              </w:numPr>
              <w:ind w:left="91"/>
              <w:rPr>
                <w:sz w:val="24"/>
                <w:szCs w:val="24"/>
              </w:rPr>
            </w:pPr>
            <w:r w:rsidRPr="003E2436">
              <w:rPr>
                <w:sz w:val="24"/>
                <w:szCs w:val="24"/>
              </w:rPr>
              <w:t>Payments to providers for DES recipients for one instance of Flexible Ongoing Support: $446</w:t>
            </w:r>
          </w:p>
          <w:p w14:paraId="61BB85D3" w14:textId="77777777" w:rsidR="00E90D27" w:rsidRPr="003E2436" w:rsidRDefault="00E90D27" w:rsidP="00976ADF">
            <w:pPr>
              <w:rPr>
                <w:sz w:val="24"/>
                <w:szCs w:val="24"/>
              </w:rPr>
            </w:pPr>
          </w:p>
        </w:tc>
        <w:tc>
          <w:tcPr>
            <w:tcW w:w="0" w:type="auto"/>
            <w:vAlign w:val="center"/>
          </w:tcPr>
          <w:p w14:paraId="7209C897" w14:textId="77777777" w:rsidR="00E90D27" w:rsidRPr="003E2436" w:rsidRDefault="00E90D27" w:rsidP="00976ADF">
            <w:pPr>
              <w:rPr>
                <w:sz w:val="24"/>
                <w:szCs w:val="24"/>
              </w:rPr>
            </w:pPr>
            <w:r w:rsidRPr="003E2436">
              <w:rPr>
                <w:sz w:val="24"/>
                <w:szCs w:val="24"/>
              </w:rPr>
              <w:t>DES agreement ESS1 rates</w:t>
            </w:r>
          </w:p>
        </w:tc>
      </w:tr>
      <w:tr w:rsidR="0079702C" w:rsidRPr="002C1624" w14:paraId="221BEE13" w14:textId="77777777" w:rsidTr="006C4FFC">
        <w:trPr>
          <w:tblHeader/>
        </w:trPr>
        <w:tc>
          <w:tcPr>
            <w:tcW w:w="0" w:type="auto"/>
          </w:tcPr>
          <w:p w14:paraId="38FAD044" w14:textId="77777777" w:rsidR="00E90D27" w:rsidRPr="00855673" w:rsidRDefault="00E90D27" w:rsidP="00976ADF">
            <w:pPr>
              <w:rPr>
                <w:b/>
                <w:sz w:val="24"/>
                <w:szCs w:val="24"/>
              </w:rPr>
            </w:pPr>
            <w:r w:rsidRPr="00855673">
              <w:rPr>
                <w:b/>
                <w:sz w:val="24"/>
                <w:szCs w:val="24"/>
              </w:rPr>
              <w:t>Disability Employment Services</w:t>
            </w:r>
          </w:p>
        </w:tc>
        <w:tc>
          <w:tcPr>
            <w:tcW w:w="0" w:type="auto"/>
          </w:tcPr>
          <w:p w14:paraId="09149873" w14:textId="77777777" w:rsidR="00E90D27" w:rsidRPr="003E2436" w:rsidRDefault="00E90D27" w:rsidP="00976ADF">
            <w:pPr>
              <w:ind w:left="91"/>
              <w:rPr>
                <w:sz w:val="24"/>
                <w:szCs w:val="24"/>
              </w:rPr>
            </w:pPr>
            <w:r w:rsidRPr="003E2436">
              <w:rPr>
                <w:sz w:val="24"/>
                <w:szCs w:val="24"/>
              </w:rPr>
              <w:t>Half those in ongoing support receive medium ongoing support, and half receive one instance of flexible ongoing support per year</w:t>
            </w:r>
          </w:p>
        </w:tc>
        <w:tc>
          <w:tcPr>
            <w:tcW w:w="0" w:type="auto"/>
            <w:vAlign w:val="center"/>
          </w:tcPr>
          <w:p w14:paraId="76291BC9" w14:textId="77777777" w:rsidR="00E90D27" w:rsidRPr="003E2436" w:rsidRDefault="00E90D27" w:rsidP="00976ADF">
            <w:pPr>
              <w:rPr>
                <w:sz w:val="24"/>
                <w:szCs w:val="24"/>
              </w:rPr>
            </w:pPr>
            <w:r w:rsidRPr="003E2436">
              <w:rPr>
                <w:sz w:val="24"/>
                <w:szCs w:val="24"/>
              </w:rPr>
              <w:t>DES agreement ESS1 rates</w:t>
            </w:r>
          </w:p>
        </w:tc>
      </w:tr>
      <w:tr w:rsidR="0079702C" w:rsidRPr="002C1624" w14:paraId="33F55E69" w14:textId="77777777" w:rsidTr="006C4FFC">
        <w:trPr>
          <w:tblHeader/>
        </w:trPr>
        <w:tc>
          <w:tcPr>
            <w:tcW w:w="0" w:type="auto"/>
          </w:tcPr>
          <w:p w14:paraId="248912B7" w14:textId="77777777" w:rsidR="00E90D27" w:rsidRPr="00855673" w:rsidRDefault="00E90D27" w:rsidP="00976ADF">
            <w:pPr>
              <w:rPr>
                <w:b/>
                <w:sz w:val="24"/>
                <w:szCs w:val="24"/>
              </w:rPr>
            </w:pPr>
            <w:r w:rsidRPr="00855673">
              <w:rPr>
                <w:b/>
                <w:sz w:val="24"/>
                <w:szCs w:val="24"/>
              </w:rPr>
              <w:t>Disability Employment Services</w:t>
            </w:r>
          </w:p>
        </w:tc>
        <w:tc>
          <w:tcPr>
            <w:tcW w:w="0" w:type="auto"/>
          </w:tcPr>
          <w:p w14:paraId="399FB8B8" w14:textId="77777777" w:rsidR="00E90D27" w:rsidRPr="003E2436" w:rsidRDefault="0079702C" w:rsidP="0079702C">
            <w:pPr>
              <w:pStyle w:val="Tablebullets"/>
              <w:numPr>
                <w:ilvl w:val="0"/>
                <w:numId w:val="0"/>
              </w:numPr>
              <w:ind w:left="91" w:hanging="360"/>
              <w:rPr>
                <w:sz w:val="24"/>
                <w:szCs w:val="24"/>
              </w:rPr>
            </w:pPr>
            <w:r w:rsidRPr="003E2436">
              <w:rPr>
                <w:sz w:val="24"/>
                <w:szCs w:val="24"/>
              </w:rPr>
              <w:t xml:space="preserve">   4</w:t>
            </w:r>
            <w:r w:rsidR="00E90D27" w:rsidRPr="003E2436">
              <w:rPr>
                <w:sz w:val="24"/>
                <w:szCs w:val="24"/>
              </w:rPr>
              <w:t>4% of people in Open Employment in the Ticket to Work scenario are Independent Workers</w:t>
            </w:r>
          </w:p>
          <w:p w14:paraId="3F7E3433" w14:textId="77777777" w:rsidR="0079702C" w:rsidRPr="003E2436" w:rsidRDefault="0079702C" w:rsidP="0079702C">
            <w:pPr>
              <w:rPr>
                <w:rFonts w:eastAsiaTheme="minorEastAsia" w:cs="Arial"/>
                <w:sz w:val="24"/>
                <w:szCs w:val="24"/>
                <w:lang w:eastAsia="en-AU"/>
              </w:rPr>
            </w:pPr>
          </w:p>
          <w:p w14:paraId="67A55BB2" w14:textId="77777777" w:rsidR="00E90D27" w:rsidRPr="003E2436" w:rsidRDefault="00E90D27" w:rsidP="0079702C">
            <w:pPr>
              <w:rPr>
                <w:sz w:val="24"/>
                <w:szCs w:val="24"/>
              </w:rPr>
            </w:pPr>
            <w:r w:rsidRPr="003E2436">
              <w:rPr>
                <w:sz w:val="24"/>
                <w:szCs w:val="24"/>
              </w:rPr>
              <w:t>13% of people in Open Employment in the Business as Usual case are Independent Workers</w:t>
            </w:r>
          </w:p>
        </w:tc>
        <w:tc>
          <w:tcPr>
            <w:tcW w:w="0" w:type="auto"/>
          </w:tcPr>
          <w:p w14:paraId="4DBBAD54" w14:textId="77777777" w:rsidR="00E90D27" w:rsidRPr="003E2436" w:rsidRDefault="00E90D27" w:rsidP="00976ADF">
            <w:pPr>
              <w:rPr>
                <w:sz w:val="24"/>
                <w:szCs w:val="24"/>
              </w:rPr>
            </w:pPr>
            <w:r w:rsidRPr="003E2436">
              <w:rPr>
                <w:sz w:val="24"/>
                <w:szCs w:val="24"/>
              </w:rPr>
              <w:t>DSS data on Ticket to Work participants found that about 49% of recipients who had previously received DES no longer receive it. DSS does not have data on their subsequent pathways, so we assume that 80% of these people go on to be Independent Workers. As no comparison data is available for all people with disability, we assume the likelihood of being an independent worker mirrors that of being in open employment.</w:t>
            </w:r>
          </w:p>
        </w:tc>
      </w:tr>
    </w:tbl>
    <w:p w14:paraId="6733B563" w14:textId="77777777" w:rsidR="00E90D27" w:rsidRPr="0029688E" w:rsidRDefault="00E90D27" w:rsidP="0029688E"/>
    <w:p w14:paraId="45C28F99" w14:textId="77777777" w:rsidR="00711670" w:rsidRPr="003E2436" w:rsidRDefault="00EE4513" w:rsidP="00711670">
      <w:pPr>
        <w:rPr>
          <w:sz w:val="28"/>
          <w:szCs w:val="28"/>
        </w:rPr>
      </w:pPr>
      <w:r w:rsidRPr="003E2436">
        <w:rPr>
          <w:b/>
          <w:sz w:val="28"/>
          <w:szCs w:val="28"/>
        </w:rPr>
        <w:lastRenderedPageBreak/>
        <w:t xml:space="preserve">Long Term Outcome </w:t>
      </w:r>
      <w:r w:rsidR="00711670" w:rsidRPr="003E2436">
        <w:rPr>
          <w:b/>
          <w:sz w:val="28"/>
          <w:szCs w:val="28"/>
        </w:rPr>
        <w:t>7. How many T</w:t>
      </w:r>
      <w:r w:rsidR="00A14F01" w:rsidRPr="003E2436">
        <w:rPr>
          <w:b/>
          <w:sz w:val="28"/>
          <w:szCs w:val="28"/>
        </w:rPr>
        <w:t>icket to Work</w:t>
      </w:r>
      <w:r w:rsidR="00711670" w:rsidRPr="003E2436">
        <w:rPr>
          <w:b/>
          <w:sz w:val="28"/>
          <w:szCs w:val="28"/>
        </w:rPr>
        <w:t xml:space="preserve"> participants experienced those outcomes, compared to what we would expect to see in a comparable group?</w:t>
      </w:r>
    </w:p>
    <w:p w14:paraId="540BCB5B" w14:textId="77777777" w:rsidR="00EC5793" w:rsidRDefault="00EC5793"/>
    <w:tbl>
      <w:tblPr>
        <w:tblStyle w:val="ListTable3-Accent2"/>
        <w:tblW w:w="0" w:type="auto"/>
        <w:tblLook w:val="04A0" w:firstRow="1" w:lastRow="0" w:firstColumn="1" w:lastColumn="0" w:noHBand="0" w:noVBand="1"/>
        <w:tblDescription w:val="Workforce: in open employment- post placement support receive DES Yes. Business as usual scenario 319, Ticket to Work scenario 248. Ongoing support receive Des yes, business as usual scenario 145, ticket to work scenario 791. Independent worker receive des no, business as usual scenario 67, ticket to work scenario 806. In labour force, un employed: employment assistance Yes receive des yes, business as usual 804, ticket to work scenario 804. In support employment receive des no, busness as usual 531, ticket to work scenario 213. not in labour force no receive des, business as usual scenario 1,351, Ticket to work sceanrio 354. total 3,216 businss as usual and ticket to work scenario 3,216. "/>
      </w:tblPr>
      <w:tblGrid>
        <w:gridCol w:w="3217"/>
        <w:gridCol w:w="1933"/>
        <w:gridCol w:w="1933"/>
        <w:gridCol w:w="1933"/>
      </w:tblGrid>
      <w:tr w:rsidR="00A71F91" w:rsidRPr="003E2436" w14:paraId="54CDEBD8" w14:textId="77777777" w:rsidTr="006C4FFC">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100" w:firstRow="0" w:lastRow="0" w:firstColumn="1" w:lastColumn="0" w:oddVBand="0" w:evenVBand="0" w:oddHBand="0" w:evenHBand="0" w:firstRowFirstColumn="1" w:firstRowLastColumn="0" w:lastRowFirstColumn="0" w:lastRowLastColumn="0"/>
            <w:tcW w:w="3217" w:type="dxa"/>
            <w:tcBorders>
              <w:bottom w:val="single" w:sz="4" w:space="0" w:color="auto"/>
            </w:tcBorders>
            <w:noWrap/>
            <w:vAlign w:val="center"/>
            <w:hideMark/>
          </w:tcPr>
          <w:p w14:paraId="638535AD" w14:textId="77777777" w:rsidR="00A71F91" w:rsidRPr="003E2436" w:rsidRDefault="00A71F91" w:rsidP="00227FD7">
            <w:pPr>
              <w:rPr>
                <w:sz w:val="24"/>
                <w:szCs w:val="24"/>
              </w:rPr>
            </w:pPr>
            <w:r w:rsidRPr="003E2436">
              <w:rPr>
                <w:sz w:val="24"/>
                <w:szCs w:val="24"/>
              </w:rPr>
              <w:t>Workforce status</w:t>
            </w:r>
          </w:p>
        </w:tc>
        <w:tc>
          <w:tcPr>
            <w:tcW w:w="1933" w:type="dxa"/>
            <w:tcBorders>
              <w:bottom w:val="single" w:sz="4" w:space="0" w:color="auto"/>
            </w:tcBorders>
            <w:noWrap/>
            <w:hideMark/>
          </w:tcPr>
          <w:p w14:paraId="086922F7" w14:textId="77777777" w:rsidR="00A71F91" w:rsidRPr="003E2436" w:rsidRDefault="000C1BBC" w:rsidP="00227FD7">
            <w:pPr>
              <w:jc w:val="center"/>
              <w:cnfStyle w:val="100000000000" w:firstRow="1" w:lastRow="0" w:firstColumn="0" w:lastColumn="0" w:oddVBand="0" w:evenVBand="0" w:oddHBand="0" w:evenHBand="0" w:firstRowFirstColumn="0" w:firstRowLastColumn="0" w:lastRowFirstColumn="0" w:lastRowLastColumn="0"/>
              <w:rPr>
                <w:sz w:val="24"/>
                <w:szCs w:val="24"/>
              </w:rPr>
            </w:pPr>
            <w:r w:rsidRPr="003E2436">
              <w:rPr>
                <w:sz w:val="24"/>
                <w:szCs w:val="24"/>
              </w:rPr>
              <w:t>Receive DES?</w:t>
            </w:r>
          </w:p>
        </w:tc>
        <w:tc>
          <w:tcPr>
            <w:tcW w:w="1933" w:type="dxa"/>
            <w:tcBorders>
              <w:bottom w:val="single" w:sz="4" w:space="0" w:color="auto"/>
            </w:tcBorders>
            <w:noWrap/>
            <w:hideMark/>
          </w:tcPr>
          <w:p w14:paraId="446F0D89" w14:textId="77777777" w:rsidR="00A71F91" w:rsidRPr="003E2436" w:rsidRDefault="00A71F91" w:rsidP="00227FD7">
            <w:pPr>
              <w:jc w:val="center"/>
              <w:cnfStyle w:val="100000000000" w:firstRow="1" w:lastRow="0" w:firstColumn="0" w:lastColumn="0" w:oddVBand="0" w:evenVBand="0" w:oddHBand="0" w:evenHBand="0" w:firstRowFirstColumn="0" w:firstRowLastColumn="0" w:lastRowFirstColumn="0" w:lastRowLastColumn="0"/>
              <w:rPr>
                <w:sz w:val="24"/>
                <w:szCs w:val="24"/>
              </w:rPr>
            </w:pPr>
            <w:r w:rsidRPr="003E2436">
              <w:rPr>
                <w:sz w:val="24"/>
                <w:szCs w:val="24"/>
              </w:rPr>
              <w:t>Business as usual</w:t>
            </w:r>
            <w:r w:rsidR="000B419E" w:rsidRPr="003E2436">
              <w:rPr>
                <w:sz w:val="24"/>
                <w:szCs w:val="24"/>
              </w:rPr>
              <w:t xml:space="preserve"> scenario</w:t>
            </w:r>
          </w:p>
        </w:tc>
        <w:tc>
          <w:tcPr>
            <w:tcW w:w="1933" w:type="dxa"/>
            <w:tcBorders>
              <w:bottom w:val="single" w:sz="4" w:space="0" w:color="auto"/>
            </w:tcBorders>
            <w:noWrap/>
            <w:hideMark/>
          </w:tcPr>
          <w:p w14:paraId="73671643" w14:textId="77777777" w:rsidR="00A71F91" w:rsidRPr="003E2436" w:rsidRDefault="00A71F91" w:rsidP="00227FD7">
            <w:pPr>
              <w:jc w:val="center"/>
              <w:cnfStyle w:val="100000000000" w:firstRow="1" w:lastRow="0" w:firstColumn="0" w:lastColumn="0" w:oddVBand="0" w:evenVBand="0" w:oddHBand="0" w:evenHBand="0" w:firstRowFirstColumn="0" w:firstRowLastColumn="0" w:lastRowFirstColumn="0" w:lastRowLastColumn="0"/>
              <w:rPr>
                <w:sz w:val="24"/>
                <w:szCs w:val="24"/>
              </w:rPr>
            </w:pPr>
            <w:r w:rsidRPr="003E2436">
              <w:rPr>
                <w:sz w:val="24"/>
                <w:szCs w:val="24"/>
              </w:rPr>
              <w:t>Ticket to</w:t>
            </w:r>
            <w:r w:rsidR="000B419E" w:rsidRPr="003E2436">
              <w:rPr>
                <w:sz w:val="24"/>
                <w:szCs w:val="24"/>
              </w:rPr>
              <w:t xml:space="preserve"> Work scenario</w:t>
            </w:r>
          </w:p>
        </w:tc>
      </w:tr>
      <w:tr w:rsidR="00A71F91" w:rsidRPr="003E2436" w14:paraId="5368AC4D" w14:textId="77777777" w:rsidTr="00AB284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17" w:type="dxa"/>
            <w:tcBorders>
              <w:top w:val="single" w:sz="4" w:space="0" w:color="auto"/>
              <w:left w:val="single" w:sz="4" w:space="0" w:color="auto"/>
              <w:bottom w:val="nil"/>
            </w:tcBorders>
            <w:noWrap/>
            <w:vAlign w:val="center"/>
            <w:hideMark/>
          </w:tcPr>
          <w:p w14:paraId="7ADD9FB2" w14:textId="77777777" w:rsidR="00A71F91" w:rsidRPr="003E2436" w:rsidRDefault="00A71F91" w:rsidP="00227FD7">
            <w:pPr>
              <w:rPr>
                <w:b w:val="0"/>
                <w:bCs w:val="0"/>
                <w:sz w:val="24"/>
                <w:szCs w:val="24"/>
              </w:rPr>
            </w:pPr>
            <w:r w:rsidRPr="003E2436">
              <w:rPr>
                <w:b w:val="0"/>
                <w:bCs w:val="0"/>
                <w:sz w:val="24"/>
                <w:szCs w:val="24"/>
              </w:rPr>
              <w:t>In open employment</w:t>
            </w:r>
          </w:p>
        </w:tc>
        <w:tc>
          <w:tcPr>
            <w:tcW w:w="1933" w:type="dxa"/>
            <w:tcBorders>
              <w:top w:val="single" w:sz="4" w:space="0" w:color="auto"/>
              <w:bottom w:val="nil"/>
            </w:tcBorders>
            <w:noWrap/>
            <w:hideMark/>
          </w:tcPr>
          <w:p w14:paraId="234474E3" w14:textId="77777777" w:rsidR="00A71F91" w:rsidRPr="003E2436" w:rsidRDefault="00A71F91" w:rsidP="00227FD7">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933" w:type="dxa"/>
            <w:tcBorders>
              <w:top w:val="single" w:sz="4" w:space="0" w:color="auto"/>
              <w:bottom w:val="nil"/>
            </w:tcBorders>
            <w:noWrap/>
          </w:tcPr>
          <w:p w14:paraId="144500CF" w14:textId="77777777" w:rsidR="00A71F91" w:rsidRPr="003E2436" w:rsidRDefault="00A71F91" w:rsidP="00227FD7">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933" w:type="dxa"/>
            <w:tcBorders>
              <w:top w:val="single" w:sz="4" w:space="0" w:color="auto"/>
              <w:bottom w:val="nil"/>
              <w:right w:val="single" w:sz="4" w:space="0" w:color="auto"/>
            </w:tcBorders>
            <w:noWrap/>
          </w:tcPr>
          <w:p w14:paraId="363CBE98" w14:textId="77777777" w:rsidR="00A71F91" w:rsidRPr="003E2436" w:rsidRDefault="00A71F91" w:rsidP="00227FD7">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52DB9" w:rsidRPr="003E2436" w14:paraId="055C573D" w14:textId="77777777" w:rsidTr="00BF06DE">
        <w:trPr>
          <w:trHeight w:val="255"/>
        </w:trPr>
        <w:tc>
          <w:tcPr>
            <w:cnfStyle w:val="001000000000" w:firstRow="0" w:lastRow="0" w:firstColumn="1" w:lastColumn="0" w:oddVBand="0" w:evenVBand="0" w:oddHBand="0" w:evenHBand="0" w:firstRowFirstColumn="0" w:firstRowLastColumn="0" w:lastRowFirstColumn="0" w:lastRowLastColumn="0"/>
            <w:tcW w:w="3217" w:type="dxa"/>
            <w:tcBorders>
              <w:top w:val="nil"/>
              <w:left w:val="single" w:sz="4" w:space="0" w:color="auto"/>
              <w:bottom w:val="nil"/>
            </w:tcBorders>
            <w:shd w:val="clear" w:color="auto" w:fill="F2F2F2" w:themeFill="background1" w:themeFillShade="F2"/>
            <w:noWrap/>
            <w:vAlign w:val="center"/>
          </w:tcPr>
          <w:p w14:paraId="71A6F311" w14:textId="77777777" w:rsidR="00D52DB9" w:rsidRPr="003E2436" w:rsidRDefault="00D041CE" w:rsidP="00E75F96">
            <w:pPr>
              <w:rPr>
                <w:b w:val="0"/>
                <w:bCs w:val="0"/>
                <w:sz w:val="24"/>
                <w:szCs w:val="24"/>
              </w:rPr>
            </w:pPr>
            <w:r w:rsidRPr="003E2436">
              <w:rPr>
                <w:b w:val="0"/>
                <w:bCs w:val="0"/>
                <w:sz w:val="24"/>
                <w:szCs w:val="24"/>
              </w:rPr>
              <w:t>Post-placement support</w:t>
            </w:r>
          </w:p>
        </w:tc>
        <w:tc>
          <w:tcPr>
            <w:tcW w:w="1933" w:type="dxa"/>
            <w:tcBorders>
              <w:top w:val="nil"/>
              <w:bottom w:val="nil"/>
            </w:tcBorders>
            <w:shd w:val="clear" w:color="auto" w:fill="F2F2F2" w:themeFill="background1" w:themeFillShade="F2"/>
            <w:noWrap/>
          </w:tcPr>
          <w:p w14:paraId="2CC7BF00" w14:textId="77777777" w:rsidR="00D041CE" w:rsidRPr="003E2436" w:rsidRDefault="00D041CE" w:rsidP="00D041CE">
            <w:pPr>
              <w:jc w:val="center"/>
              <w:cnfStyle w:val="000000000000" w:firstRow="0" w:lastRow="0" w:firstColumn="0" w:lastColumn="0" w:oddVBand="0" w:evenVBand="0" w:oddHBand="0" w:evenHBand="0" w:firstRowFirstColumn="0" w:firstRowLastColumn="0" w:lastRowFirstColumn="0" w:lastRowLastColumn="0"/>
              <w:rPr>
                <w:sz w:val="24"/>
                <w:szCs w:val="24"/>
              </w:rPr>
            </w:pPr>
            <w:r w:rsidRPr="003E2436">
              <w:rPr>
                <w:sz w:val="24"/>
                <w:szCs w:val="24"/>
              </w:rPr>
              <w:t>Yes</w:t>
            </w:r>
          </w:p>
        </w:tc>
        <w:tc>
          <w:tcPr>
            <w:tcW w:w="1933" w:type="dxa"/>
            <w:tcBorders>
              <w:top w:val="nil"/>
              <w:bottom w:val="nil"/>
            </w:tcBorders>
            <w:shd w:val="clear" w:color="auto" w:fill="F2F2F2" w:themeFill="background1" w:themeFillShade="F2"/>
            <w:noWrap/>
          </w:tcPr>
          <w:p w14:paraId="05F7252A" w14:textId="77777777" w:rsidR="00D52DB9" w:rsidRPr="003E2436" w:rsidRDefault="00346A78" w:rsidP="00E75F96">
            <w:pPr>
              <w:jc w:val="center"/>
              <w:cnfStyle w:val="000000000000" w:firstRow="0" w:lastRow="0" w:firstColumn="0" w:lastColumn="0" w:oddVBand="0" w:evenVBand="0" w:oddHBand="0" w:evenHBand="0" w:firstRowFirstColumn="0" w:firstRowLastColumn="0" w:lastRowFirstColumn="0" w:lastRowLastColumn="0"/>
              <w:rPr>
                <w:sz w:val="24"/>
                <w:szCs w:val="24"/>
              </w:rPr>
            </w:pPr>
            <w:r w:rsidRPr="003E2436">
              <w:rPr>
                <w:sz w:val="24"/>
                <w:szCs w:val="24"/>
              </w:rPr>
              <w:t>319</w:t>
            </w:r>
          </w:p>
        </w:tc>
        <w:tc>
          <w:tcPr>
            <w:tcW w:w="1933" w:type="dxa"/>
            <w:tcBorders>
              <w:top w:val="nil"/>
              <w:bottom w:val="nil"/>
              <w:right w:val="single" w:sz="4" w:space="0" w:color="auto"/>
            </w:tcBorders>
            <w:shd w:val="clear" w:color="auto" w:fill="F2F2F2" w:themeFill="background1" w:themeFillShade="F2"/>
            <w:noWrap/>
          </w:tcPr>
          <w:p w14:paraId="75597EA4" w14:textId="77777777" w:rsidR="00D52DB9" w:rsidRPr="003E2436" w:rsidRDefault="005E5236" w:rsidP="00E75F96">
            <w:pPr>
              <w:jc w:val="center"/>
              <w:cnfStyle w:val="000000000000" w:firstRow="0" w:lastRow="0" w:firstColumn="0" w:lastColumn="0" w:oddVBand="0" w:evenVBand="0" w:oddHBand="0" w:evenHBand="0" w:firstRowFirstColumn="0" w:firstRowLastColumn="0" w:lastRowFirstColumn="0" w:lastRowLastColumn="0"/>
              <w:rPr>
                <w:sz w:val="24"/>
                <w:szCs w:val="24"/>
              </w:rPr>
            </w:pPr>
            <w:r w:rsidRPr="003E2436">
              <w:rPr>
                <w:sz w:val="24"/>
                <w:szCs w:val="24"/>
              </w:rPr>
              <w:t>248</w:t>
            </w:r>
          </w:p>
        </w:tc>
      </w:tr>
      <w:tr w:rsidR="00F00A76" w:rsidRPr="003E2436" w14:paraId="5CC8C7A8" w14:textId="77777777" w:rsidTr="00BF06D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17" w:type="dxa"/>
            <w:tcBorders>
              <w:top w:val="nil"/>
              <w:left w:val="single" w:sz="4" w:space="0" w:color="auto"/>
              <w:bottom w:val="nil"/>
            </w:tcBorders>
            <w:shd w:val="clear" w:color="auto" w:fill="F2F2F2" w:themeFill="background1" w:themeFillShade="F2"/>
            <w:noWrap/>
            <w:vAlign w:val="center"/>
          </w:tcPr>
          <w:p w14:paraId="428B63CD" w14:textId="77777777" w:rsidR="00F00A76" w:rsidRPr="003E2436" w:rsidRDefault="00D041CE" w:rsidP="00E75F96">
            <w:pPr>
              <w:rPr>
                <w:b w:val="0"/>
                <w:bCs w:val="0"/>
                <w:sz w:val="24"/>
                <w:szCs w:val="24"/>
              </w:rPr>
            </w:pPr>
            <w:r w:rsidRPr="003E2436">
              <w:rPr>
                <w:b w:val="0"/>
                <w:bCs w:val="0"/>
                <w:sz w:val="24"/>
                <w:szCs w:val="24"/>
              </w:rPr>
              <w:t>Ongoing Support</w:t>
            </w:r>
          </w:p>
        </w:tc>
        <w:tc>
          <w:tcPr>
            <w:tcW w:w="1933" w:type="dxa"/>
            <w:tcBorders>
              <w:top w:val="nil"/>
              <w:bottom w:val="nil"/>
            </w:tcBorders>
            <w:shd w:val="clear" w:color="auto" w:fill="F2F2F2" w:themeFill="background1" w:themeFillShade="F2"/>
            <w:noWrap/>
          </w:tcPr>
          <w:p w14:paraId="7880827D" w14:textId="77777777" w:rsidR="00F00A76" w:rsidRPr="003E2436" w:rsidRDefault="00D041CE" w:rsidP="00E75F96">
            <w:pPr>
              <w:jc w:val="center"/>
              <w:cnfStyle w:val="000000100000" w:firstRow="0" w:lastRow="0" w:firstColumn="0" w:lastColumn="0" w:oddVBand="0" w:evenVBand="0" w:oddHBand="1" w:evenHBand="0" w:firstRowFirstColumn="0" w:firstRowLastColumn="0" w:lastRowFirstColumn="0" w:lastRowLastColumn="0"/>
              <w:rPr>
                <w:sz w:val="24"/>
                <w:szCs w:val="24"/>
              </w:rPr>
            </w:pPr>
            <w:r w:rsidRPr="003E2436">
              <w:rPr>
                <w:sz w:val="24"/>
                <w:szCs w:val="24"/>
              </w:rPr>
              <w:t>Yes</w:t>
            </w:r>
          </w:p>
        </w:tc>
        <w:tc>
          <w:tcPr>
            <w:tcW w:w="1933" w:type="dxa"/>
            <w:tcBorders>
              <w:top w:val="nil"/>
              <w:bottom w:val="nil"/>
            </w:tcBorders>
            <w:shd w:val="clear" w:color="auto" w:fill="F2F2F2" w:themeFill="background1" w:themeFillShade="F2"/>
            <w:noWrap/>
          </w:tcPr>
          <w:p w14:paraId="751AFF80" w14:textId="77777777" w:rsidR="00F00A76" w:rsidRPr="003E2436" w:rsidRDefault="00346A78" w:rsidP="00E75F96">
            <w:pPr>
              <w:jc w:val="center"/>
              <w:cnfStyle w:val="000000100000" w:firstRow="0" w:lastRow="0" w:firstColumn="0" w:lastColumn="0" w:oddVBand="0" w:evenVBand="0" w:oddHBand="1" w:evenHBand="0" w:firstRowFirstColumn="0" w:firstRowLastColumn="0" w:lastRowFirstColumn="0" w:lastRowLastColumn="0"/>
              <w:rPr>
                <w:sz w:val="24"/>
                <w:szCs w:val="24"/>
              </w:rPr>
            </w:pPr>
            <w:r w:rsidRPr="003E2436">
              <w:rPr>
                <w:sz w:val="24"/>
                <w:szCs w:val="24"/>
              </w:rPr>
              <w:t>145</w:t>
            </w:r>
          </w:p>
        </w:tc>
        <w:tc>
          <w:tcPr>
            <w:tcW w:w="1933" w:type="dxa"/>
            <w:tcBorders>
              <w:top w:val="nil"/>
              <w:bottom w:val="nil"/>
              <w:right w:val="single" w:sz="4" w:space="0" w:color="auto"/>
            </w:tcBorders>
            <w:shd w:val="clear" w:color="auto" w:fill="F2F2F2" w:themeFill="background1" w:themeFillShade="F2"/>
            <w:noWrap/>
          </w:tcPr>
          <w:p w14:paraId="27C8C8B6" w14:textId="77777777" w:rsidR="00F00A76" w:rsidRPr="003E2436" w:rsidRDefault="0065569A" w:rsidP="00E75F96">
            <w:pPr>
              <w:jc w:val="center"/>
              <w:cnfStyle w:val="000000100000" w:firstRow="0" w:lastRow="0" w:firstColumn="0" w:lastColumn="0" w:oddVBand="0" w:evenVBand="0" w:oddHBand="1" w:evenHBand="0" w:firstRowFirstColumn="0" w:firstRowLastColumn="0" w:lastRowFirstColumn="0" w:lastRowLastColumn="0"/>
              <w:rPr>
                <w:sz w:val="24"/>
                <w:szCs w:val="24"/>
              </w:rPr>
            </w:pPr>
            <w:r w:rsidRPr="003E2436">
              <w:rPr>
                <w:sz w:val="24"/>
                <w:szCs w:val="24"/>
              </w:rPr>
              <w:t>791</w:t>
            </w:r>
          </w:p>
        </w:tc>
      </w:tr>
      <w:tr w:rsidR="00F00A76" w:rsidRPr="003E2436" w14:paraId="3201F332" w14:textId="77777777" w:rsidTr="00BF06DE">
        <w:trPr>
          <w:trHeight w:val="255"/>
        </w:trPr>
        <w:tc>
          <w:tcPr>
            <w:cnfStyle w:val="001000000000" w:firstRow="0" w:lastRow="0" w:firstColumn="1" w:lastColumn="0" w:oddVBand="0" w:evenVBand="0" w:oddHBand="0" w:evenHBand="0" w:firstRowFirstColumn="0" w:firstRowLastColumn="0" w:lastRowFirstColumn="0" w:lastRowLastColumn="0"/>
            <w:tcW w:w="3217" w:type="dxa"/>
            <w:tcBorders>
              <w:top w:val="nil"/>
              <w:left w:val="single" w:sz="4" w:space="0" w:color="auto"/>
              <w:bottom w:val="single" w:sz="4" w:space="0" w:color="auto"/>
            </w:tcBorders>
            <w:shd w:val="clear" w:color="auto" w:fill="F2F2F2" w:themeFill="background1" w:themeFillShade="F2"/>
            <w:noWrap/>
            <w:vAlign w:val="center"/>
          </w:tcPr>
          <w:p w14:paraId="1DA05432" w14:textId="77777777" w:rsidR="00F00A76" w:rsidRPr="003E2436" w:rsidRDefault="00D041CE" w:rsidP="00E75F96">
            <w:pPr>
              <w:rPr>
                <w:b w:val="0"/>
                <w:bCs w:val="0"/>
                <w:sz w:val="24"/>
                <w:szCs w:val="24"/>
              </w:rPr>
            </w:pPr>
            <w:r w:rsidRPr="003E2436">
              <w:rPr>
                <w:b w:val="0"/>
                <w:bCs w:val="0"/>
                <w:sz w:val="24"/>
                <w:szCs w:val="24"/>
              </w:rPr>
              <w:t>Independent Worke</w:t>
            </w:r>
            <w:r w:rsidR="00B931FD" w:rsidRPr="003E2436">
              <w:rPr>
                <w:b w:val="0"/>
                <w:bCs w:val="0"/>
                <w:sz w:val="24"/>
                <w:szCs w:val="24"/>
              </w:rPr>
              <w:t>r</w:t>
            </w:r>
          </w:p>
        </w:tc>
        <w:tc>
          <w:tcPr>
            <w:tcW w:w="1933" w:type="dxa"/>
            <w:tcBorders>
              <w:top w:val="nil"/>
              <w:bottom w:val="single" w:sz="4" w:space="0" w:color="auto"/>
            </w:tcBorders>
            <w:shd w:val="clear" w:color="auto" w:fill="F2F2F2" w:themeFill="background1" w:themeFillShade="F2"/>
            <w:noWrap/>
          </w:tcPr>
          <w:p w14:paraId="2ACAC5AD" w14:textId="77777777" w:rsidR="00F00A76" w:rsidRPr="003E2436" w:rsidRDefault="00D041CE" w:rsidP="00E75F96">
            <w:pPr>
              <w:jc w:val="center"/>
              <w:cnfStyle w:val="000000000000" w:firstRow="0" w:lastRow="0" w:firstColumn="0" w:lastColumn="0" w:oddVBand="0" w:evenVBand="0" w:oddHBand="0" w:evenHBand="0" w:firstRowFirstColumn="0" w:firstRowLastColumn="0" w:lastRowFirstColumn="0" w:lastRowLastColumn="0"/>
              <w:rPr>
                <w:sz w:val="24"/>
                <w:szCs w:val="24"/>
              </w:rPr>
            </w:pPr>
            <w:r w:rsidRPr="003E2436">
              <w:rPr>
                <w:sz w:val="24"/>
                <w:szCs w:val="24"/>
              </w:rPr>
              <w:t>No</w:t>
            </w:r>
          </w:p>
        </w:tc>
        <w:tc>
          <w:tcPr>
            <w:tcW w:w="1933" w:type="dxa"/>
            <w:tcBorders>
              <w:top w:val="nil"/>
              <w:bottom w:val="single" w:sz="4" w:space="0" w:color="auto"/>
            </w:tcBorders>
            <w:shd w:val="clear" w:color="auto" w:fill="F2F2F2" w:themeFill="background1" w:themeFillShade="F2"/>
            <w:noWrap/>
          </w:tcPr>
          <w:p w14:paraId="400E4A93" w14:textId="77777777" w:rsidR="00F00A76" w:rsidRPr="003E2436" w:rsidRDefault="00346A78" w:rsidP="00E75F96">
            <w:pPr>
              <w:jc w:val="center"/>
              <w:cnfStyle w:val="000000000000" w:firstRow="0" w:lastRow="0" w:firstColumn="0" w:lastColumn="0" w:oddVBand="0" w:evenVBand="0" w:oddHBand="0" w:evenHBand="0" w:firstRowFirstColumn="0" w:firstRowLastColumn="0" w:lastRowFirstColumn="0" w:lastRowLastColumn="0"/>
              <w:rPr>
                <w:sz w:val="24"/>
                <w:szCs w:val="24"/>
              </w:rPr>
            </w:pPr>
            <w:r w:rsidRPr="003E2436">
              <w:rPr>
                <w:sz w:val="24"/>
                <w:szCs w:val="24"/>
              </w:rPr>
              <w:t>67</w:t>
            </w:r>
          </w:p>
        </w:tc>
        <w:tc>
          <w:tcPr>
            <w:tcW w:w="1933" w:type="dxa"/>
            <w:tcBorders>
              <w:top w:val="nil"/>
              <w:bottom w:val="single" w:sz="4" w:space="0" w:color="auto"/>
              <w:right w:val="single" w:sz="4" w:space="0" w:color="auto"/>
            </w:tcBorders>
            <w:shd w:val="clear" w:color="auto" w:fill="F2F2F2" w:themeFill="background1" w:themeFillShade="F2"/>
            <w:noWrap/>
          </w:tcPr>
          <w:p w14:paraId="7F4FC33D" w14:textId="77777777" w:rsidR="00F00A76" w:rsidRPr="003E2436" w:rsidRDefault="0065569A" w:rsidP="00E75F96">
            <w:pPr>
              <w:jc w:val="center"/>
              <w:cnfStyle w:val="000000000000" w:firstRow="0" w:lastRow="0" w:firstColumn="0" w:lastColumn="0" w:oddVBand="0" w:evenVBand="0" w:oddHBand="0" w:evenHBand="0" w:firstRowFirstColumn="0" w:firstRowLastColumn="0" w:lastRowFirstColumn="0" w:lastRowLastColumn="0"/>
              <w:rPr>
                <w:sz w:val="24"/>
                <w:szCs w:val="24"/>
              </w:rPr>
            </w:pPr>
            <w:r w:rsidRPr="003E2436">
              <w:rPr>
                <w:sz w:val="24"/>
                <w:szCs w:val="24"/>
              </w:rPr>
              <w:t>806</w:t>
            </w:r>
          </w:p>
        </w:tc>
      </w:tr>
      <w:tr w:rsidR="00E75F96" w:rsidRPr="003E2436" w14:paraId="4DBA07E9" w14:textId="77777777" w:rsidTr="00BF06D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17" w:type="dxa"/>
            <w:tcBorders>
              <w:top w:val="single" w:sz="4" w:space="0" w:color="auto"/>
              <w:left w:val="single" w:sz="4" w:space="0" w:color="auto"/>
              <w:bottom w:val="nil"/>
            </w:tcBorders>
            <w:noWrap/>
            <w:vAlign w:val="center"/>
          </w:tcPr>
          <w:p w14:paraId="0FDB9EB5" w14:textId="77777777" w:rsidR="00E75F96" w:rsidRPr="003E2436" w:rsidRDefault="00E75F96" w:rsidP="00E75F96">
            <w:pPr>
              <w:rPr>
                <w:b w:val="0"/>
                <w:bCs w:val="0"/>
                <w:sz w:val="24"/>
                <w:szCs w:val="24"/>
              </w:rPr>
            </w:pPr>
            <w:r w:rsidRPr="003E2436">
              <w:rPr>
                <w:b w:val="0"/>
                <w:bCs w:val="0"/>
                <w:sz w:val="24"/>
                <w:szCs w:val="24"/>
              </w:rPr>
              <w:t>In labour force, but unemployed</w:t>
            </w:r>
          </w:p>
        </w:tc>
        <w:tc>
          <w:tcPr>
            <w:tcW w:w="1933" w:type="dxa"/>
            <w:tcBorders>
              <w:top w:val="single" w:sz="4" w:space="0" w:color="auto"/>
              <w:bottom w:val="nil"/>
            </w:tcBorders>
            <w:noWrap/>
          </w:tcPr>
          <w:p w14:paraId="77643B8D" w14:textId="77777777" w:rsidR="00E75F96" w:rsidRPr="003E2436" w:rsidRDefault="00E75F96" w:rsidP="00E75F96">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933" w:type="dxa"/>
            <w:tcBorders>
              <w:top w:val="single" w:sz="4" w:space="0" w:color="auto"/>
              <w:bottom w:val="nil"/>
            </w:tcBorders>
            <w:noWrap/>
          </w:tcPr>
          <w:p w14:paraId="5B4D7A18" w14:textId="77777777" w:rsidR="00E75F96" w:rsidRPr="003E2436" w:rsidRDefault="00E75F96" w:rsidP="00E75F96">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933" w:type="dxa"/>
            <w:tcBorders>
              <w:top w:val="single" w:sz="4" w:space="0" w:color="auto"/>
              <w:bottom w:val="nil"/>
              <w:right w:val="single" w:sz="4" w:space="0" w:color="auto"/>
            </w:tcBorders>
            <w:noWrap/>
          </w:tcPr>
          <w:p w14:paraId="4651DDE2" w14:textId="77777777" w:rsidR="00E75F96" w:rsidRPr="003E2436" w:rsidRDefault="00E75F96" w:rsidP="00E75F96">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041CE" w:rsidRPr="003E2436" w14:paraId="69C0F259" w14:textId="77777777" w:rsidTr="00BF06DE">
        <w:trPr>
          <w:trHeight w:val="255"/>
        </w:trPr>
        <w:tc>
          <w:tcPr>
            <w:cnfStyle w:val="001000000000" w:firstRow="0" w:lastRow="0" w:firstColumn="1" w:lastColumn="0" w:oddVBand="0" w:evenVBand="0" w:oddHBand="0" w:evenHBand="0" w:firstRowFirstColumn="0" w:firstRowLastColumn="0" w:lastRowFirstColumn="0" w:lastRowLastColumn="0"/>
            <w:tcW w:w="3217" w:type="dxa"/>
            <w:tcBorders>
              <w:top w:val="nil"/>
              <w:left w:val="single" w:sz="4" w:space="0" w:color="auto"/>
              <w:bottom w:val="single" w:sz="4" w:space="0" w:color="auto"/>
            </w:tcBorders>
            <w:shd w:val="clear" w:color="auto" w:fill="F2F2F2" w:themeFill="background1" w:themeFillShade="F2"/>
            <w:noWrap/>
            <w:vAlign w:val="center"/>
          </w:tcPr>
          <w:p w14:paraId="74CE4331" w14:textId="77777777" w:rsidR="00D041CE" w:rsidRPr="003E2436" w:rsidRDefault="00B931FD" w:rsidP="00B931FD">
            <w:pPr>
              <w:rPr>
                <w:b w:val="0"/>
                <w:bCs w:val="0"/>
                <w:sz w:val="24"/>
                <w:szCs w:val="24"/>
              </w:rPr>
            </w:pPr>
            <w:r w:rsidRPr="003E2436">
              <w:rPr>
                <w:b w:val="0"/>
                <w:bCs w:val="0"/>
                <w:sz w:val="24"/>
                <w:szCs w:val="24"/>
              </w:rPr>
              <w:t>Employment Assistance</w:t>
            </w:r>
          </w:p>
        </w:tc>
        <w:tc>
          <w:tcPr>
            <w:tcW w:w="1933" w:type="dxa"/>
            <w:tcBorders>
              <w:top w:val="nil"/>
              <w:bottom w:val="single" w:sz="4" w:space="0" w:color="auto"/>
            </w:tcBorders>
            <w:shd w:val="clear" w:color="auto" w:fill="F2F2F2" w:themeFill="background1" w:themeFillShade="F2"/>
            <w:noWrap/>
          </w:tcPr>
          <w:p w14:paraId="27F4AEEE" w14:textId="77777777" w:rsidR="00D041CE" w:rsidRPr="003E2436" w:rsidRDefault="00E66B0E" w:rsidP="00E75F96">
            <w:pPr>
              <w:jc w:val="center"/>
              <w:cnfStyle w:val="000000000000" w:firstRow="0" w:lastRow="0" w:firstColumn="0" w:lastColumn="0" w:oddVBand="0" w:evenVBand="0" w:oddHBand="0" w:evenHBand="0" w:firstRowFirstColumn="0" w:firstRowLastColumn="0" w:lastRowFirstColumn="0" w:lastRowLastColumn="0"/>
              <w:rPr>
                <w:sz w:val="24"/>
                <w:szCs w:val="24"/>
              </w:rPr>
            </w:pPr>
            <w:r w:rsidRPr="003E2436">
              <w:rPr>
                <w:sz w:val="24"/>
                <w:szCs w:val="24"/>
              </w:rPr>
              <w:t>Yes</w:t>
            </w:r>
          </w:p>
        </w:tc>
        <w:tc>
          <w:tcPr>
            <w:tcW w:w="1933" w:type="dxa"/>
            <w:tcBorders>
              <w:top w:val="nil"/>
              <w:bottom w:val="single" w:sz="4" w:space="0" w:color="auto"/>
            </w:tcBorders>
            <w:shd w:val="clear" w:color="auto" w:fill="F2F2F2" w:themeFill="background1" w:themeFillShade="F2"/>
            <w:noWrap/>
          </w:tcPr>
          <w:p w14:paraId="70E7AB50" w14:textId="77777777" w:rsidR="00D041CE" w:rsidRPr="003E2436" w:rsidRDefault="00120844" w:rsidP="00E75F96">
            <w:pPr>
              <w:jc w:val="center"/>
              <w:cnfStyle w:val="000000000000" w:firstRow="0" w:lastRow="0" w:firstColumn="0" w:lastColumn="0" w:oddVBand="0" w:evenVBand="0" w:oddHBand="0" w:evenHBand="0" w:firstRowFirstColumn="0" w:firstRowLastColumn="0" w:lastRowFirstColumn="0" w:lastRowLastColumn="0"/>
              <w:rPr>
                <w:sz w:val="24"/>
                <w:szCs w:val="24"/>
              </w:rPr>
            </w:pPr>
            <w:r w:rsidRPr="003E2436">
              <w:rPr>
                <w:sz w:val="24"/>
                <w:szCs w:val="24"/>
              </w:rPr>
              <w:t>804</w:t>
            </w:r>
          </w:p>
        </w:tc>
        <w:tc>
          <w:tcPr>
            <w:tcW w:w="1933" w:type="dxa"/>
            <w:tcBorders>
              <w:top w:val="nil"/>
              <w:bottom w:val="single" w:sz="4" w:space="0" w:color="auto"/>
              <w:right w:val="single" w:sz="4" w:space="0" w:color="auto"/>
            </w:tcBorders>
            <w:shd w:val="clear" w:color="auto" w:fill="F2F2F2" w:themeFill="background1" w:themeFillShade="F2"/>
            <w:noWrap/>
          </w:tcPr>
          <w:p w14:paraId="02A40784" w14:textId="77777777" w:rsidR="00D041CE" w:rsidRPr="003E2436" w:rsidRDefault="00120844" w:rsidP="00E75F96">
            <w:pPr>
              <w:jc w:val="center"/>
              <w:cnfStyle w:val="000000000000" w:firstRow="0" w:lastRow="0" w:firstColumn="0" w:lastColumn="0" w:oddVBand="0" w:evenVBand="0" w:oddHBand="0" w:evenHBand="0" w:firstRowFirstColumn="0" w:firstRowLastColumn="0" w:lastRowFirstColumn="0" w:lastRowLastColumn="0"/>
              <w:rPr>
                <w:sz w:val="24"/>
                <w:szCs w:val="24"/>
              </w:rPr>
            </w:pPr>
            <w:r w:rsidRPr="003E2436">
              <w:rPr>
                <w:sz w:val="24"/>
                <w:szCs w:val="24"/>
              </w:rPr>
              <w:t>804</w:t>
            </w:r>
          </w:p>
        </w:tc>
      </w:tr>
      <w:tr w:rsidR="00E75F96" w:rsidRPr="003E2436" w14:paraId="7C01D429" w14:textId="77777777" w:rsidTr="00BF06D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17" w:type="dxa"/>
            <w:tcBorders>
              <w:top w:val="single" w:sz="4" w:space="0" w:color="auto"/>
            </w:tcBorders>
            <w:noWrap/>
            <w:vAlign w:val="center"/>
            <w:hideMark/>
          </w:tcPr>
          <w:p w14:paraId="2A1E1E4C" w14:textId="77777777" w:rsidR="00E75F96" w:rsidRPr="003E2436" w:rsidRDefault="00E75F96" w:rsidP="00E75F96">
            <w:pPr>
              <w:rPr>
                <w:b w:val="0"/>
                <w:bCs w:val="0"/>
                <w:sz w:val="24"/>
                <w:szCs w:val="24"/>
              </w:rPr>
            </w:pPr>
            <w:r w:rsidRPr="003E2436">
              <w:rPr>
                <w:b w:val="0"/>
                <w:bCs w:val="0"/>
                <w:sz w:val="24"/>
                <w:szCs w:val="24"/>
              </w:rPr>
              <w:t>In supported employment</w:t>
            </w:r>
          </w:p>
        </w:tc>
        <w:tc>
          <w:tcPr>
            <w:tcW w:w="1933" w:type="dxa"/>
            <w:tcBorders>
              <w:top w:val="single" w:sz="4" w:space="0" w:color="auto"/>
            </w:tcBorders>
            <w:noWrap/>
            <w:hideMark/>
          </w:tcPr>
          <w:p w14:paraId="607D0B8B" w14:textId="77777777" w:rsidR="00E75F96" w:rsidRPr="003E2436" w:rsidRDefault="00E75F96" w:rsidP="00E75F96">
            <w:pPr>
              <w:jc w:val="center"/>
              <w:cnfStyle w:val="000000100000" w:firstRow="0" w:lastRow="0" w:firstColumn="0" w:lastColumn="0" w:oddVBand="0" w:evenVBand="0" w:oddHBand="1" w:evenHBand="0" w:firstRowFirstColumn="0" w:firstRowLastColumn="0" w:lastRowFirstColumn="0" w:lastRowLastColumn="0"/>
              <w:rPr>
                <w:sz w:val="24"/>
                <w:szCs w:val="24"/>
              </w:rPr>
            </w:pPr>
            <w:r w:rsidRPr="003E2436">
              <w:rPr>
                <w:sz w:val="24"/>
                <w:szCs w:val="24"/>
              </w:rPr>
              <w:t>No</w:t>
            </w:r>
          </w:p>
        </w:tc>
        <w:tc>
          <w:tcPr>
            <w:tcW w:w="1933" w:type="dxa"/>
            <w:tcBorders>
              <w:top w:val="single" w:sz="4" w:space="0" w:color="auto"/>
            </w:tcBorders>
            <w:noWrap/>
            <w:hideMark/>
          </w:tcPr>
          <w:p w14:paraId="3830CDB4" w14:textId="77777777" w:rsidR="00E75F96" w:rsidRPr="003E2436" w:rsidRDefault="00E75F96" w:rsidP="00E75F96">
            <w:pPr>
              <w:jc w:val="center"/>
              <w:cnfStyle w:val="000000100000" w:firstRow="0" w:lastRow="0" w:firstColumn="0" w:lastColumn="0" w:oddVBand="0" w:evenVBand="0" w:oddHBand="1" w:evenHBand="0" w:firstRowFirstColumn="0" w:firstRowLastColumn="0" w:lastRowFirstColumn="0" w:lastRowLastColumn="0"/>
              <w:rPr>
                <w:sz w:val="24"/>
                <w:szCs w:val="24"/>
              </w:rPr>
            </w:pPr>
            <w:r w:rsidRPr="003E2436">
              <w:rPr>
                <w:sz w:val="24"/>
                <w:szCs w:val="24"/>
              </w:rPr>
              <w:t>531</w:t>
            </w:r>
          </w:p>
        </w:tc>
        <w:tc>
          <w:tcPr>
            <w:tcW w:w="1933" w:type="dxa"/>
            <w:tcBorders>
              <w:top w:val="single" w:sz="4" w:space="0" w:color="auto"/>
            </w:tcBorders>
            <w:noWrap/>
            <w:hideMark/>
          </w:tcPr>
          <w:p w14:paraId="4350560C" w14:textId="77777777" w:rsidR="00E75F96" w:rsidRPr="003E2436" w:rsidRDefault="00E75F96" w:rsidP="00E75F96">
            <w:pPr>
              <w:jc w:val="center"/>
              <w:cnfStyle w:val="000000100000" w:firstRow="0" w:lastRow="0" w:firstColumn="0" w:lastColumn="0" w:oddVBand="0" w:evenVBand="0" w:oddHBand="1" w:evenHBand="0" w:firstRowFirstColumn="0" w:firstRowLastColumn="0" w:lastRowFirstColumn="0" w:lastRowLastColumn="0"/>
              <w:rPr>
                <w:sz w:val="24"/>
                <w:szCs w:val="24"/>
              </w:rPr>
            </w:pPr>
            <w:r w:rsidRPr="003E2436">
              <w:rPr>
                <w:sz w:val="24"/>
                <w:szCs w:val="24"/>
              </w:rPr>
              <w:t>213</w:t>
            </w:r>
          </w:p>
        </w:tc>
      </w:tr>
      <w:tr w:rsidR="00E75F96" w:rsidRPr="003E2436" w14:paraId="05262849" w14:textId="77777777" w:rsidTr="00E75F96">
        <w:trPr>
          <w:trHeight w:val="255"/>
        </w:trPr>
        <w:tc>
          <w:tcPr>
            <w:cnfStyle w:val="001000000000" w:firstRow="0" w:lastRow="0" w:firstColumn="1" w:lastColumn="0" w:oddVBand="0" w:evenVBand="0" w:oddHBand="0" w:evenHBand="0" w:firstRowFirstColumn="0" w:firstRowLastColumn="0" w:lastRowFirstColumn="0" w:lastRowLastColumn="0"/>
            <w:tcW w:w="3217" w:type="dxa"/>
            <w:noWrap/>
            <w:vAlign w:val="center"/>
            <w:hideMark/>
          </w:tcPr>
          <w:p w14:paraId="6D3525DF" w14:textId="77777777" w:rsidR="00E75F96" w:rsidRPr="003E2436" w:rsidRDefault="00E75F96" w:rsidP="00E75F96">
            <w:pPr>
              <w:rPr>
                <w:b w:val="0"/>
                <w:bCs w:val="0"/>
                <w:sz w:val="24"/>
                <w:szCs w:val="24"/>
              </w:rPr>
            </w:pPr>
            <w:r w:rsidRPr="003E2436">
              <w:rPr>
                <w:b w:val="0"/>
                <w:bCs w:val="0"/>
                <w:sz w:val="24"/>
                <w:szCs w:val="24"/>
              </w:rPr>
              <w:t>Not in labour force</w:t>
            </w:r>
          </w:p>
        </w:tc>
        <w:tc>
          <w:tcPr>
            <w:tcW w:w="1933" w:type="dxa"/>
            <w:noWrap/>
            <w:hideMark/>
          </w:tcPr>
          <w:p w14:paraId="2AFADB51" w14:textId="77777777" w:rsidR="00E75F96" w:rsidRPr="003E2436" w:rsidRDefault="00E75F96" w:rsidP="00E75F96">
            <w:pPr>
              <w:jc w:val="center"/>
              <w:cnfStyle w:val="000000000000" w:firstRow="0" w:lastRow="0" w:firstColumn="0" w:lastColumn="0" w:oddVBand="0" w:evenVBand="0" w:oddHBand="0" w:evenHBand="0" w:firstRowFirstColumn="0" w:firstRowLastColumn="0" w:lastRowFirstColumn="0" w:lastRowLastColumn="0"/>
              <w:rPr>
                <w:sz w:val="24"/>
                <w:szCs w:val="24"/>
              </w:rPr>
            </w:pPr>
            <w:r w:rsidRPr="003E2436">
              <w:rPr>
                <w:sz w:val="24"/>
                <w:szCs w:val="24"/>
              </w:rPr>
              <w:t>No</w:t>
            </w:r>
          </w:p>
        </w:tc>
        <w:tc>
          <w:tcPr>
            <w:tcW w:w="1933" w:type="dxa"/>
            <w:noWrap/>
            <w:hideMark/>
          </w:tcPr>
          <w:p w14:paraId="74BC7D47" w14:textId="77777777" w:rsidR="00E75F96" w:rsidRPr="003E2436" w:rsidRDefault="00E75F96" w:rsidP="00E75F96">
            <w:pPr>
              <w:jc w:val="center"/>
              <w:cnfStyle w:val="000000000000" w:firstRow="0" w:lastRow="0" w:firstColumn="0" w:lastColumn="0" w:oddVBand="0" w:evenVBand="0" w:oddHBand="0" w:evenHBand="0" w:firstRowFirstColumn="0" w:firstRowLastColumn="0" w:lastRowFirstColumn="0" w:lastRowLastColumn="0"/>
              <w:rPr>
                <w:sz w:val="24"/>
                <w:szCs w:val="24"/>
              </w:rPr>
            </w:pPr>
            <w:r w:rsidRPr="003E2436">
              <w:rPr>
                <w:sz w:val="24"/>
                <w:szCs w:val="24"/>
              </w:rPr>
              <w:t>1,351</w:t>
            </w:r>
          </w:p>
        </w:tc>
        <w:tc>
          <w:tcPr>
            <w:tcW w:w="1933" w:type="dxa"/>
            <w:noWrap/>
            <w:hideMark/>
          </w:tcPr>
          <w:p w14:paraId="7E1EF83D" w14:textId="77777777" w:rsidR="00E75F96" w:rsidRPr="003E2436" w:rsidRDefault="00E75F96" w:rsidP="00E75F96">
            <w:pPr>
              <w:jc w:val="center"/>
              <w:cnfStyle w:val="000000000000" w:firstRow="0" w:lastRow="0" w:firstColumn="0" w:lastColumn="0" w:oddVBand="0" w:evenVBand="0" w:oddHBand="0" w:evenHBand="0" w:firstRowFirstColumn="0" w:firstRowLastColumn="0" w:lastRowFirstColumn="0" w:lastRowLastColumn="0"/>
              <w:rPr>
                <w:sz w:val="24"/>
                <w:szCs w:val="24"/>
              </w:rPr>
            </w:pPr>
            <w:r w:rsidRPr="003E2436">
              <w:rPr>
                <w:sz w:val="24"/>
                <w:szCs w:val="24"/>
              </w:rPr>
              <w:t>354</w:t>
            </w:r>
          </w:p>
        </w:tc>
      </w:tr>
      <w:tr w:rsidR="00E75F96" w:rsidRPr="003E2436" w14:paraId="15DEEF8C" w14:textId="77777777" w:rsidTr="00E75F9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17" w:type="dxa"/>
            <w:noWrap/>
            <w:hideMark/>
          </w:tcPr>
          <w:p w14:paraId="23E43031" w14:textId="77777777" w:rsidR="00E75F96" w:rsidRPr="003E2436" w:rsidRDefault="00E75F96" w:rsidP="00E75F96">
            <w:pPr>
              <w:rPr>
                <w:sz w:val="24"/>
                <w:szCs w:val="24"/>
              </w:rPr>
            </w:pPr>
            <w:r w:rsidRPr="003E2436">
              <w:rPr>
                <w:sz w:val="24"/>
                <w:szCs w:val="24"/>
              </w:rPr>
              <w:t>Total</w:t>
            </w:r>
          </w:p>
        </w:tc>
        <w:tc>
          <w:tcPr>
            <w:tcW w:w="1933" w:type="dxa"/>
            <w:noWrap/>
            <w:hideMark/>
          </w:tcPr>
          <w:p w14:paraId="0419A012" w14:textId="77777777" w:rsidR="00E75F96" w:rsidRPr="003E2436" w:rsidRDefault="00E75F96" w:rsidP="00E75F96">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933" w:type="dxa"/>
            <w:noWrap/>
            <w:hideMark/>
          </w:tcPr>
          <w:p w14:paraId="661E84F7" w14:textId="77777777" w:rsidR="00E75F96" w:rsidRPr="003E2436" w:rsidRDefault="00E75F96" w:rsidP="00E75F96">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3E2436">
              <w:rPr>
                <w:b/>
                <w:sz w:val="24"/>
                <w:szCs w:val="24"/>
              </w:rPr>
              <w:t>3,216</w:t>
            </w:r>
          </w:p>
        </w:tc>
        <w:tc>
          <w:tcPr>
            <w:tcW w:w="1933" w:type="dxa"/>
            <w:noWrap/>
            <w:hideMark/>
          </w:tcPr>
          <w:p w14:paraId="3BDFDAF0" w14:textId="77777777" w:rsidR="00E75F96" w:rsidRPr="003E2436" w:rsidRDefault="00E75F96" w:rsidP="00E75F96">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3E2436">
              <w:rPr>
                <w:b/>
                <w:sz w:val="24"/>
                <w:szCs w:val="24"/>
              </w:rPr>
              <w:t>3,216</w:t>
            </w:r>
          </w:p>
        </w:tc>
      </w:tr>
    </w:tbl>
    <w:p w14:paraId="249896D7" w14:textId="77777777" w:rsidR="00377F10" w:rsidRDefault="00377F10"/>
    <w:p w14:paraId="0CDF8CCD" w14:textId="77777777" w:rsidR="00711670" w:rsidRPr="00855673" w:rsidRDefault="00496D5D" w:rsidP="00711670">
      <w:pPr>
        <w:rPr>
          <w:sz w:val="28"/>
          <w:szCs w:val="28"/>
        </w:rPr>
      </w:pPr>
      <w:r w:rsidRPr="00855673">
        <w:rPr>
          <w:b/>
          <w:sz w:val="28"/>
          <w:szCs w:val="28"/>
        </w:rPr>
        <w:t xml:space="preserve">Long Term Outcome </w:t>
      </w:r>
      <w:r w:rsidR="00711670" w:rsidRPr="00855673">
        <w:rPr>
          <w:b/>
          <w:sz w:val="28"/>
          <w:szCs w:val="28"/>
        </w:rPr>
        <w:t>7. Calculate the additional benefit generated by Ticket to Work</w:t>
      </w:r>
    </w:p>
    <w:p w14:paraId="77294E04" w14:textId="77777777" w:rsidR="00476CAB" w:rsidRPr="003E2436" w:rsidRDefault="00496D5D">
      <w:pPr>
        <w:rPr>
          <w:sz w:val="24"/>
          <w:szCs w:val="24"/>
        </w:rPr>
      </w:pPr>
      <w:r w:rsidRPr="003E2436">
        <w:rPr>
          <w:sz w:val="24"/>
          <w:szCs w:val="24"/>
        </w:rPr>
        <w:t>T</w:t>
      </w:r>
      <w:r w:rsidR="005B5D38" w:rsidRPr="003E2436">
        <w:rPr>
          <w:sz w:val="24"/>
          <w:szCs w:val="24"/>
        </w:rPr>
        <w:t>here is an</w:t>
      </w:r>
      <w:r w:rsidR="00476CAB" w:rsidRPr="003E2436">
        <w:rPr>
          <w:sz w:val="24"/>
          <w:szCs w:val="24"/>
        </w:rPr>
        <w:t xml:space="preserve"> average</w:t>
      </w:r>
      <w:r w:rsidR="005B5D38" w:rsidRPr="003E2436">
        <w:rPr>
          <w:sz w:val="24"/>
          <w:szCs w:val="24"/>
        </w:rPr>
        <w:t xml:space="preserve"> increase of about $</w:t>
      </w:r>
      <w:r w:rsidR="00AC2AE1" w:rsidRPr="003E2436">
        <w:rPr>
          <w:sz w:val="24"/>
          <w:szCs w:val="24"/>
        </w:rPr>
        <w:t>1,100 on</w:t>
      </w:r>
      <w:r w:rsidR="005B5D38" w:rsidRPr="003E2436">
        <w:rPr>
          <w:sz w:val="24"/>
          <w:szCs w:val="24"/>
        </w:rPr>
        <w:t xml:space="preserve"> DES expenditure over three years</w:t>
      </w:r>
      <w:r w:rsidR="00C73276" w:rsidRPr="003E2436">
        <w:rPr>
          <w:sz w:val="24"/>
          <w:szCs w:val="24"/>
        </w:rPr>
        <w:t xml:space="preserve"> per participant</w:t>
      </w:r>
      <w:r w:rsidR="005B5D38" w:rsidRPr="003E2436">
        <w:rPr>
          <w:sz w:val="24"/>
          <w:szCs w:val="24"/>
        </w:rPr>
        <w:t xml:space="preserve">. This is the result of an increase in the share of people in the labour force, and the share of those people in the labour force who are in open employment. </w:t>
      </w:r>
    </w:p>
    <w:p w14:paraId="06A2DC7A" w14:textId="77777777" w:rsidR="0090369A" w:rsidRPr="003E2436" w:rsidRDefault="0090369A">
      <w:pPr>
        <w:rPr>
          <w:b/>
          <w:sz w:val="24"/>
          <w:szCs w:val="24"/>
        </w:rPr>
      </w:pPr>
      <w:r w:rsidRPr="003E2436">
        <w:rPr>
          <w:b/>
          <w:sz w:val="24"/>
          <w:szCs w:val="24"/>
        </w:rPr>
        <w:t>Increase in DES costs over three years</w:t>
      </w:r>
    </w:p>
    <w:p w14:paraId="30F0F2E3" w14:textId="77777777" w:rsidR="0090369A" w:rsidRPr="006113AF" w:rsidRDefault="0090369A" w:rsidP="0090369A">
      <w:pPr>
        <w:spacing w:after="120" w:line="240" w:lineRule="auto"/>
        <w:rPr>
          <w:rFonts w:cs="Arial"/>
          <w:sz w:val="24"/>
          <w:szCs w:val="24"/>
        </w:rPr>
      </w:pPr>
      <w:r w:rsidRPr="006113AF">
        <w:rPr>
          <w:rFonts w:cs="Arial"/>
          <w:sz w:val="24"/>
          <w:szCs w:val="24"/>
        </w:rPr>
        <w:t>Business as usual</w:t>
      </w:r>
    </w:p>
    <w:p w14:paraId="26A2BBA5" w14:textId="77777777" w:rsidR="0090369A" w:rsidRPr="006113AF" w:rsidRDefault="0090369A" w:rsidP="006113AF">
      <w:pPr>
        <w:pStyle w:val="ListParagraph"/>
        <w:numPr>
          <w:ilvl w:val="1"/>
          <w:numId w:val="25"/>
        </w:numPr>
        <w:spacing w:after="120" w:line="240" w:lineRule="auto"/>
        <w:ind w:left="450"/>
        <w:rPr>
          <w:rFonts w:ascii="Arial" w:hAnsi="Arial" w:cs="Arial"/>
          <w:sz w:val="24"/>
          <w:szCs w:val="24"/>
        </w:rPr>
      </w:pPr>
      <w:r w:rsidRPr="006113AF">
        <w:rPr>
          <w:rFonts w:ascii="Arial" w:hAnsi="Arial" w:cs="Arial"/>
          <w:sz w:val="24"/>
          <w:szCs w:val="24"/>
        </w:rPr>
        <w:t>Entire cohort $14.7m</w:t>
      </w:r>
    </w:p>
    <w:p w14:paraId="4C055FDD" w14:textId="77777777" w:rsidR="0090369A" w:rsidRPr="006113AF" w:rsidRDefault="0090369A" w:rsidP="006113AF">
      <w:pPr>
        <w:pStyle w:val="ListParagraph"/>
        <w:numPr>
          <w:ilvl w:val="1"/>
          <w:numId w:val="25"/>
        </w:numPr>
        <w:spacing w:after="120" w:line="240" w:lineRule="auto"/>
        <w:ind w:left="450"/>
        <w:rPr>
          <w:rFonts w:ascii="Arial" w:hAnsi="Arial" w:cs="Arial"/>
          <w:sz w:val="24"/>
          <w:szCs w:val="24"/>
        </w:rPr>
      </w:pPr>
      <w:r w:rsidRPr="006113AF">
        <w:rPr>
          <w:rFonts w:ascii="Arial" w:hAnsi="Arial" w:cs="Arial"/>
          <w:sz w:val="24"/>
          <w:szCs w:val="24"/>
        </w:rPr>
        <w:t>$4,500 average per participant</w:t>
      </w:r>
    </w:p>
    <w:p w14:paraId="053B8099" w14:textId="77777777" w:rsidR="0090369A" w:rsidRPr="006113AF" w:rsidRDefault="0090369A" w:rsidP="0090369A">
      <w:pPr>
        <w:spacing w:after="120" w:line="240" w:lineRule="auto"/>
        <w:rPr>
          <w:rFonts w:cs="Arial"/>
          <w:sz w:val="24"/>
          <w:szCs w:val="24"/>
        </w:rPr>
      </w:pPr>
      <w:r w:rsidRPr="006113AF">
        <w:rPr>
          <w:rFonts w:cs="Arial"/>
          <w:sz w:val="24"/>
          <w:szCs w:val="24"/>
        </w:rPr>
        <w:t>Ticket to Work</w:t>
      </w:r>
    </w:p>
    <w:p w14:paraId="56C122DB" w14:textId="77777777" w:rsidR="0090369A" w:rsidRPr="006113AF" w:rsidRDefault="0090369A" w:rsidP="006113AF">
      <w:pPr>
        <w:pStyle w:val="ListParagraph"/>
        <w:numPr>
          <w:ilvl w:val="1"/>
          <w:numId w:val="25"/>
        </w:numPr>
        <w:spacing w:after="120" w:line="240" w:lineRule="auto"/>
        <w:ind w:left="450"/>
        <w:rPr>
          <w:rFonts w:ascii="Arial" w:hAnsi="Arial" w:cs="Arial"/>
          <w:sz w:val="24"/>
          <w:szCs w:val="24"/>
        </w:rPr>
      </w:pPr>
      <w:r w:rsidRPr="006113AF">
        <w:rPr>
          <w:rFonts w:ascii="Arial" w:hAnsi="Arial" w:cs="Arial"/>
          <w:sz w:val="24"/>
          <w:szCs w:val="24"/>
        </w:rPr>
        <w:t>Entire cohort $18.1m</w:t>
      </w:r>
    </w:p>
    <w:p w14:paraId="4A630B04" w14:textId="77777777" w:rsidR="0090369A" w:rsidRPr="006113AF" w:rsidRDefault="0090369A" w:rsidP="006113AF">
      <w:pPr>
        <w:pStyle w:val="ListParagraph"/>
        <w:numPr>
          <w:ilvl w:val="1"/>
          <w:numId w:val="25"/>
        </w:numPr>
        <w:spacing w:after="120" w:line="240" w:lineRule="auto"/>
        <w:ind w:left="450"/>
        <w:rPr>
          <w:rFonts w:ascii="Arial" w:hAnsi="Arial" w:cs="Arial"/>
          <w:sz w:val="24"/>
          <w:szCs w:val="24"/>
        </w:rPr>
      </w:pPr>
      <w:r w:rsidRPr="006113AF">
        <w:rPr>
          <w:rFonts w:ascii="Arial" w:hAnsi="Arial" w:cs="Arial"/>
          <w:sz w:val="24"/>
          <w:szCs w:val="24"/>
        </w:rPr>
        <w:t>$5,600 average per participant</w:t>
      </w:r>
    </w:p>
    <w:p w14:paraId="54AA8207" w14:textId="77777777" w:rsidR="0090369A" w:rsidRPr="006113AF" w:rsidRDefault="0090369A" w:rsidP="0090369A">
      <w:pPr>
        <w:spacing w:after="120" w:line="240" w:lineRule="auto"/>
        <w:rPr>
          <w:rFonts w:cs="Arial"/>
          <w:sz w:val="24"/>
          <w:szCs w:val="24"/>
        </w:rPr>
      </w:pPr>
      <w:r w:rsidRPr="006113AF">
        <w:rPr>
          <w:rFonts w:cs="Arial"/>
          <w:sz w:val="24"/>
          <w:szCs w:val="24"/>
        </w:rPr>
        <w:t>Difference</w:t>
      </w:r>
    </w:p>
    <w:p w14:paraId="2C4B1DC3" w14:textId="77777777" w:rsidR="0090369A" w:rsidRPr="006113AF" w:rsidRDefault="0090369A" w:rsidP="006113AF">
      <w:pPr>
        <w:pStyle w:val="ListParagraph"/>
        <w:numPr>
          <w:ilvl w:val="1"/>
          <w:numId w:val="25"/>
        </w:numPr>
        <w:spacing w:after="120" w:line="240" w:lineRule="auto"/>
        <w:ind w:left="450"/>
        <w:rPr>
          <w:rFonts w:ascii="Arial" w:hAnsi="Arial" w:cs="Arial"/>
          <w:sz w:val="24"/>
          <w:szCs w:val="24"/>
        </w:rPr>
      </w:pPr>
      <w:r w:rsidRPr="006113AF">
        <w:rPr>
          <w:rFonts w:ascii="Arial" w:hAnsi="Arial" w:cs="Arial"/>
          <w:sz w:val="24"/>
          <w:szCs w:val="24"/>
        </w:rPr>
        <w:t>Entire cohort $3.4m</w:t>
      </w:r>
    </w:p>
    <w:p w14:paraId="58C185CC" w14:textId="77777777" w:rsidR="006113AF" w:rsidRPr="006113AF" w:rsidRDefault="0090369A" w:rsidP="006113AF">
      <w:pPr>
        <w:pStyle w:val="ListParagraph"/>
        <w:numPr>
          <w:ilvl w:val="1"/>
          <w:numId w:val="25"/>
        </w:numPr>
        <w:spacing w:after="120" w:line="240" w:lineRule="auto"/>
        <w:ind w:left="450"/>
        <w:rPr>
          <w:rFonts w:ascii="Arial" w:hAnsi="Arial" w:cs="Arial"/>
          <w:sz w:val="24"/>
          <w:szCs w:val="24"/>
        </w:rPr>
      </w:pPr>
      <w:r w:rsidRPr="006113AF">
        <w:rPr>
          <w:rFonts w:ascii="Arial" w:hAnsi="Arial" w:cs="Arial"/>
          <w:sz w:val="24"/>
          <w:szCs w:val="24"/>
        </w:rPr>
        <w:t>$1,100 average per participant</w:t>
      </w:r>
    </w:p>
    <w:p w14:paraId="1336D9A6" w14:textId="77777777" w:rsidR="006113AF" w:rsidRPr="006113AF" w:rsidRDefault="006113AF" w:rsidP="006113AF">
      <w:pPr>
        <w:pStyle w:val="ListParagraph"/>
        <w:numPr>
          <w:ilvl w:val="1"/>
          <w:numId w:val="25"/>
        </w:numPr>
        <w:spacing w:after="120" w:line="240" w:lineRule="auto"/>
        <w:ind w:left="450"/>
        <w:rPr>
          <w:rFonts w:ascii="Arial" w:hAnsi="Arial" w:cs="Arial"/>
          <w:sz w:val="24"/>
          <w:szCs w:val="24"/>
        </w:rPr>
      </w:pPr>
      <w:r w:rsidRPr="006113AF">
        <w:rPr>
          <w:rFonts w:ascii="Arial" w:hAnsi="Arial" w:cs="Arial"/>
          <w:sz w:val="24"/>
          <w:szCs w:val="24"/>
        </w:rPr>
        <w:br w:type="page"/>
      </w:r>
    </w:p>
    <w:p w14:paraId="3A48766B" w14:textId="77777777" w:rsidR="0090369A" w:rsidRPr="003E2436" w:rsidRDefault="0090369A" w:rsidP="006113AF">
      <w:pPr>
        <w:pStyle w:val="ListParagraph"/>
        <w:spacing w:after="120" w:line="240" w:lineRule="auto"/>
        <w:ind w:left="270"/>
        <w:rPr>
          <w:sz w:val="24"/>
          <w:szCs w:val="24"/>
        </w:rPr>
      </w:pPr>
    </w:p>
    <w:p w14:paraId="08F3BACB" w14:textId="77777777" w:rsidR="00E422B0" w:rsidRPr="006113AF" w:rsidRDefault="00E422B0" w:rsidP="0090369A">
      <w:pPr>
        <w:rPr>
          <w:b/>
          <w:sz w:val="28"/>
          <w:szCs w:val="28"/>
        </w:rPr>
      </w:pPr>
      <w:r w:rsidRPr="006113AF">
        <w:rPr>
          <w:b/>
          <w:sz w:val="28"/>
          <w:szCs w:val="28"/>
        </w:rPr>
        <w:t xml:space="preserve">Impact 8. </w:t>
      </w:r>
      <w:r w:rsidR="00B3181C" w:rsidRPr="006113AF">
        <w:rPr>
          <w:b/>
          <w:sz w:val="28"/>
          <w:szCs w:val="28"/>
        </w:rPr>
        <w:t>Reduction in income support</w:t>
      </w:r>
    </w:p>
    <w:p w14:paraId="0951C202" w14:textId="77777777" w:rsidR="00377F10" w:rsidRPr="006113AF" w:rsidRDefault="00377F10" w:rsidP="00377F10">
      <w:pPr>
        <w:rPr>
          <w:sz w:val="28"/>
          <w:szCs w:val="28"/>
        </w:rPr>
      </w:pPr>
      <w:r w:rsidRPr="006113AF">
        <w:rPr>
          <w:b/>
          <w:sz w:val="28"/>
          <w:szCs w:val="28"/>
        </w:rPr>
        <w:t>Impact 8. What outcomes do participants experience as a result of being involved in Ticket to Work?</w:t>
      </w:r>
      <w:r w:rsidRPr="006113AF">
        <w:rPr>
          <w:sz w:val="28"/>
          <w:szCs w:val="28"/>
        </w:rPr>
        <w:t xml:space="preserve"> </w:t>
      </w:r>
    </w:p>
    <w:p w14:paraId="208C8C6A" w14:textId="77777777" w:rsidR="007E26F5" w:rsidRPr="003E2436" w:rsidRDefault="007E26F5" w:rsidP="007E26F5">
      <w:pPr>
        <w:rPr>
          <w:rFonts w:cs="Arial"/>
          <w:sz w:val="24"/>
          <w:szCs w:val="24"/>
        </w:rPr>
      </w:pPr>
      <w:r w:rsidRPr="003E2436">
        <w:rPr>
          <w:rFonts w:cs="Arial"/>
          <w:sz w:val="24"/>
          <w:szCs w:val="24"/>
        </w:rPr>
        <w:t>The outcomes that lead to a reduction in income support payments are:</w:t>
      </w:r>
    </w:p>
    <w:p w14:paraId="4AF36F23" w14:textId="77777777" w:rsidR="007E26F5" w:rsidRPr="003E2436" w:rsidRDefault="007E26F5" w:rsidP="003E2436">
      <w:pPr>
        <w:pStyle w:val="ListParagraph"/>
        <w:numPr>
          <w:ilvl w:val="0"/>
          <w:numId w:val="9"/>
        </w:numPr>
        <w:ind w:left="360"/>
        <w:rPr>
          <w:rFonts w:ascii="Arial" w:hAnsi="Arial" w:cs="Arial"/>
          <w:sz w:val="24"/>
          <w:szCs w:val="24"/>
        </w:rPr>
      </w:pPr>
      <w:r w:rsidRPr="003E2436">
        <w:rPr>
          <w:rFonts w:ascii="Arial" w:hAnsi="Arial" w:cs="Arial"/>
          <w:sz w:val="24"/>
          <w:szCs w:val="24"/>
        </w:rPr>
        <w:t xml:space="preserve">the increase in likelihood of employment </w:t>
      </w:r>
      <w:r w:rsidR="00DC123B" w:rsidRPr="003E2436">
        <w:rPr>
          <w:rFonts w:ascii="Arial" w:hAnsi="Arial" w:cs="Arial"/>
          <w:sz w:val="24"/>
          <w:szCs w:val="24"/>
        </w:rPr>
        <w:t>increases incomes for people with disability</w:t>
      </w:r>
      <w:r w:rsidR="009F704A" w:rsidRPr="003E2436">
        <w:rPr>
          <w:rFonts w:ascii="Arial" w:hAnsi="Arial" w:cs="Arial"/>
          <w:sz w:val="24"/>
          <w:szCs w:val="24"/>
        </w:rPr>
        <w:t>, which may reduce the amount of income support they receive</w:t>
      </w:r>
    </w:p>
    <w:p w14:paraId="77FB6721" w14:textId="77777777" w:rsidR="00377F10" w:rsidRPr="003E2436" w:rsidRDefault="007E26F5" w:rsidP="003E2436">
      <w:pPr>
        <w:pStyle w:val="ListParagraph"/>
        <w:numPr>
          <w:ilvl w:val="0"/>
          <w:numId w:val="9"/>
        </w:numPr>
        <w:ind w:left="360"/>
        <w:rPr>
          <w:rFonts w:ascii="Arial" w:hAnsi="Arial" w:cs="Arial"/>
          <w:sz w:val="24"/>
          <w:szCs w:val="24"/>
        </w:rPr>
      </w:pPr>
      <w:r w:rsidRPr="003E2436">
        <w:rPr>
          <w:rFonts w:ascii="Arial" w:hAnsi="Arial" w:cs="Arial"/>
          <w:sz w:val="24"/>
          <w:szCs w:val="24"/>
        </w:rPr>
        <w:t>Increase in the likelihood of that employment being in an open workplace</w:t>
      </w:r>
      <w:r w:rsidR="009F704A" w:rsidRPr="003E2436">
        <w:rPr>
          <w:rFonts w:ascii="Arial" w:hAnsi="Arial" w:cs="Arial"/>
          <w:sz w:val="24"/>
          <w:szCs w:val="24"/>
        </w:rPr>
        <w:t xml:space="preserve"> which increases the rates of pay that people with disability receive</w:t>
      </w:r>
    </w:p>
    <w:p w14:paraId="02B05FE4" w14:textId="77777777" w:rsidR="00377F10" w:rsidRPr="006113AF" w:rsidRDefault="00377F10" w:rsidP="00377F10">
      <w:pPr>
        <w:rPr>
          <w:sz w:val="28"/>
          <w:szCs w:val="28"/>
        </w:rPr>
      </w:pPr>
      <w:r w:rsidRPr="006113AF">
        <w:rPr>
          <w:b/>
          <w:sz w:val="28"/>
          <w:szCs w:val="28"/>
        </w:rPr>
        <w:t xml:space="preserve">Impact 8. What </w:t>
      </w:r>
      <w:r w:rsidR="00DE0B01" w:rsidRPr="006113AF">
        <w:rPr>
          <w:b/>
          <w:sz w:val="28"/>
          <w:szCs w:val="28"/>
        </w:rPr>
        <w:t>benefits or costs can reasonably</w:t>
      </w:r>
      <w:r w:rsidRPr="006113AF">
        <w:rPr>
          <w:b/>
          <w:sz w:val="28"/>
          <w:szCs w:val="28"/>
        </w:rPr>
        <w:t xml:space="preserve"> be expected to occur as a result of that outcome?</w:t>
      </w:r>
      <w:r w:rsidRPr="006113AF">
        <w:rPr>
          <w:sz w:val="28"/>
          <w:szCs w:val="28"/>
        </w:rPr>
        <w:t xml:space="preserve"> </w:t>
      </w:r>
    </w:p>
    <w:p w14:paraId="435B6DE4" w14:textId="77777777" w:rsidR="007E26F5" w:rsidRPr="003E2436" w:rsidRDefault="007E26F5" w:rsidP="007E26F5">
      <w:pPr>
        <w:rPr>
          <w:sz w:val="24"/>
          <w:szCs w:val="24"/>
        </w:rPr>
      </w:pPr>
      <w:r w:rsidRPr="003E2436">
        <w:rPr>
          <w:sz w:val="24"/>
          <w:szCs w:val="24"/>
        </w:rPr>
        <w:t xml:space="preserve">There are </w:t>
      </w:r>
      <w:r w:rsidR="00F56B65" w:rsidRPr="003E2436">
        <w:rPr>
          <w:sz w:val="24"/>
          <w:szCs w:val="24"/>
        </w:rPr>
        <w:t xml:space="preserve">three </w:t>
      </w:r>
      <w:r w:rsidRPr="003E2436">
        <w:rPr>
          <w:sz w:val="24"/>
          <w:szCs w:val="24"/>
        </w:rPr>
        <w:t>income support payments that may be affected by an increase in working hours or pay rates as a result of these changes to the employment status of T</w:t>
      </w:r>
      <w:r w:rsidR="00A14F01" w:rsidRPr="003E2436">
        <w:rPr>
          <w:sz w:val="24"/>
          <w:szCs w:val="24"/>
        </w:rPr>
        <w:t>icket to Work</w:t>
      </w:r>
      <w:r w:rsidRPr="003E2436">
        <w:rPr>
          <w:sz w:val="24"/>
          <w:szCs w:val="24"/>
        </w:rPr>
        <w:t xml:space="preserve"> participants:</w:t>
      </w:r>
    </w:p>
    <w:p w14:paraId="2593A949" w14:textId="77777777" w:rsidR="004B4CAC" w:rsidRPr="003E2436" w:rsidRDefault="007E26F5" w:rsidP="00837416">
      <w:pPr>
        <w:pStyle w:val="NoSpacing"/>
        <w:rPr>
          <w:sz w:val="24"/>
          <w:szCs w:val="24"/>
        </w:rPr>
      </w:pPr>
      <w:r w:rsidRPr="003E2436">
        <w:rPr>
          <w:b/>
          <w:sz w:val="24"/>
          <w:szCs w:val="24"/>
        </w:rPr>
        <w:t>Disability support pension (DSP):</w:t>
      </w:r>
      <w:r w:rsidRPr="003E2436">
        <w:rPr>
          <w:sz w:val="24"/>
          <w:szCs w:val="24"/>
        </w:rPr>
        <w:t xml:space="preserve"> DSP is paid to </w:t>
      </w:r>
      <w:r w:rsidR="00164C1F" w:rsidRPr="003E2436">
        <w:rPr>
          <w:sz w:val="24"/>
          <w:szCs w:val="24"/>
        </w:rPr>
        <w:t xml:space="preserve">eligible </w:t>
      </w:r>
      <w:r w:rsidRPr="003E2436">
        <w:rPr>
          <w:sz w:val="24"/>
          <w:szCs w:val="24"/>
        </w:rPr>
        <w:t xml:space="preserve">people with disability at a rate of $926 per fortnight. The DSP reduces by 50c for each dollar earned over $174.  </w:t>
      </w:r>
    </w:p>
    <w:p w14:paraId="2CD21DC0" w14:textId="77777777" w:rsidR="007E26F5" w:rsidRPr="003E2436" w:rsidRDefault="004B4CAC" w:rsidP="00837416">
      <w:pPr>
        <w:pStyle w:val="NoSpacing"/>
        <w:rPr>
          <w:sz w:val="24"/>
          <w:szCs w:val="24"/>
        </w:rPr>
      </w:pPr>
      <w:r w:rsidRPr="003E2436">
        <w:rPr>
          <w:b/>
          <w:sz w:val="24"/>
          <w:szCs w:val="24"/>
        </w:rPr>
        <w:t>Youth allowance:</w:t>
      </w:r>
      <w:r w:rsidRPr="003E2436">
        <w:rPr>
          <w:sz w:val="24"/>
          <w:szCs w:val="24"/>
        </w:rPr>
        <w:t xml:space="preserve"> </w:t>
      </w:r>
      <w:r w:rsidR="00164C1F" w:rsidRPr="003E2436">
        <w:rPr>
          <w:sz w:val="24"/>
          <w:szCs w:val="24"/>
        </w:rPr>
        <w:t xml:space="preserve">youth allowance is paid to eligible people with disability </w:t>
      </w:r>
      <w:r w:rsidR="00E46992" w:rsidRPr="003E2436">
        <w:rPr>
          <w:sz w:val="24"/>
          <w:szCs w:val="24"/>
        </w:rPr>
        <w:t xml:space="preserve">living at home at a rate of $299.80 per fortnight, plus a disability supplement of $129.80. Youth allowance is reduced by </w:t>
      </w:r>
      <w:r w:rsidR="00096A7C" w:rsidRPr="003E2436">
        <w:rPr>
          <w:sz w:val="24"/>
          <w:szCs w:val="24"/>
        </w:rPr>
        <w:t>50c for each dollar earned over $437 per fortnight, and 60c per dollar earned over $524 per fortnight</w:t>
      </w:r>
    </w:p>
    <w:p w14:paraId="13CC2C7D" w14:textId="77777777" w:rsidR="007E26F5" w:rsidRPr="003E2436" w:rsidRDefault="007E26F5" w:rsidP="007A757C">
      <w:pPr>
        <w:pStyle w:val="NoSpacing"/>
        <w:rPr>
          <w:sz w:val="24"/>
          <w:szCs w:val="24"/>
        </w:rPr>
      </w:pPr>
      <w:r w:rsidRPr="003E2436">
        <w:rPr>
          <w:b/>
          <w:sz w:val="24"/>
          <w:szCs w:val="24"/>
        </w:rPr>
        <w:t>Carer support payments:</w:t>
      </w:r>
      <w:r w:rsidRPr="003E2436">
        <w:rPr>
          <w:sz w:val="24"/>
          <w:szCs w:val="24"/>
        </w:rPr>
        <w:t xml:space="preserve"> carer support payments are paid to the carers of people with disability. The calculation of the carer support payment is affected by many factors, including the income of the person with disability, their residential status, the carer’s income and the carer’s spouse’s income. Thus, there is the possibility that an increase in income for carers will reduce carer support payments. </w:t>
      </w:r>
    </w:p>
    <w:p w14:paraId="1AD373CE" w14:textId="77777777" w:rsidR="007E26F5" w:rsidRPr="003E2436" w:rsidRDefault="007E26F5" w:rsidP="00837416">
      <w:pPr>
        <w:pStyle w:val="NoSpacing"/>
        <w:rPr>
          <w:sz w:val="24"/>
          <w:szCs w:val="24"/>
        </w:rPr>
      </w:pPr>
      <w:r w:rsidRPr="003E2436">
        <w:rPr>
          <w:sz w:val="24"/>
          <w:szCs w:val="24"/>
        </w:rPr>
        <w:t xml:space="preserve">As the survey data did not include interviews with carers it is not possible to accurately estimate what proportion of carers are receiving a carer support payment, nor whether an increase in working hours is likely to reduce that payment. There is also evidence that most disability carers receive no carer support payments (predominantly due to the income of their spouse). Given this, we have assumed that carer support payments will be unchanged as a result of any increase in work hours. </w:t>
      </w:r>
    </w:p>
    <w:p w14:paraId="3D0E68BF" w14:textId="77777777" w:rsidR="006456F1" w:rsidRPr="003E2436" w:rsidRDefault="007E26F5" w:rsidP="00837416">
      <w:pPr>
        <w:pStyle w:val="NoSpacing"/>
        <w:rPr>
          <w:sz w:val="24"/>
          <w:szCs w:val="24"/>
        </w:rPr>
      </w:pPr>
      <w:r w:rsidRPr="003E2436">
        <w:rPr>
          <w:sz w:val="24"/>
          <w:szCs w:val="24"/>
        </w:rPr>
        <w:t xml:space="preserve">The assumptions underlying the income changes for this group are </w:t>
      </w:r>
      <w:r w:rsidR="00EA6E17" w:rsidRPr="003E2436">
        <w:rPr>
          <w:sz w:val="24"/>
          <w:szCs w:val="24"/>
        </w:rPr>
        <w:t xml:space="preserve">the same as those set out in the Impact 3 and Impact 4 (income </w:t>
      </w:r>
      <w:r w:rsidR="002947B3" w:rsidRPr="003E2436">
        <w:rPr>
          <w:sz w:val="24"/>
          <w:szCs w:val="24"/>
        </w:rPr>
        <w:t>for carers and participants respectively). In addition, w</w:t>
      </w:r>
      <w:r w:rsidR="006456F1" w:rsidRPr="003E2436">
        <w:rPr>
          <w:sz w:val="24"/>
          <w:szCs w:val="24"/>
        </w:rPr>
        <w:t>e make the following assumption:</w:t>
      </w:r>
    </w:p>
    <w:p w14:paraId="6CD54917" w14:textId="77777777" w:rsidR="007B11E5" w:rsidRPr="003E2436" w:rsidRDefault="007B11E5" w:rsidP="00837416">
      <w:pPr>
        <w:pStyle w:val="NoSpacing"/>
        <w:rPr>
          <w:b/>
          <w:sz w:val="24"/>
          <w:szCs w:val="24"/>
        </w:rPr>
      </w:pPr>
      <w:r w:rsidRPr="003E2436">
        <w:rPr>
          <w:b/>
          <w:sz w:val="24"/>
          <w:szCs w:val="24"/>
        </w:rPr>
        <w:lastRenderedPageBreak/>
        <w:t>Payment:</w:t>
      </w:r>
    </w:p>
    <w:p w14:paraId="4D61F22A" w14:textId="77777777" w:rsidR="0090369A" w:rsidRPr="003E2436" w:rsidRDefault="0090369A" w:rsidP="00837416">
      <w:pPr>
        <w:pStyle w:val="NoSpacing"/>
        <w:rPr>
          <w:sz w:val="24"/>
          <w:szCs w:val="24"/>
        </w:rPr>
      </w:pPr>
      <w:r w:rsidRPr="003E2436">
        <w:rPr>
          <w:sz w:val="24"/>
          <w:szCs w:val="24"/>
        </w:rPr>
        <w:t>Carer payment and carer allowance</w:t>
      </w:r>
    </w:p>
    <w:p w14:paraId="41940402" w14:textId="77777777" w:rsidR="007B11E5" w:rsidRPr="003E2436" w:rsidRDefault="007B11E5" w:rsidP="00837416">
      <w:pPr>
        <w:pStyle w:val="NoSpacing"/>
        <w:rPr>
          <w:b/>
          <w:sz w:val="24"/>
          <w:szCs w:val="24"/>
        </w:rPr>
      </w:pPr>
      <w:r w:rsidRPr="003E2436">
        <w:rPr>
          <w:b/>
          <w:sz w:val="24"/>
          <w:szCs w:val="24"/>
        </w:rPr>
        <w:t xml:space="preserve">Assumption: </w:t>
      </w:r>
    </w:p>
    <w:p w14:paraId="666A96E4" w14:textId="77777777" w:rsidR="007B11E5" w:rsidRPr="003E2436" w:rsidRDefault="007B11E5" w:rsidP="00837416">
      <w:pPr>
        <w:pStyle w:val="NoSpacing"/>
        <w:rPr>
          <w:sz w:val="24"/>
          <w:szCs w:val="24"/>
        </w:rPr>
      </w:pPr>
      <w:r w:rsidRPr="003E2436">
        <w:rPr>
          <w:sz w:val="24"/>
          <w:szCs w:val="24"/>
        </w:rPr>
        <w:t>No change in carer support payments and carer allowance as a result of increasing work and income</w:t>
      </w:r>
    </w:p>
    <w:p w14:paraId="222BA4B0" w14:textId="77777777" w:rsidR="007B11E5" w:rsidRPr="003E2436" w:rsidRDefault="007B11E5" w:rsidP="00837416">
      <w:pPr>
        <w:pStyle w:val="NoSpacing"/>
        <w:rPr>
          <w:b/>
          <w:sz w:val="24"/>
          <w:szCs w:val="24"/>
        </w:rPr>
      </w:pPr>
      <w:r w:rsidRPr="003E2436">
        <w:rPr>
          <w:b/>
          <w:sz w:val="24"/>
          <w:szCs w:val="24"/>
        </w:rPr>
        <w:t>Source:</w:t>
      </w:r>
    </w:p>
    <w:p w14:paraId="7F59B113" w14:textId="77777777" w:rsidR="007B11E5" w:rsidRPr="003E2436" w:rsidRDefault="007B11E5" w:rsidP="00837416">
      <w:pPr>
        <w:pStyle w:val="NoSpacing"/>
        <w:rPr>
          <w:sz w:val="24"/>
          <w:szCs w:val="24"/>
        </w:rPr>
      </w:pPr>
      <w:r w:rsidRPr="003E2436">
        <w:rPr>
          <w:sz w:val="24"/>
          <w:szCs w:val="24"/>
        </w:rPr>
        <w:t>Conservative assumption given difficulty in assessing payment eligibility</w:t>
      </w:r>
    </w:p>
    <w:p w14:paraId="2EEB2E7F" w14:textId="77777777" w:rsidR="007B11E5" w:rsidRPr="003E2436" w:rsidRDefault="007B11E5" w:rsidP="00837416">
      <w:pPr>
        <w:pStyle w:val="NoSpacing"/>
        <w:rPr>
          <w:sz w:val="24"/>
          <w:szCs w:val="24"/>
        </w:rPr>
      </w:pPr>
    </w:p>
    <w:p w14:paraId="0F639D13" w14:textId="77777777" w:rsidR="006113AF" w:rsidRDefault="00377F10" w:rsidP="006113AF">
      <w:pPr>
        <w:rPr>
          <w:sz w:val="28"/>
          <w:szCs w:val="28"/>
        </w:rPr>
      </w:pPr>
      <w:r w:rsidRPr="006113AF">
        <w:rPr>
          <w:b/>
          <w:sz w:val="28"/>
          <w:szCs w:val="28"/>
        </w:rPr>
        <w:t xml:space="preserve">Impact 8. How many </w:t>
      </w:r>
      <w:r w:rsidR="00A14F01" w:rsidRPr="006113AF">
        <w:rPr>
          <w:b/>
          <w:sz w:val="28"/>
          <w:szCs w:val="28"/>
        </w:rPr>
        <w:t>Ticket to Work</w:t>
      </w:r>
      <w:r w:rsidRPr="006113AF">
        <w:rPr>
          <w:b/>
          <w:sz w:val="28"/>
          <w:szCs w:val="28"/>
        </w:rPr>
        <w:t xml:space="preserve"> participants experienced those outcomes, compared to what we would expect to see in a comparable group?</w:t>
      </w:r>
    </w:p>
    <w:p w14:paraId="7B8D9AB2" w14:textId="77777777" w:rsidR="0022005F" w:rsidRPr="006113AF" w:rsidRDefault="007E26F5" w:rsidP="006113AF">
      <w:pPr>
        <w:rPr>
          <w:sz w:val="28"/>
          <w:szCs w:val="28"/>
        </w:rPr>
      </w:pPr>
      <w:r w:rsidRPr="003E2436">
        <w:rPr>
          <w:sz w:val="24"/>
          <w:szCs w:val="24"/>
        </w:rPr>
        <w:t xml:space="preserve">The changes to the disability support pension </w:t>
      </w:r>
      <w:r w:rsidR="0056402A" w:rsidRPr="003E2436">
        <w:rPr>
          <w:sz w:val="24"/>
          <w:szCs w:val="24"/>
        </w:rPr>
        <w:t xml:space="preserve">and youth allowance </w:t>
      </w:r>
      <w:r w:rsidRPr="003E2436">
        <w:rPr>
          <w:sz w:val="24"/>
          <w:szCs w:val="24"/>
        </w:rPr>
        <w:t xml:space="preserve">are a direct result of the changes in income as a result of employment. </w:t>
      </w:r>
      <w:r w:rsidR="005B6C2F" w:rsidRPr="003E2436">
        <w:rPr>
          <w:sz w:val="24"/>
          <w:szCs w:val="24"/>
        </w:rPr>
        <w:t xml:space="preserve">The number of people in each scenario are set out below, along with the estimate of the amount of government pension and allowances they might receive. </w:t>
      </w:r>
    </w:p>
    <w:tbl>
      <w:tblPr>
        <w:tblStyle w:val="ListTable3-Accent2"/>
        <w:tblW w:w="8642" w:type="dxa"/>
        <w:tblLook w:val="04A0" w:firstRow="1" w:lastRow="0" w:firstColumn="1" w:lastColumn="0" w:noHBand="0" w:noVBand="1"/>
        <w:tblDescription w:val="workforce status: in open employment receiving youth allowance, business as usual 82, ticket to work 284, government pensions and allowances $10,001. receiving DSP business as usual 286, ticket to work 994 and $19,624 government pensions and allowances. receiving no pension or allowance business as usual 163, ticket to work 568 and $0 for government pensions and allowances. In supported employment receiving youth allowance 82, ticket to work 33 and $11,170 government pensions and allowances. receiving dso, 286 buisiness as usual, 115 ticket to work, and $22, 347 government pensions and allowances. receiving no pensions or allowance 163 business as usual, 66 ticket to work and $0 government pensions and allowances. In labour force, but unemployed: receiving youth allowance 247 in business as usual, 247 ticket to work and $11,179 government pensions and allowances. receiving dsp 371 business as usual, 371 ticket to work and $24,081 government pensions and allowances. receiving no pension or allowance 186 business as usual, 186 ticket to work and $0 government pensions and allowances. not in labour force: receiving youth allowance 416 business as usual, 109 ticket to work and $11,170 government pensions and allowances. receiving dsp 623 business as usual, 163 ticket to work and $24, 081 government pensions and allowances. receiving no pension or allowance 312 business as usual, 82 ticket to work and %0 government pensions and allowances. Total is 3216 business as usual and 3216 ticket to work. "/>
      </w:tblPr>
      <w:tblGrid>
        <w:gridCol w:w="4240"/>
        <w:gridCol w:w="1284"/>
        <w:gridCol w:w="1134"/>
        <w:gridCol w:w="2126"/>
      </w:tblGrid>
      <w:tr w:rsidR="00CE3618" w:rsidRPr="003E2436" w14:paraId="7D2BD2CF" w14:textId="77777777" w:rsidTr="006C4FFC">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100" w:firstRow="0" w:lastRow="0" w:firstColumn="1" w:lastColumn="0" w:oddVBand="0" w:evenVBand="0" w:oddHBand="0" w:evenHBand="0" w:firstRowFirstColumn="1" w:firstRowLastColumn="0" w:lastRowFirstColumn="0" w:lastRowLastColumn="0"/>
            <w:tcW w:w="4240" w:type="dxa"/>
            <w:noWrap/>
            <w:hideMark/>
          </w:tcPr>
          <w:p w14:paraId="027492BB" w14:textId="77777777" w:rsidR="00CE3618" w:rsidRPr="003E2436" w:rsidRDefault="00CE3618" w:rsidP="00CE3618">
            <w:pPr>
              <w:jc w:val="center"/>
              <w:rPr>
                <w:rFonts w:eastAsia="Times New Roman" w:cs="Arial"/>
                <w:sz w:val="24"/>
                <w:szCs w:val="24"/>
                <w:lang w:eastAsia="en-AU"/>
              </w:rPr>
            </w:pPr>
            <w:r w:rsidRPr="003E2436">
              <w:rPr>
                <w:rFonts w:eastAsia="Times New Roman" w:cs="Arial"/>
                <w:sz w:val="24"/>
                <w:szCs w:val="24"/>
                <w:lang w:eastAsia="en-AU"/>
              </w:rPr>
              <w:t>Workforce status</w:t>
            </w:r>
          </w:p>
        </w:tc>
        <w:tc>
          <w:tcPr>
            <w:tcW w:w="1142" w:type="dxa"/>
            <w:noWrap/>
            <w:hideMark/>
          </w:tcPr>
          <w:p w14:paraId="4D2DD158" w14:textId="77777777" w:rsidR="00CE3618" w:rsidRPr="003E2436" w:rsidRDefault="00CE3618" w:rsidP="00CE3618">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Business as usual</w:t>
            </w:r>
          </w:p>
        </w:tc>
        <w:tc>
          <w:tcPr>
            <w:tcW w:w="1134" w:type="dxa"/>
            <w:noWrap/>
            <w:hideMark/>
          </w:tcPr>
          <w:p w14:paraId="71C50CC3" w14:textId="77777777" w:rsidR="00CE3618" w:rsidRPr="003E2436" w:rsidRDefault="00CE3618" w:rsidP="00CE3618">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Ticket to work</w:t>
            </w:r>
          </w:p>
        </w:tc>
        <w:tc>
          <w:tcPr>
            <w:tcW w:w="2126" w:type="dxa"/>
            <w:noWrap/>
            <w:hideMark/>
          </w:tcPr>
          <w:p w14:paraId="2F8785FC" w14:textId="77777777" w:rsidR="00CE3618" w:rsidRPr="003E2436" w:rsidRDefault="00CE3618" w:rsidP="00CE3618">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Govt pensions and allowances</w:t>
            </w:r>
          </w:p>
        </w:tc>
      </w:tr>
      <w:tr w:rsidR="00CE3618" w:rsidRPr="003E2436" w14:paraId="1FFACD92" w14:textId="77777777" w:rsidTr="005B6C2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40" w:type="dxa"/>
            <w:noWrap/>
            <w:hideMark/>
          </w:tcPr>
          <w:p w14:paraId="15434D3B" w14:textId="77777777" w:rsidR="00CE3618" w:rsidRPr="003E2436" w:rsidRDefault="00CE3618" w:rsidP="00CE3618">
            <w:pPr>
              <w:rPr>
                <w:rFonts w:eastAsia="Times New Roman" w:cs="Arial"/>
                <w:sz w:val="24"/>
                <w:szCs w:val="24"/>
                <w:lang w:eastAsia="en-AU"/>
              </w:rPr>
            </w:pPr>
            <w:r w:rsidRPr="003E2436">
              <w:rPr>
                <w:rFonts w:eastAsia="Times New Roman" w:cs="Arial"/>
                <w:sz w:val="24"/>
                <w:szCs w:val="24"/>
                <w:lang w:eastAsia="en-AU"/>
              </w:rPr>
              <w:t>In open employment</w:t>
            </w:r>
          </w:p>
        </w:tc>
        <w:tc>
          <w:tcPr>
            <w:tcW w:w="1142" w:type="dxa"/>
            <w:hideMark/>
          </w:tcPr>
          <w:p w14:paraId="51F697FD" w14:textId="77777777" w:rsidR="00CE3618" w:rsidRPr="003E2436" w:rsidRDefault="00CE3618" w:rsidP="00CE361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 </w:t>
            </w:r>
          </w:p>
        </w:tc>
        <w:tc>
          <w:tcPr>
            <w:tcW w:w="1134" w:type="dxa"/>
            <w:noWrap/>
            <w:hideMark/>
          </w:tcPr>
          <w:p w14:paraId="7C31B0A7" w14:textId="77777777" w:rsidR="00CE3618" w:rsidRPr="003E2436" w:rsidRDefault="00CE3618" w:rsidP="00CE361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 </w:t>
            </w:r>
          </w:p>
        </w:tc>
        <w:tc>
          <w:tcPr>
            <w:tcW w:w="2126" w:type="dxa"/>
            <w:noWrap/>
            <w:hideMark/>
          </w:tcPr>
          <w:p w14:paraId="1952FE84" w14:textId="77777777" w:rsidR="00CE3618" w:rsidRPr="003E2436" w:rsidRDefault="00CE3618" w:rsidP="00CE361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 </w:t>
            </w:r>
          </w:p>
        </w:tc>
      </w:tr>
      <w:tr w:rsidR="00CE3618" w:rsidRPr="003E2436" w14:paraId="444E9093" w14:textId="77777777" w:rsidTr="005B6C2F">
        <w:trPr>
          <w:trHeight w:val="255"/>
        </w:trPr>
        <w:tc>
          <w:tcPr>
            <w:cnfStyle w:val="001000000000" w:firstRow="0" w:lastRow="0" w:firstColumn="1" w:lastColumn="0" w:oddVBand="0" w:evenVBand="0" w:oddHBand="0" w:evenHBand="0" w:firstRowFirstColumn="0" w:firstRowLastColumn="0" w:lastRowFirstColumn="0" w:lastRowLastColumn="0"/>
            <w:tcW w:w="4240" w:type="dxa"/>
            <w:noWrap/>
            <w:hideMark/>
          </w:tcPr>
          <w:p w14:paraId="73AD15AE" w14:textId="77777777" w:rsidR="00CE3618" w:rsidRPr="003E2436" w:rsidRDefault="00CE3618" w:rsidP="00CE3618">
            <w:pPr>
              <w:rPr>
                <w:rFonts w:eastAsia="Times New Roman" w:cs="Arial"/>
                <w:b w:val="0"/>
                <w:iCs/>
                <w:sz w:val="24"/>
                <w:szCs w:val="24"/>
                <w:lang w:eastAsia="en-AU"/>
              </w:rPr>
            </w:pPr>
            <w:r w:rsidRPr="003E2436">
              <w:rPr>
                <w:rFonts w:eastAsia="Times New Roman" w:cs="Arial"/>
                <w:b w:val="0"/>
                <w:iCs/>
                <w:sz w:val="24"/>
                <w:szCs w:val="24"/>
                <w:lang w:eastAsia="en-AU"/>
              </w:rPr>
              <w:t>receiving youth allowance</w:t>
            </w:r>
          </w:p>
        </w:tc>
        <w:tc>
          <w:tcPr>
            <w:tcW w:w="1142" w:type="dxa"/>
            <w:hideMark/>
          </w:tcPr>
          <w:p w14:paraId="5225A487" w14:textId="77777777" w:rsidR="00CE3618" w:rsidRPr="003E2436" w:rsidRDefault="00CE3618" w:rsidP="00CE361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82</w:t>
            </w:r>
          </w:p>
        </w:tc>
        <w:tc>
          <w:tcPr>
            <w:tcW w:w="1134" w:type="dxa"/>
            <w:noWrap/>
            <w:hideMark/>
          </w:tcPr>
          <w:p w14:paraId="0925B3AD" w14:textId="77777777" w:rsidR="00CE3618" w:rsidRPr="003E2436" w:rsidRDefault="00CE3618" w:rsidP="00CE361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284</w:t>
            </w:r>
          </w:p>
        </w:tc>
        <w:tc>
          <w:tcPr>
            <w:tcW w:w="2126" w:type="dxa"/>
            <w:noWrap/>
            <w:hideMark/>
          </w:tcPr>
          <w:p w14:paraId="066AA528" w14:textId="77777777" w:rsidR="00CE3618" w:rsidRPr="003E2436" w:rsidRDefault="00CE3618" w:rsidP="00CE361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$1</w:t>
            </w:r>
            <w:r w:rsidR="006007D6" w:rsidRPr="003E2436">
              <w:rPr>
                <w:rFonts w:eastAsia="Times New Roman" w:cs="Arial"/>
                <w:sz w:val="24"/>
                <w:szCs w:val="24"/>
                <w:lang w:eastAsia="en-AU"/>
              </w:rPr>
              <w:t>0,001</w:t>
            </w:r>
            <w:r w:rsidRPr="003E2436">
              <w:rPr>
                <w:rFonts w:eastAsia="Times New Roman" w:cs="Arial"/>
                <w:sz w:val="24"/>
                <w:szCs w:val="24"/>
                <w:lang w:eastAsia="en-AU"/>
              </w:rPr>
              <w:t xml:space="preserve"> </w:t>
            </w:r>
          </w:p>
        </w:tc>
      </w:tr>
      <w:tr w:rsidR="00CE3618" w:rsidRPr="003E2436" w14:paraId="14F60AE0" w14:textId="77777777" w:rsidTr="005B6C2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40" w:type="dxa"/>
            <w:noWrap/>
            <w:hideMark/>
          </w:tcPr>
          <w:p w14:paraId="150D3537" w14:textId="77777777" w:rsidR="00CE3618" w:rsidRPr="003E2436" w:rsidRDefault="00C706BB" w:rsidP="00CE3618">
            <w:pPr>
              <w:rPr>
                <w:rFonts w:eastAsia="Times New Roman" w:cs="Arial"/>
                <w:b w:val="0"/>
                <w:iCs/>
                <w:sz w:val="24"/>
                <w:szCs w:val="24"/>
                <w:lang w:eastAsia="en-AU"/>
              </w:rPr>
            </w:pPr>
            <w:r w:rsidRPr="003E2436">
              <w:rPr>
                <w:rFonts w:eastAsia="Times New Roman" w:cs="Arial"/>
                <w:b w:val="0"/>
                <w:iCs/>
                <w:sz w:val="24"/>
                <w:szCs w:val="24"/>
                <w:lang w:eastAsia="en-AU"/>
              </w:rPr>
              <w:t>receiving</w:t>
            </w:r>
            <w:r w:rsidR="00CE3618" w:rsidRPr="003E2436">
              <w:rPr>
                <w:rFonts w:eastAsia="Times New Roman" w:cs="Arial"/>
                <w:b w:val="0"/>
                <w:iCs/>
                <w:sz w:val="24"/>
                <w:szCs w:val="24"/>
                <w:lang w:eastAsia="en-AU"/>
              </w:rPr>
              <w:t xml:space="preserve"> DSP</w:t>
            </w:r>
          </w:p>
        </w:tc>
        <w:tc>
          <w:tcPr>
            <w:tcW w:w="1142" w:type="dxa"/>
            <w:hideMark/>
          </w:tcPr>
          <w:p w14:paraId="36BF4258" w14:textId="77777777" w:rsidR="00CE3618" w:rsidRPr="003E2436" w:rsidRDefault="00CE3618" w:rsidP="00CE361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286</w:t>
            </w:r>
          </w:p>
        </w:tc>
        <w:tc>
          <w:tcPr>
            <w:tcW w:w="1134" w:type="dxa"/>
            <w:noWrap/>
            <w:hideMark/>
          </w:tcPr>
          <w:p w14:paraId="6260E8C2" w14:textId="77777777" w:rsidR="00CE3618" w:rsidRPr="003E2436" w:rsidRDefault="00CE3618" w:rsidP="00CE361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994</w:t>
            </w:r>
          </w:p>
        </w:tc>
        <w:tc>
          <w:tcPr>
            <w:tcW w:w="2126" w:type="dxa"/>
            <w:noWrap/>
            <w:hideMark/>
          </w:tcPr>
          <w:p w14:paraId="3ACE3C8F" w14:textId="77777777" w:rsidR="00CE3618" w:rsidRPr="003E2436" w:rsidRDefault="00CE3618" w:rsidP="00CE361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w:t>
            </w:r>
            <w:r w:rsidR="00E01D0A" w:rsidRPr="003E2436">
              <w:rPr>
                <w:rFonts w:eastAsia="Times New Roman" w:cs="Arial"/>
                <w:sz w:val="24"/>
                <w:szCs w:val="24"/>
                <w:lang w:eastAsia="en-AU"/>
              </w:rPr>
              <w:t>1</w:t>
            </w:r>
            <w:r w:rsidR="00F54C09" w:rsidRPr="003E2436">
              <w:rPr>
                <w:rFonts w:eastAsia="Times New Roman" w:cs="Arial"/>
                <w:sz w:val="24"/>
                <w:szCs w:val="24"/>
                <w:lang w:eastAsia="en-AU"/>
              </w:rPr>
              <w:t>9,624</w:t>
            </w:r>
            <w:r w:rsidRPr="003E2436">
              <w:rPr>
                <w:rFonts w:eastAsia="Times New Roman" w:cs="Arial"/>
                <w:sz w:val="24"/>
                <w:szCs w:val="24"/>
                <w:lang w:eastAsia="en-AU"/>
              </w:rPr>
              <w:t xml:space="preserve"> </w:t>
            </w:r>
          </w:p>
        </w:tc>
      </w:tr>
      <w:tr w:rsidR="00CE3618" w:rsidRPr="003E2436" w14:paraId="11778526" w14:textId="77777777" w:rsidTr="005B6C2F">
        <w:trPr>
          <w:trHeight w:val="255"/>
        </w:trPr>
        <w:tc>
          <w:tcPr>
            <w:cnfStyle w:val="001000000000" w:firstRow="0" w:lastRow="0" w:firstColumn="1" w:lastColumn="0" w:oddVBand="0" w:evenVBand="0" w:oddHBand="0" w:evenHBand="0" w:firstRowFirstColumn="0" w:firstRowLastColumn="0" w:lastRowFirstColumn="0" w:lastRowLastColumn="0"/>
            <w:tcW w:w="4240" w:type="dxa"/>
            <w:noWrap/>
            <w:hideMark/>
          </w:tcPr>
          <w:p w14:paraId="3E0BED72" w14:textId="77777777" w:rsidR="00CE3618" w:rsidRPr="003E2436" w:rsidRDefault="00CE3618" w:rsidP="00CE3618">
            <w:pPr>
              <w:rPr>
                <w:rFonts w:eastAsia="Times New Roman" w:cs="Arial"/>
                <w:b w:val="0"/>
                <w:iCs/>
                <w:sz w:val="24"/>
                <w:szCs w:val="24"/>
                <w:lang w:eastAsia="en-AU"/>
              </w:rPr>
            </w:pPr>
            <w:r w:rsidRPr="003E2436">
              <w:rPr>
                <w:rFonts w:eastAsia="Times New Roman" w:cs="Arial"/>
                <w:b w:val="0"/>
                <w:iCs/>
                <w:sz w:val="24"/>
                <w:szCs w:val="24"/>
                <w:lang w:eastAsia="en-AU"/>
              </w:rPr>
              <w:t>receiving no pension or allowance</w:t>
            </w:r>
          </w:p>
        </w:tc>
        <w:tc>
          <w:tcPr>
            <w:tcW w:w="1142" w:type="dxa"/>
            <w:hideMark/>
          </w:tcPr>
          <w:p w14:paraId="6AA0FF7C" w14:textId="77777777" w:rsidR="00CE3618" w:rsidRPr="003E2436" w:rsidRDefault="00CE3618" w:rsidP="00CE361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163</w:t>
            </w:r>
          </w:p>
        </w:tc>
        <w:tc>
          <w:tcPr>
            <w:tcW w:w="1134" w:type="dxa"/>
            <w:noWrap/>
            <w:hideMark/>
          </w:tcPr>
          <w:p w14:paraId="3D76266B" w14:textId="77777777" w:rsidR="00CE3618" w:rsidRPr="003E2436" w:rsidRDefault="00CE3618" w:rsidP="00CE361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568</w:t>
            </w:r>
          </w:p>
        </w:tc>
        <w:tc>
          <w:tcPr>
            <w:tcW w:w="2126" w:type="dxa"/>
            <w:noWrap/>
            <w:hideMark/>
          </w:tcPr>
          <w:p w14:paraId="78AC9FB3" w14:textId="77777777" w:rsidR="00CE3618" w:rsidRPr="003E2436" w:rsidRDefault="00CE3618" w:rsidP="00CE361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 xml:space="preserve"> $</w:t>
            </w:r>
            <w:r w:rsidR="00730F74" w:rsidRPr="003E2436">
              <w:rPr>
                <w:rFonts w:eastAsia="Times New Roman" w:cs="Arial"/>
                <w:sz w:val="24"/>
                <w:szCs w:val="24"/>
                <w:lang w:eastAsia="en-AU"/>
              </w:rPr>
              <w:t>0</w:t>
            </w:r>
            <w:r w:rsidRPr="003E2436">
              <w:rPr>
                <w:rFonts w:eastAsia="Times New Roman" w:cs="Arial"/>
                <w:sz w:val="24"/>
                <w:szCs w:val="24"/>
                <w:lang w:eastAsia="en-AU"/>
              </w:rPr>
              <w:t xml:space="preserve">   </w:t>
            </w:r>
          </w:p>
        </w:tc>
      </w:tr>
      <w:tr w:rsidR="00CE3618" w:rsidRPr="003E2436" w14:paraId="7E0C9E53" w14:textId="77777777" w:rsidTr="005B6C2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40" w:type="dxa"/>
            <w:noWrap/>
            <w:hideMark/>
          </w:tcPr>
          <w:p w14:paraId="313BC4AB" w14:textId="77777777" w:rsidR="00CE3618" w:rsidRPr="003E2436" w:rsidRDefault="00CE3618" w:rsidP="00CE3618">
            <w:pPr>
              <w:rPr>
                <w:rFonts w:eastAsia="Times New Roman" w:cs="Arial"/>
                <w:sz w:val="24"/>
                <w:szCs w:val="24"/>
                <w:lang w:eastAsia="en-AU"/>
              </w:rPr>
            </w:pPr>
            <w:r w:rsidRPr="003E2436">
              <w:rPr>
                <w:rFonts w:eastAsia="Times New Roman" w:cs="Arial"/>
                <w:sz w:val="24"/>
                <w:szCs w:val="24"/>
                <w:lang w:eastAsia="en-AU"/>
              </w:rPr>
              <w:t>In supported employment</w:t>
            </w:r>
          </w:p>
        </w:tc>
        <w:tc>
          <w:tcPr>
            <w:tcW w:w="1142" w:type="dxa"/>
            <w:hideMark/>
          </w:tcPr>
          <w:p w14:paraId="5CF4A0FF" w14:textId="77777777" w:rsidR="00CE3618" w:rsidRPr="003E2436" w:rsidRDefault="00CE3618" w:rsidP="00CE361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 </w:t>
            </w:r>
          </w:p>
        </w:tc>
        <w:tc>
          <w:tcPr>
            <w:tcW w:w="1134" w:type="dxa"/>
            <w:noWrap/>
            <w:hideMark/>
          </w:tcPr>
          <w:p w14:paraId="2FD13E6A" w14:textId="77777777" w:rsidR="00CE3618" w:rsidRPr="003E2436" w:rsidRDefault="00CE3618" w:rsidP="00CE361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 </w:t>
            </w:r>
          </w:p>
        </w:tc>
        <w:tc>
          <w:tcPr>
            <w:tcW w:w="2126" w:type="dxa"/>
            <w:noWrap/>
            <w:hideMark/>
          </w:tcPr>
          <w:p w14:paraId="095431F1" w14:textId="77777777" w:rsidR="00CE3618" w:rsidRPr="003E2436" w:rsidRDefault="00CE3618" w:rsidP="00CE361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 </w:t>
            </w:r>
          </w:p>
        </w:tc>
      </w:tr>
      <w:tr w:rsidR="00CE3618" w:rsidRPr="003E2436" w14:paraId="2B0B1185" w14:textId="77777777" w:rsidTr="005B6C2F">
        <w:trPr>
          <w:trHeight w:val="255"/>
        </w:trPr>
        <w:tc>
          <w:tcPr>
            <w:cnfStyle w:val="001000000000" w:firstRow="0" w:lastRow="0" w:firstColumn="1" w:lastColumn="0" w:oddVBand="0" w:evenVBand="0" w:oddHBand="0" w:evenHBand="0" w:firstRowFirstColumn="0" w:firstRowLastColumn="0" w:lastRowFirstColumn="0" w:lastRowLastColumn="0"/>
            <w:tcW w:w="4240" w:type="dxa"/>
            <w:noWrap/>
            <w:hideMark/>
          </w:tcPr>
          <w:p w14:paraId="4522C3B3" w14:textId="77777777" w:rsidR="00CE3618" w:rsidRPr="003E2436" w:rsidRDefault="006345E6" w:rsidP="00CE3618">
            <w:pPr>
              <w:rPr>
                <w:rFonts w:eastAsia="Times New Roman" w:cs="Arial"/>
                <w:b w:val="0"/>
                <w:iCs/>
                <w:sz w:val="24"/>
                <w:szCs w:val="24"/>
                <w:lang w:eastAsia="en-AU"/>
              </w:rPr>
            </w:pPr>
            <w:r w:rsidRPr="003E2436">
              <w:rPr>
                <w:rFonts w:eastAsia="Times New Roman" w:cs="Arial"/>
                <w:b w:val="0"/>
                <w:iCs/>
                <w:sz w:val="24"/>
                <w:szCs w:val="24"/>
                <w:lang w:eastAsia="en-AU"/>
              </w:rPr>
              <w:t>r</w:t>
            </w:r>
            <w:r w:rsidR="00CE3618" w:rsidRPr="003E2436">
              <w:rPr>
                <w:rFonts w:eastAsia="Times New Roman" w:cs="Arial"/>
                <w:b w:val="0"/>
                <w:iCs/>
                <w:sz w:val="24"/>
                <w:szCs w:val="24"/>
                <w:lang w:eastAsia="en-AU"/>
              </w:rPr>
              <w:t>eceiving youth allowance</w:t>
            </w:r>
          </w:p>
        </w:tc>
        <w:tc>
          <w:tcPr>
            <w:tcW w:w="1142" w:type="dxa"/>
            <w:hideMark/>
          </w:tcPr>
          <w:p w14:paraId="61BA7315" w14:textId="77777777" w:rsidR="00CE3618" w:rsidRPr="003E2436" w:rsidRDefault="00CE3618" w:rsidP="00CE361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82</w:t>
            </w:r>
          </w:p>
        </w:tc>
        <w:tc>
          <w:tcPr>
            <w:tcW w:w="1134" w:type="dxa"/>
            <w:noWrap/>
            <w:hideMark/>
          </w:tcPr>
          <w:p w14:paraId="48DDCA4A" w14:textId="77777777" w:rsidR="00CE3618" w:rsidRPr="003E2436" w:rsidRDefault="00CE3618" w:rsidP="00CE361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33</w:t>
            </w:r>
          </w:p>
        </w:tc>
        <w:tc>
          <w:tcPr>
            <w:tcW w:w="2126" w:type="dxa"/>
            <w:noWrap/>
            <w:hideMark/>
          </w:tcPr>
          <w:p w14:paraId="7FA654AB" w14:textId="77777777" w:rsidR="00CE3618" w:rsidRPr="003E2436" w:rsidRDefault="00CE3618" w:rsidP="00CE361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 xml:space="preserve">$11,170 </w:t>
            </w:r>
          </w:p>
        </w:tc>
      </w:tr>
      <w:tr w:rsidR="00CE3618" w:rsidRPr="003E2436" w14:paraId="2C82D046" w14:textId="77777777" w:rsidTr="005B6C2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40" w:type="dxa"/>
            <w:noWrap/>
            <w:hideMark/>
          </w:tcPr>
          <w:p w14:paraId="62ABD648" w14:textId="77777777" w:rsidR="00CE3618" w:rsidRPr="003E2436" w:rsidRDefault="00C706BB" w:rsidP="00CE3618">
            <w:pPr>
              <w:rPr>
                <w:rFonts w:eastAsia="Times New Roman" w:cs="Arial"/>
                <w:b w:val="0"/>
                <w:iCs/>
                <w:sz w:val="24"/>
                <w:szCs w:val="24"/>
                <w:lang w:eastAsia="en-AU"/>
              </w:rPr>
            </w:pPr>
            <w:r w:rsidRPr="003E2436">
              <w:rPr>
                <w:rFonts w:eastAsia="Times New Roman" w:cs="Arial"/>
                <w:b w:val="0"/>
                <w:iCs/>
                <w:sz w:val="24"/>
                <w:szCs w:val="24"/>
                <w:lang w:eastAsia="en-AU"/>
              </w:rPr>
              <w:t>receiving</w:t>
            </w:r>
            <w:r w:rsidR="00CE3618" w:rsidRPr="003E2436">
              <w:rPr>
                <w:rFonts w:eastAsia="Times New Roman" w:cs="Arial"/>
                <w:b w:val="0"/>
                <w:iCs/>
                <w:sz w:val="24"/>
                <w:szCs w:val="24"/>
                <w:lang w:eastAsia="en-AU"/>
              </w:rPr>
              <w:t xml:space="preserve"> DSP</w:t>
            </w:r>
          </w:p>
        </w:tc>
        <w:tc>
          <w:tcPr>
            <w:tcW w:w="1142" w:type="dxa"/>
            <w:hideMark/>
          </w:tcPr>
          <w:p w14:paraId="7548867B" w14:textId="77777777" w:rsidR="00CE3618" w:rsidRPr="003E2436" w:rsidRDefault="00CE3618" w:rsidP="00CE361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286</w:t>
            </w:r>
          </w:p>
        </w:tc>
        <w:tc>
          <w:tcPr>
            <w:tcW w:w="1134" w:type="dxa"/>
            <w:noWrap/>
            <w:hideMark/>
          </w:tcPr>
          <w:p w14:paraId="7A5C2653" w14:textId="77777777" w:rsidR="00CE3618" w:rsidRPr="003E2436" w:rsidRDefault="00CE3618" w:rsidP="00CE361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115</w:t>
            </w:r>
          </w:p>
        </w:tc>
        <w:tc>
          <w:tcPr>
            <w:tcW w:w="2126" w:type="dxa"/>
            <w:noWrap/>
            <w:hideMark/>
          </w:tcPr>
          <w:p w14:paraId="3C3731EB" w14:textId="77777777" w:rsidR="00CE3618" w:rsidRPr="003E2436" w:rsidRDefault="00CE3618" w:rsidP="00CE361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$2</w:t>
            </w:r>
            <w:r w:rsidR="00C9794F" w:rsidRPr="003E2436">
              <w:rPr>
                <w:rFonts w:eastAsia="Times New Roman" w:cs="Arial"/>
                <w:sz w:val="24"/>
                <w:szCs w:val="24"/>
                <w:lang w:eastAsia="en-AU"/>
              </w:rPr>
              <w:t>2,347</w:t>
            </w:r>
            <w:r w:rsidRPr="003E2436">
              <w:rPr>
                <w:rFonts w:eastAsia="Times New Roman" w:cs="Arial"/>
                <w:sz w:val="24"/>
                <w:szCs w:val="24"/>
                <w:lang w:eastAsia="en-AU"/>
              </w:rPr>
              <w:t xml:space="preserve"> </w:t>
            </w:r>
          </w:p>
        </w:tc>
      </w:tr>
      <w:tr w:rsidR="00CE3618" w:rsidRPr="003E2436" w14:paraId="521AB866" w14:textId="77777777" w:rsidTr="005B6C2F">
        <w:trPr>
          <w:trHeight w:val="255"/>
        </w:trPr>
        <w:tc>
          <w:tcPr>
            <w:cnfStyle w:val="001000000000" w:firstRow="0" w:lastRow="0" w:firstColumn="1" w:lastColumn="0" w:oddVBand="0" w:evenVBand="0" w:oddHBand="0" w:evenHBand="0" w:firstRowFirstColumn="0" w:firstRowLastColumn="0" w:lastRowFirstColumn="0" w:lastRowLastColumn="0"/>
            <w:tcW w:w="4240" w:type="dxa"/>
            <w:noWrap/>
            <w:hideMark/>
          </w:tcPr>
          <w:p w14:paraId="317CE758" w14:textId="77777777" w:rsidR="00CE3618" w:rsidRPr="003E2436" w:rsidRDefault="00CE3618" w:rsidP="00CE3618">
            <w:pPr>
              <w:rPr>
                <w:rFonts w:eastAsia="Times New Roman" w:cs="Arial"/>
                <w:b w:val="0"/>
                <w:iCs/>
                <w:sz w:val="24"/>
                <w:szCs w:val="24"/>
                <w:lang w:eastAsia="en-AU"/>
              </w:rPr>
            </w:pPr>
            <w:r w:rsidRPr="003E2436">
              <w:rPr>
                <w:rFonts w:eastAsia="Times New Roman" w:cs="Arial"/>
                <w:b w:val="0"/>
                <w:iCs/>
                <w:sz w:val="24"/>
                <w:szCs w:val="24"/>
                <w:lang w:eastAsia="en-AU"/>
              </w:rPr>
              <w:t xml:space="preserve"> receiving no pension or allowance</w:t>
            </w:r>
          </w:p>
        </w:tc>
        <w:tc>
          <w:tcPr>
            <w:tcW w:w="1142" w:type="dxa"/>
            <w:hideMark/>
          </w:tcPr>
          <w:p w14:paraId="1FC3F39C" w14:textId="77777777" w:rsidR="00CE3618" w:rsidRPr="003E2436" w:rsidRDefault="00CE3618" w:rsidP="00CE361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163</w:t>
            </w:r>
          </w:p>
        </w:tc>
        <w:tc>
          <w:tcPr>
            <w:tcW w:w="1134" w:type="dxa"/>
            <w:noWrap/>
            <w:hideMark/>
          </w:tcPr>
          <w:p w14:paraId="3B657CF1" w14:textId="77777777" w:rsidR="00CE3618" w:rsidRPr="003E2436" w:rsidRDefault="00CE3618" w:rsidP="00CE361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66</w:t>
            </w:r>
          </w:p>
        </w:tc>
        <w:tc>
          <w:tcPr>
            <w:tcW w:w="2126" w:type="dxa"/>
            <w:noWrap/>
            <w:hideMark/>
          </w:tcPr>
          <w:p w14:paraId="3F76F827" w14:textId="77777777" w:rsidR="00CE3618" w:rsidRPr="003E2436" w:rsidRDefault="00CE3618" w:rsidP="00CE361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 xml:space="preserve"> $</w:t>
            </w:r>
            <w:r w:rsidR="00730F74" w:rsidRPr="003E2436">
              <w:rPr>
                <w:rFonts w:eastAsia="Times New Roman" w:cs="Arial"/>
                <w:sz w:val="24"/>
                <w:szCs w:val="24"/>
                <w:lang w:eastAsia="en-AU"/>
              </w:rPr>
              <w:t>0</w:t>
            </w:r>
            <w:r w:rsidRPr="003E2436">
              <w:rPr>
                <w:rFonts w:eastAsia="Times New Roman" w:cs="Arial"/>
                <w:sz w:val="24"/>
                <w:szCs w:val="24"/>
                <w:lang w:eastAsia="en-AU"/>
              </w:rPr>
              <w:t xml:space="preserve">   </w:t>
            </w:r>
          </w:p>
        </w:tc>
      </w:tr>
      <w:tr w:rsidR="00CE3618" w:rsidRPr="003E2436" w14:paraId="65FF05D7" w14:textId="77777777" w:rsidTr="005B6C2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40" w:type="dxa"/>
            <w:noWrap/>
            <w:hideMark/>
          </w:tcPr>
          <w:p w14:paraId="6620FECA" w14:textId="77777777" w:rsidR="00CE3618" w:rsidRPr="003E2436" w:rsidRDefault="00CE3618" w:rsidP="00CE3618">
            <w:pPr>
              <w:rPr>
                <w:rFonts w:eastAsia="Times New Roman" w:cs="Arial"/>
                <w:sz w:val="24"/>
                <w:szCs w:val="24"/>
                <w:lang w:eastAsia="en-AU"/>
              </w:rPr>
            </w:pPr>
            <w:r w:rsidRPr="003E2436">
              <w:rPr>
                <w:rFonts w:eastAsia="Times New Roman" w:cs="Arial"/>
                <w:sz w:val="24"/>
                <w:szCs w:val="24"/>
                <w:lang w:eastAsia="en-AU"/>
              </w:rPr>
              <w:t>In labour force, but unemployed</w:t>
            </w:r>
          </w:p>
        </w:tc>
        <w:tc>
          <w:tcPr>
            <w:tcW w:w="1142" w:type="dxa"/>
            <w:hideMark/>
          </w:tcPr>
          <w:p w14:paraId="1ADB6E24" w14:textId="77777777" w:rsidR="00CE3618" w:rsidRPr="003E2436" w:rsidRDefault="00CE3618" w:rsidP="00CE361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 </w:t>
            </w:r>
          </w:p>
        </w:tc>
        <w:tc>
          <w:tcPr>
            <w:tcW w:w="1134" w:type="dxa"/>
            <w:noWrap/>
            <w:hideMark/>
          </w:tcPr>
          <w:p w14:paraId="6F1D1DFD" w14:textId="77777777" w:rsidR="00CE3618" w:rsidRPr="003E2436" w:rsidRDefault="00CE3618" w:rsidP="00CE361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 </w:t>
            </w:r>
          </w:p>
        </w:tc>
        <w:tc>
          <w:tcPr>
            <w:tcW w:w="2126" w:type="dxa"/>
            <w:noWrap/>
            <w:hideMark/>
          </w:tcPr>
          <w:p w14:paraId="4B14549E" w14:textId="77777777" w:rsidR="00CE3618" w:rsidRPr="003E2436" w:rsidRDefault="00CE3618" w:rsidP="00CE361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 </w:t>
            </w:r>
          </w:p>
        </w:tc>
      </w:tr>
      <w:tr w:rsidR="00CE3618" w:rsidRPr="003E2436" w14:paraId="5A6D5736" w14:textId="77777777" w:rsidTr="005B6C2F">
        <w:trPr>
          <w:trHeight w:val="255"/>
        </w:trPr>
        <w:tc>
          <w:tcPr>
            <w:cnfStyle w:val="001000000000" w:firstRow="0" w:lastRow="0" w:firstColumn="1" w:lastColumn="0" w:oddVBand="0" w:evenVBand="0" w:oddHBand="0" w:evenHBand="0" w:firstRowFirstColumn="0" w:firstRowLastColumn="0" w:lastRowFirstColumn="0" w:lastRowLastColumn="0"/>
            <w:tcW w:w="4240" w:type="dxa"/>
            <w:noWrap/>
            <w:hideMark/>
          </w:tcPr>
          <w:p w14:paraId="038FFE26" w14:textId="77777777" w:rsidR="00CE3618" w:rsidRPr="003E2436" w:rsidRDefault="00CE3618" w:rsidP="00CE3618">
            <w:pPr>
              <w:rPr>
                <w:rFonts w:eastAsia="Times New Roman" w:cs="Arial"/>
                <w:b w:val="0"/>
                <w:iCs/>
                <w:sz w:val="24"/>
                <w:szCs w:val="24"/>
                <w:lang w:eastAsia="en-AU"/>
              </w:rPr>
            </w:pPr>
            <w:r w:rsidRPr="003E2436">
              <w:rPr>
                <w:rFonts w:eastAsia="Times New Roman" w:cs="Arial"/>
                <w:b w:val="0"/>
                <w:iCs/>
                <w:sz w:val="24"/>
                <w:szCs w:val="24"/>
                <w:lang w:eastAsia="en-AU"/>
              </w:rPr>
              <w:t xml:space="preserve"> receiving youth allowance</w:t>
            </w:r>
          </w:p>
        </w:tc>
        <w:tc>
          <w:tcPr>
            <w:tcW w:w="1142" w:type="dxa"/>
            <w:hideMark/>
          </w:tcPr>
          <w:p w14:paraId="4615A0A4" w14:textId="77777777" w:rsidR="00CE3618" w:rsidRPr="003E2436" w:rsidRDefault="00CE3618" w:rsidP="00CE361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247</w:t>
            </w:r>
          </w:p>
        </w:tc>
        <w:tc>
          <w:tcPr>
            <w:tcW w:w="1134" w:type="dxa"/>
            <w:noWrap/>
            <w:hideMark/>
          </w:tcPr>
          <w:p w14:paraId="46C08D31" w14:textId="77777777" w:rsidR="00CE3618" w:rsidRPr="003E2436" w:rsidRDefault="00CE3618" w:rsidP="00CE361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247</w:t>
            </w:r>
          </w:p>
        </w:tc>
        <w:tc>
          <w:tcPr>
            <w:tcW w:w="2126" w:type="dxa"/>
            <w:noWrap/>
            <w:hideMark/>
          </w:tcPr>
          <w:p w14:paraId="63F573EE" w14:textId="77777777" w:rsidR="00CE3618" w:rsidRPr="003E2436" w:rsidRDefault="00CE3618" w:rsidP="00CE361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 xml:space="preserve">$11,170 </w:t>
            </w:r>
          </w:p>
        </w:tc>
      </w:tr>
      <w:tr w:rsidR="00CE3618" w:rsidRPr="003E2436" w14:paraId="0AB0C56B" w14:textId="77777777" w:rsidTr="005B6C2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40" w:type="dxa"/>
            <w:noWrap/>
            <w:hideMark/>
          </w:tcPr>
          <w:p w14:paraId="2FB7A615" w14:textId="77777777" w:rsidR="00CE3618" w:rsidRPr="003E2436" w:rsidRDefault="00CE3618" w:rsidP="00CE3618">
            <w:pPr>
              <w:rPr>
                <w:rFonts w:eastAsia="Times New Roman" w:cs="Arial"/>
                <w:b w:val="0"/>
                <w:iCs/>
                <w:sz w:val="24"/>
                <w:szCs w:val="24"/>
                <w:lang w:eastAsia="en-AU"/>
              </w:rPr>
            </w:pPr>
            <w:r w:rsidRPr="003E2436">
              <w:rPr>
                <w:rFonts w:eastAsia="Times New Roman" w:cs="Arial"/>
                <w:b w:val="0"/>
                <w:iCs/>
                <w:sz w:val="24"/>
                <w:szCs w:val="24"/>
                <w:lang w:eastAsia="en-AU"/>
              </w:rPr>
              <w:t xml:space="preserve"> </w:t>
            </w:r>
            <w:r w:rsidR="00C706BB" w:rsidRPr="003E2436">
              <w:rPr>
                <w:rFonts w:eastAsia="Times New Roman" w:cs="Arial"/>
                <w:b w:val="0"/>
                <w:iCs/>
                <w:sz w:val="24"/>
                <w:szCs w:val="24"/>
                <w:lang w:eastAsia="en-AU"/>
              </w:rPr>
              <w:t>receiving</w:t>
            </w:r>
            <w:r w:rsidRPr="003E2436">
              <w:rPr>
                <w:rFonts w:eastAsia="Times New Roman" w:cs="Arial"/>
                <w:b w:val="0"/>
                <w:iCs/>
                <w:sz w:val="24"/>
                <w:szCs w:val="24"/>
                <w:lang w:eastAsia="en-AU"/>
              </w:rPr>
              <w:t xml:space="preserve"> DSP</w:t>
            </w:r>
          </w:p>
        </w:tc>
        <w:tc>
          <w:tcPr>
            <w:tcW w:w="1142" w:type="dxa"/>
            <w:hideMark/>
          </w:tcPr>
          <w:p w14:paraId="336B49F3" w14:textId="77777777" w:rsidR="00CE3618" w:rsidRPr="003E2436" w:rsidRDefault="00CE3618" w:rsidP="00CE361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371</w:t>
            </w:r>
          </w:p>
        </w:tc>
        <w:tc>
          <w:tcPr>
            <w:tcW w:w="1134" w:type="dxa"/>
            <w:noWrap/>
            <w:hideMark/>
          </w:tcPr>
          <w:p w14:paraId="3600AC58" w14:textId="77777777" w:rsidR="00CE3618" w:rsidRPr="003E2436" w:rsidRDefault="00CE3618" w:rsidP="00CE361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371</w:t>
            </w:r>
          </w:p>
        </w:tc>
        <w:tc>
          <w:tcPr>
            <w:tcW w:w="2126" w:type="dxa"/>
            <w:noWrap/>
            <w:hideMark/>
          </w:tcPr>
          <w:p w14:paraId="52E0873B" w14:textId="77777777" w:rsidR="00CE3618" w:rsidRPr="003E2436" w:rsidRDefault="00CE3618" w:rsidP="00CE361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 xml:space="preserve">$24,081 </w:t>
            </w:r>
          </w:p>
        </w:tc>
      </w:tr>
      <w:tr w:rsidR="00CE3618" w:rsidRPr="003E2436" w14:paraId="4B8D8C65" w14:textId="77777777" w:rsidTr="005B6C2F">
        <w:trPr>
          <w:trHeight w:val="255"/>
        </w:trPr>
        <w:tc>
          <w:tcPr>
            <w:cnfStyle w:val="001000000000" w:firstRow="0" w:lastRow="0" w:firstColumn="1" w:lastColumn="0" w:oddVBand="0" w:evenVBand="0" w:oddHBand="0" w:evenHBand="0" w:firstRowFirstColumn="0" w:firstRowLastColumn="0" w:lastRowFirstColumn="0" w:lastRowLastColumn="0"/>
            <w:tcW w:w="4240" w:type="dxa"/>
            <w:noWrap/>
            <w:hideMark/>
          </w:tcPr>
          <w:p w14:paraId="3A924B53" w14:textId="77777777" w:rsidR="00CE3618" w:rsidRPr="003E2436" w:rsidRDefault="00CE3618" w:rsidP="00CE3618">
            <w:pPr>
              <w:rPr>
                <w:rFonts w:eastAsia="Times New Roman" w:cs="Arial"/>
                <w:b w:val="0"/>
                <w:iCs/>
                <w:sz w:val="24"/>
                <w:szCs w:val="24"/>
                <w:lang w:eastAsia="en-AU"/>
              </w:rPr>
            </w:pPr>
            <w:r w:rsidRPr="003E2436">
              <w:rPr>
                <w:rFonts w:eastAsia="Times New Roman" w:cs="Arial"/>
                <w:b w:val="0"/>
                <w:iCs/>
                <w:sz w:val="24"/>
                <w:szCs w:val="24"/>
                <w:lang w:eastAsia="en-AU"/>
              </w:rPr>
              <w:t xml:space="preserve"> receiving no pension or allowance</w:t>
            </w:r>
          </w:p>
        </w:tc>
        <w:tc>
          <w:tcPr>
            <w:tcW w:w="1142" w:type="dxa"/>
            <w:hideMark/>
          </w:tcPr>
          <w:p w14:paraId="19608480" w14:textId="77777777" w:rsidR="00CE3618" w:rsidRPr="003E2436" w:rsidRDefault="00CE3618" w:rsidP="00CE361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186</w:t>
            </w:r>
          </w:p>
        </w:tc>
        <w:tc>
          <w:tcPr>
            <w:tcW w:w="1134" w:type="dxa"/>
            <w:noWrap/>
            <w:hideMark/>
          </w:tcPr>
          <w:p w14:paraId="26C7D1B5" w14:textId="77777777" w:rsidR="00CE3618" w:rsidRPr="003E2436" w:rsidRDefault="00CE3618" w:rsidP="00CE361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186</w:t>
            </w:r>
          </w:p>
        </w:tc>
        <w:tc>
          <w:tcPr>
            <w:tcW w:w="2126" w:type="dxa"/>
            <w:noWrap/>
            <w:hideMark/>
          </w:tcPr>
          <w:p w14:paraId="5AC4D0DD" w14:textId="77777777" w:rsidR="00CE3618" w:rsidRPr="003E2436" w:rsidRDefault="00CE3618" w:rsidP="00CE361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 xml:space="preserve"> $</w:t>
            </w:r>
            <w:r w:rsidR="00730F74" w:rsidRPr="003E2436">
              <w:rPr>
                <w:rFonts w:eastAsia="Times New Roman" w:cs="Arial"/>
                <w:sz w:val="24"/>
                <w:szCs w:val="24"/>
                <w:lang w:eastAsia="en-AU"/>
              </w:rPr>
              <w:t>0</w:t>
            </w:r>
            <w:r w:rsidRPr="003E2436">
              <w:rPr>
                <w:rFonts w:eastAsia="Times New Roman" w:cs="Arial"/>
                <w:sz w:val="24"/>
                <w:szCs w:val="24"/>
                <w:lang w:eastAsia="en-AU"/>
              </w:rPr>
              <w:t xml:space="preserve">   </w:t>
            </w:r>
          </w:p>
        </w:tc>
      </w:tr>
      <w:tr w:rsidR="00CE3618" w:rsidRPr="003E2436" w14:paraId="03DF604D" w14:textId="77777777" w:rsidTr="005B6C2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40" w:type="dxa"/>
            <w:noWrap/>
            <w:hideMark/>
          </w:tcPr>
          <w:p w14:paraId="104FDDEE" w14:textId="77777777" w:rsidR="00CE3618" w:rsidRPr="003E2436" w:rsidRDefault="00CE3618" w:rsidP="00CE3618">
            <w:pPr>
              <w:rPr>
                <w:rFonts w:eastAsia="Times New Roman" w:cs="Arial"/>
                <w:sz w:val="24"/>
                <w:szCs w:val="24"/>
                <w:lang w:eastAsia="en-AU"/>
              </w:rPr>
            </w:pPr>
            <w:r w:rsidRPr="003E2436">
              <w:rPr>
                <w:rFonts w:eastAsia="Times New Roman" w:cs="Arial"/>
                <w:sz w:val="24"/>
                <w:szCs w:val="24"/>
                <w:lang w:eastAsia="en-AU"/>
              </w:rPr>
              <w:t>Not in labour force</w:t>
            </w:r>
          </w:p>
        </w:tc>
        <w:tc>
          <w:tcPr>
            <w:tcW w:w="1142" w:type="dxa"/>
            <w:hideMark/>
          </w:tcPr>
          <w:p w14:paraId="6301A1C4" w14:textId="77777777" w:rsidR="00CE3618" w:rsidRPr="003E2436" w:rsidRDefault="00CE3618" w:rsidP="00CE361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 </w:t>
            </w:r>
          </w:p>
        </w:tc>
        <w:tc>
          <w:tcPr>
            <w:tcW w:w="1134" w:type="dxa"/>
            <w:noWrap/>
            <w:hideMark/>
          </w:tcPr>
          <w:p w14:paraId="50A7BFC8" w14:textId="77777777" w:rsidR="00CE3618" w:rsidRPr="003E2436" w:rsidRDefault="00CE3618" w:rsidP="00CE361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 </w:t>
            </w:r>
          </w:p>
        </w:tc>
        <w:tc>
          <w:tcPr>
            <w:tcW w:w="2126" w:type="dxa"/>
            <w:noWrap/>
            <w:hideMark/>
          </w:tcPr>
          <w:p w14:paraId="4E7544DB" w14:textId="77777777" w:rsidR="00CE3618" w:rsidRPr="003E2436" w:rsidRDefault="00CE3618" w:rsidP="00CE361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 </w:t>
            </w:r>
          </w:p>
        </w:tc>
      </w:tr>
      <w:tr w:rsidR="00CE3618" w:rsidRPr="003E2436" w14:paraId="1F555164" w14:textId="77777777" w:rsidTr="005B6C2F">
        <w:trPr>
          <w:trHeight w:val="255"/>
        </w:trPr>
        <w:tc>
          <w:tcPr>
            <w:cnfStyle w:val="001000000000" w:firstRow="0" w:lastRow="0" w:firstColumn="1" w:lastColumn="0" w:oddVBand="0" w:evenVBand="0" w:oddHBand="0" w:evenHBand="0" w:firstRowFirstColumn="0" w:firstRowLastColumn="0" w:lastRowFirstColumn="0" w:lastRowLastColumn="0"/>
            <w:tcW w:w="4240" w:type="dxa"/>
            <w:noWrap/>
            <w:hideMark/>
          </w:tcPr>
          <w:p w14:paraId="2B7E1C2D" w14:textId="77777777" w:rsidR="00CE3618" w:rsidRPr="003E2436" w:rsidRDefault="00CE3618" w:rsidP="00CE3618">
            <w:pPr>
              <w:rPr>
                <w:rFonts w:eastAsia="Times New Roman" w:cs="Arial"/>
                <w:b w:val="0"/>
                <w:iCs/>
                <w:sz w:val="24"/>
                <w:szCs w:val="24"/>
                <w:lang w:eastAsia="en-AU"/>
              </w:rPr>
            </w:pPr>
            <w:r w:rsidRPr="003E2436">
              <w:rPr>
                <w:rFonts w:eastAsia="Times New Roman" w:cs="Arial"/>
                <w:b w:val="0"/>
                <w:iCs/>
                <w:sz w:val="24"/>
                <w:szCs w:val="24"/>
                <w:lang w:eastAsia="en-AU"/>
              </w:rPr>
              <w:t xml:space="preserve"> receiving youth allowance</w:t>
            </w:r>
          </w:p>
        </w:tc>
        <w:tc>
          <w:tcPr>
            <w:tcW w:w="1142" w:type="dxa"/>
            <w:hideMark/>
          </w:tcPr>
          <w:p w14:paraId="200BB8A6" w14:textId="77777777" w:rsidR="00CE3618" w:rsidRPr="003E2436" w:rsidRDefault="00CE3618" w:rsidP="00CE361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416</w:t>
            </w:r>
          </w:p>
        </w:tc>
        <w:tc>
          <w:tcPr>
            <w:tcW w:w="1134" w:type="dxa"/>
            <w:noWrap/>
            <w:hideMark/>
          </w:tcPr>
          <w:p w14:paraId="7CB78B06" w14:textId="77777777" w:rsidR="00CE3618" w:rsidRPr="003E2436" w:rsidRDefault="00CE3618" w:rsidP="00CE361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109</w:t>
            </w:r>
          </w:p>
        </w:tc>
        <w:tc>
          <w:tcPr>
            <w:tcW w:w="2126" w:type="dxa"/>
            <w:noWrap/>
            <w:hideMark/>
          </w:tcPr>
          <w:p w14:paraId="285D5367" w14:textId="77777777" w:rsidR="00CE3618" w:rsidRPr="003E2436" w:rsidRDefault="00CE3618" w:rsidP="00CE361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 xml:space="preserve">$11,170 </w:t>
            </w:r>
          </w:p>
        </w:tc>
      </w:tr>
      <w:tr w:rsidR="00CE3618" w:rsidRPr="003E2436" w14:paraId="282DACA8" w14:textId="77777777" w:rsidTr="005B6C2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40" w:type="dxa"/>
            <w:noWrap/>
            <w:hideMark/>
          </w:tcPr>
          <w:p w14:paraId="27201AEF" w14:textId="77777777" w:rsidR="00CE3618" w:rsidRPr="003E2436" w:rsidRDefault="00CE3618" w:rsidP="00CE3618">
            <w:pPr>
              <w:rPr>
                <w:rFonts w:eastAsia="Times New Roman" w:cs="Arial"/>
                <w:b w:val="0"/>
                <w:iCs/>
                <w:sz w:val="24"/>
                <w:szCs w:val="24"/>
                <w:lang w:eastAsia="en-AU"/>
              </w:rPr>
            </w:pPr>
            <w:r w:rsidRPr="003E2436">
              <w:rPr>
                <w:rFonts w:eastAsia="Times New Roman" w:cs="Arial"/>
                <w:b w:val="0"/>
                <w:iCs/>
                <w:sz w:val="24"/>
                <w:szCs w:val="24"/>
                <w:lang w:eastAsia="en-AU"/>
              </w:rPr>
              <w:t xml:space="preserve"> </w:t>
            </w:r>
            <w:r w:rsidR="00C706BB" w:rsidRPr="003E2436">
              <w:rPr>
                <w:rFonts w:eastAsia="Times New Roman" w:cs="Arial"/>
                <w:b w:val="0"/>
                <w:iCs/>
                <w:sz w:val="24"/>
                <w:szCs w:val="24"/>
                <w:lang w:eastAsia="en-AU"/>
              </w:rPr>
              <w:t>receiving</w:t>
            </w:r>
            <w:r w:rsidRPr="003E2436">
              <w:rPr>
                <w:rFonts w:eastAsia="Times New Roman" w:cs="Arial"/>
                <w:b w:val="0"/>
                <w:iCs/>
                <w:sz w:val="24"/>
                <w:szCs w:val="24"/>
                <w:lang w:eastAsia="en-AU"/>
              </w:rPr>
              <w:t xml:space="preserve"> DSP</w:t>
            </w:r>
          </w:p>
        </w:tc>
        <w:tc>
          <w:tcPr>
            <w:tcW w:w="1142" w:type="dxa"/>
            <w:hideMark/>
          </w:tcPr>
          <w:p w14:paraId="15B5FFBE" w14:textId="77777777" w:rsidR="00CE3618" w:rsidRPr="003E2436" w:rsidRDefault="00CE3618" w:rsidP="00CE361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623</w:t>
            </w:r>
          </w:p>
        </w:tc>
        <w:tc>
          <w:tcPr>
            <w:tcW w:w="1134" w:type="dxa"/>
            <w:noWrap/>
            <w:hideMark/>
          </w:tcPr>
          <w:p w14:paraId="0220E95B" w14:textId="77777777" w:rsidR="00CE3618" w:rsidRPr="003E2436" w:rsidRDefault="00CE3618" w:rsidP="00CE361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163</w:t>
            </w:r>
          </w:p>
        </w:tc>
        <w:tc>
          <w:tcPr>
            <w:tcW w:w="2126" w:type="dxa"/>
            <w:noWrap/>
            <w:hideMark/>
          </w:tcPr>
          <w:p w14:paraId="43A4E68E" w14:textId="77777777" w:rsidR="00CE3618" w:rsidRPr="003E2436" w:rsidRDefault="00CE3618" w:rsidP="00CE361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 xml:space="preserve">$24,081 </w:t>
            </w:r>
          </w:p>
        </w:tc>
      </w:tr>
      <w:tr w:rsidR="00CE3618" w:rsidRPr="003E2436" w14:paraId="6FF26D8C" w14:textId="77777777" w:rsidTr="005B6C2F">
        <w:trPr>
          <w:trHeight w:val="255"/>
        </w:trPr>
        <w:tc>
          <w:tcPr>
            <w:cnfStyle w:val="001000000000" w:firstRow="0" w:lastRow="0" w:firstColumn="1" w:lastColumn="0" w:oddVBand="0" w:evenVBand="0" w:oddHBand="0" w:evenHBand="0" w:firstRowFirstColumn="0" w:firstRowLastColumn="0" w:lastRowFirstColumn="0" w:lastRowLastColumn="0"/>
            <w:tcW w:w="4240" w:type="dxa"/>
            <w:noWrap/>
            <w:hideMark/>
          </w:tcPr>
          <w:p w14:paraId="7B45760E" w14:textId="77777777" w:rsidR="00CE3618" w:rsidRPr="003E2436" w:rsidRDefault="00CE3618" w:rsidP="00CE3618">
            <w:pPr>
              <w:rPr>
                <w:rFonts w:eastAsia="Times New Roman" w:cs="Arial"/>
                <w:b w:val="0"/>
                <w:iCs/>
                <w:sz w:val="24"/>
                <w:szCs w:val="24"/>
                <w:lang w:eastAsia="en-AU"/>
              </w:rPr>
            </w:pPr>
            <w:r w:rsidRPr="003E2436">
              <w:rPr>
                <w:rFonts w:eastAsia="Times New Roman" w:cs="Arial"/>
                <w:b w:val="0"/>
                <w:iCs/>
                <w:sz w:val="24"/>
                <w:szCs w:val="24"/>
                <w:lang w:eastAsia="en-AU"/>
              </w:rPr>
              <w:t xml:space="preserve"> receiving no pension or allowance</w:t>
            </w:r>
          </w:p>
        </w:tc>
        <w:tc>
          <w:tcPr>
            <w:tcW w:w="1142" w:type="dxa"/>
            <w:hideMark/>
          </w:tcPr>
          <w:p w14:paraId="32CEECCD" w14:textId="77777777" w:rsidR="00CE3618" w:rsidRPr="003E2436" w:rsidRDefault="00CE3618" w:rsidP="00CE361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312</w:t>
            </w:r>
          </w:p>
        </w:tc>
        <w:tc>
          <w:tcPr>
            <w:tcW w:w="1134" w:type="dxa"/>
            <w:noWrap/>
            <w:hideMark/>
          </w:tcPr>
          <w:p w14:paraId="475F35BC" w14:textId="77777777" w:rsidR="00CE3618" w:rsidRPr="003E2436" w:rsidRDefault="00CE3618" w:rsidP="00CE361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82</w:t>
            </w:r>
          </w:p>
        </w:tc>
        <w:tc>
          <w:tcPr>
            <w:tcW w:w="2126" w:type="dxa"/>
            <w:noWrap/>
            <w:hideMark/>
          </w:tcPr>
          <w:p w14:paraId="2A9D4F28" w14:textId="77777777" w:rsidR="00CE3618" w:rsidRPr="003E2436" w:rsidRDefault="00CE3618" w:rsidP="00CE361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 xml:space="preserve"> $</w:t>
            </w:r>
            <w:r w:rsidR="00730F74" w:rsidRPr="003E2436">
              <w:rPr>
                <w:rFonts w:eastAsia="Times New Roman" w:cs="Arial"/>
                <w:sz w:val="24"/>
                <w:szCs w:val="24"/>
                <w:lang w:eastAsia="en-AU"/>
              </w:rPr>
              <w:t>0</w:t>
            </w:r>
            <w:r w:rsidRPr="003E2436">
              <w:rPr>
                <w:rFonts w:eastAsia="Times New Roman" w:cs="Arial"/>
                <w:sz w:val="24"/>
                <w:szCs w:val="24"/>
                <w:lang w:eastAsia="en-AU"/>
              </w:rPr>
              <w:t xml:space="preserve">   </w:t>
            </w:r>
          </w:p>
        </w:tc>
      </w:tr>
      <w:tr w:rsidR="00CE3618" w:rsidRPr="003E2436" w14:paraId="69D6BB30" w14:textId="77777777" w:rsidTr="005B6C2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40" w:type="dxa"/>
            <w:noWrap/>
            <w:hideMark/>
          </w:tcPr>
          <w:p w14:paraId="426180A8" w14:textId="77777777" w:rsidR="00CE3618" w:rsidRPr="003E2436" w:rsidRDefault="00CE3618" w:rsidP="00CE3618">
            <w:pPr>
              <w:rPr>
                <w:rFonts w:eastAsia="Times New Roman" w:cs="Arial"/>
                <w:sz w:val="24"/>
                <w:szCs w:val="24"/>
                <w:lang w:eastAsia="en-AU"/>
              </w:rPr>
            </w:pPr>
            <w:r w:rsidRPr="003E2436">
              <w:rPr>
                <w:rFonts w:eastAsia="Times New Roman" w:cs="Arial"/>
                <w:sz w:val="24"/>
                <w:szCs w:val="24"/>
                <w:lang w:eastAsia="en-AU"/>
              </w:rPr>
              <w:t>Total</w:t>
            </w:r>
          </w:p>
        </w:tc>
        <w:tc>
          <w:tcPr>
            <w:tcW w:w="1142" w:type="dxa"/>
            <w:hideMark/>
          </w:tcPr>
          <w:p w14:paraId="31917CFB" w14:textId="77777777" w:rsidR="00CE3618" w:rsidRPr="003E2436" w:rsidRDefault="00CE3618" w:rsidP="00CE3618">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24"/>
                <w:szCs w:val="24"/>
                <w:lang w:eastAsia="en-AU"/>
              </w:rPr>
            </w:pPr>
            <w:r w:rsidRPr="003E2436">
              <w:rPr>
                <w:rFonts w:eastAsia="Times New Roman" w:cs="Arial"/>
                <w:b/>
                <w:bCs/>
                <w:sz w:val="24"/>
                <w:szCs w:val="24"/>
                <w:lang w:eastAsia="en-AU"/>
              </w:rPr>
              <w:t>3216</w:t>
            </w:r>
          </w:p>
        </w:tc>
        <w:tc>
          <w:tcPr>
            <w:tcW w:w="1134" w:type="dxa"/>
            <w:noWrap/>
            <w:hideMark/>
          </w:tcPr>
          <w:p w14:paraId="35747BC1" w14:textId="77777777" w:rsidR="00CE3618" w:rsidRPr="003E2436" w:rsidRDefault="00CE3618" w:rsidP="00CE3618">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24"/>
                <w:szCs w:val="24"/>
                <w:lang w:eastAsia="en-AU"/>
              </w:rPr>
            </w:pPr>
            <w:r w:rsidRPr="003E2436">
              <w:rPr>
                <w:rFonts w:eastAsia="Times New Roman" w:cs="Arial"/>
                <w:b/>
                <w:bCs/>
                <w:sz w:val="24"/>
                <w:szCs w:val="24"/>
                <w:lang w:eastAsia="en-AU"/>
              </w:rPr>
              <w:t>3216</w:t>
            </w:r>
          </w:p>
        </w:tc>
        <w:tc>
          <w:tcPr>
            <w:tcW w:w="2126" w:type="dxa"/>
            <w:noWrap/>
            <w:hideMark/>
          </w:tcPr>
          <w:p w14:paraId="50BC7B65" w14:textId="77777777" w:rsidR="00CE3618" w:rsidRPr="003E2436" w:rsidRDefault="00CE3618" w:rsidP="00CE361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AU"/>
              </w:rPr>
            </w:pPr>
            <w:r w:rsidRPr="003E2436">
              <w:rPr>
                <w:rFonts w:eastAsia="Times New Roman" w:cs="Arial"/>
                <w:sz w:val="24"/>
                <w:szCs w:val="24"/>
                <w:lang w:eastAsia="en-AU"/>
              </w:rPr>
              <w:t> </w:t>
            </w:r>
          </w:p>
        </w:tc>
      </w:tr>
    </w:tbl>
    <w:p w14:paraId="6DD8170C" w14:textId="77777777" w:rsidR="00CE3618" w:rsidRPr="003E2436" w:rsidRDefault="00CE3618" w:rsidP="00377F10">
      <w:pPr>
        <w:rPr>
          <w:sz w:val="24"/>
          <w:szCs w:val="24"/>
        </w:rPr>
      </w:pPr>
    </w:p>
    <w:p w14:paraId="15F915CE" w14:textId="77777777" w:rsidR="00377F10" w:rsidRPr="003E2436" w:rsidRDefault="00377F10" w:rsidP="00377F10">
      <w:pPr>
        <w:rPr>
          <w:sz w:val="24"/>
          <w:szCs w:val="24"/>
        </w:rPr>
      </w:pPr>
    </w:p>
    <w:p w14:paraId="0FC64FCA" w14:textId="77777777" w:rsidR="00377F10" w:rsidRPr="006113AF" w:rsidRDefault="00377F10" w:rsidP="00377F10">
      <w:pPr>
        <w:rPr>
          <w:sz w:val="28"/>
          <w:szCs w:val="28"/>
        </w:rPr>
      </w:pPr>
      <w:r w:rsidRPr="006113AF">
        <w:rPr>
          <w:b/>
          <w:sz w:val="28"/>
          <w:szCs w:val="28"/>
        </w:rPr>
        <w:lastRenderedPageBreak/>
        <w:t>Impact 8. Calculate the additional benefit generated by Ticket to Work</w:t>
      </w:r>
    </w:p>
    <w:p w14:paraId="45EFA497" w14:textId="77777777" w:rsidR="00FE5F20" w:rsidRPr="003E2436" w:rsidRDefault="00FE5F20" w:rsidP="00FE5F20">
      <w:pPr>
        <w:rPr>
          <w:sz w:val="24"/>
          <w:szCs w:val="24"/>
        </w:rPr>
      </w:pPr>
      <w:r w:rsidRPr="003E2436">
        <w:rPr>
          <w:sz w:val="24"/>
          <w:szCs w:val="24"/>
        </w:rPr>
        <w:t>The total cost of the disability support pension</w:t>
      </w:r>
      <w:r w:rsidR="002736A3" w:rsidRPr="003E2436">
        <w:rPr>
          <w:sz w:val="24"/>
          <w:szCs w:val="24"/>
        </w:rPr>
        <w:t xml:space="preserve"> and youth allowance payments for the Ticket to Work scenario</w:t>
      </w:r>
      <w:r w:rsidRPr="003E2436">
        <w:rPr>
          <w:sz w:val="24"/>
          <w:szCs w:val="24"/>
        </w:rPr>
        <w:t xml:space="preserve"> is estimated to be about $</w:t>
      </w:r>
      <w:r w:rsidR="00BF7423" w:rsidRPr="003E2436">
        <w:rPr>
          <w:sz w:val="24"/>
          <w:szCs w:val="24"/>
        </w:rPr>
        <w:t>8.9</w:t>
      </w:r>
      <w:r w:rsidRPr="003E2436">
        <w:rPr>
          <w:sz w:val="24"/>
          <w:szCs w:val="24"/>
        </w:rPr>
        <w:t xml:space="preserve">m less </w:t>
      </w:r>
      <w:r w:rsidR="002736A3" w:rsidRPr="003E2436">
        <w:rPr>
          <w:sz w:val="24"/>
          <w:szCs w:val="24"/>
        </w:rPr>
        <w:t xml:space="preserve">over three years </w:t>
      </w:r>
      <w:r w:rsidRPr="003E2436">
        <w:rPr>
          <w:sz w:val="24"/>
          <w:szCs w:val="24"/>
        </w:rPr>
        <w:t>than it would have been under the ‘business as usual’ scenario, or an average of about $2</w:t>
      </w:r>
      <w:r w:rsidR="00BF7423" w:rsidRPr="003E2436">
        <w:rPr>
          <w:sz w:val="24"/>
          <w:szCs w:val="24"/>
        </w:rPr>
        <w:t>8</w:t>
      </w:r>
      <w:r w:rsidR="002736A3" w:rsidRPr="003E2436">
        <w:rPr>
          <w:sz w:val="24"/>
          <w:szCs w:val="24"/>
        </w:rPr>
        <w:t>0</w:t>
      </w:r>
      <w:r w:rsidRPr="003E2436">
        <w:rPr>
          <w:sz w:val="24"/>
          <w:szCs w:val="24"/>
        </w:rPr>
        <w:t>0 per participant</w:t>
      </w:r>
      <w:r w:rsidR="002736A3" w:rsidRPr="003E2436">
        <w:rPr>
          <w:sz w:val="24"/>
          <w:szCs w:val="24"/>
        </w:rPr>
        <w:t>. This i</w:t>
      </w:r>
      <w:r w:rsidR="007B11E5" w:rsidRPr="003E2436">
        <w:rPr>
          <w:sz w:val="24"/>
          <w:szCs w:val="24"/>
        </w:rPr>
        <w:t>s set out below</w:t>
      </w:r>
      <w:r w:rsidR="002736A3" w:rsidRPr="003E2436">
        <w:rPr>
          <w:sz w:val="24"/>
          <w:szCs w:val="24"/>
        </w:rPr>
        <w:t>:</w:t>
      </w:r>
    </w:p>
    <w:p w14:paraId="158A1524" w14:textId="77777777" w:rsidR="007B11E5" w:rsidRPr="003E2436" w:rsidRDefault="007B11E5" w:rsidP="00FE5F20">
      <w:pPr>
        <w:rPr>
          <w:b/>
          <w:sz w:val="24"/>
          <w:szCs w:val="24"/>
        </w:rPr>
      </w:pPr>
      <w:r w:rsidRPr="003E2436">
        <w:rPr>
          <w:b/>
          <w:sz w:val="24"/>
          <w:szCs w:val="24"/>
        </w:rPr>
        <w:t>Reduction in income support payment over three years</w:t>
      </w:r>
    </w:p>
    <w:p w14:paraId="6D59C936" w14:textId="77777777" w:rsidR="007B11E5" w:rsidRPr="003E2436" w:rsidRDefault="007B11E5" w:rsidP="007B11E5">
      <w:pPr>
        <w:spacing w:after="120" w:line="240" w:lineRule="auto"/>
        <w:rPr>
          <w:rFonts w:cs="Arial"/>
          <w:sz w:val="24"/>
          <w:szCs w:val="24"/>
        </w:rPr>
      </w:pPr>
      <w:r w:rsidRPr="003E2436">
        <w:rPr>
          <w:rFonts w:cs="Arial"/>
          <w:sz w:val="24"/>
          <w:szCs w:val="24"/>
        </w:rPr>
        <w:t>Business as usual</w:t>
      </w:r>
    </w:p>
    <w:p w14:paraId="2889133B" w14:textId="77777777" w:rsidR="007B11E5" w:rsidRPr="003E2436" w:rsidRDefault="007B11E5" w:rsidP="003F6572">
      <w:pPr>
        <w:pStyle w:val="ListParagraph"/>
        <w:numPr>
          <w:ilvl w:val="0"/>
          <w:numId w:val="29"/>
        </w:numPr>
        <w:spacing w:after="120" w:line="240" w:lineRule="auto"/>
        <w:ind w:left="360"/>
        <w:rPr>
          <w:rFonts w:ascii="Arial" w:hAnsi="Arial" w:cs="Arial"/>
          <w:sz w:val="24"/>
          <w:szCs w:val="24"/>
        </w:rPr>
      </w:pPr>
      <w:r w:rsidRPr="003E2436">
        <w:rPr>
          <w:rFonts w:ascii="Arial" w:hAnsi="Arial" w:cs="Arial"/>
          <w:sz w:val="24"/>
          <w:szCs w:val="24"/>
        </w:rPr>
        <w:t>Entire cohort $135.2m</w:t>
      </w:r>
    </w:p>
    <w:p w14:paraId="2DB38697" w14:textId="77777777" w:rsidR="007B11E5" w:rsidRPr="003F6572" w:rsidRDefault="007B11E5" w:rsidP="003F6572">
      <w:pPr>
        <w:pStyle w:val="ListParagraph"/>
        <w:numPr>
          <w:ilvl w:val="0"/>
          <w:numId w:val="29"/>
        </w:numPr>
        <w:spacing w:after="120" w:line="240" w:lineRule="auto"/>
        <w:ind w:left="360"/>
        <w:rPr>
          <w:rFonts w:ascii="Arial" w:hAnsi="Arial" w:cs="Arial"/>
          <w:sz w:val="24"/>
          <w:szCs w:val="24"/>
        </w:rPr>
      </w:pPr>
      <w:r w:rsidRPr="003F6572">
        <w:rPr>
          <w:rFonts w:ascii="Arial" w:hAnsi="Arial" w:cs="Arial"/>
          <w:sz w:val="24"/>
          <w:szCs w:val="24"/>
        </w:rPr>
        <w:t>Average per participant $42,100</w:t>
      </w:r>
    </w:p>
    <w:p w14:paraId="5B3F259F" w14:textId="77777777" w:rsidR="007B11E5" w:rsidRPr="003F6572" w:rsidRDefault="007B11E5" w:rsidP="007B11E5">
      <w:pPr>
        <w:spacing w:after="120" w:line="240" w:lineRule="auto"/>
        <w:rPr>
          <w:rFonts w:cs="Arial"/>
          <w:sz w:val="24"/>
          <w:szCs w:val="24"/>
        </w:rPr>
      </w:pPr>
      <w:r w:rsidRPr="003F6572">
        <w:rPr>
          <w:rFonts w:cs="Arial"/>
          <w:sz w:val="24"/>
          <w:szCs w:val="24"/>
        </w:rPr>
        <w:t xml:space="preserve">Ticket to Work </w:t>
      </w:r>
    </w:p>
    <w:p w14:paraId="20932BA4" w14:textId="77777777" w:rsidR="007B11E5" w:rsidRPr="003F6572" w:rsidRDefault="007B11E5" w:rsidP="006113AF">
      <w:pPr>
        <w:pStyle w:val="ListParagraph"/>
        <w:numPr>
          <w:ilvl w:val="0"/>
          <w:numId w:val="29"/>
        </w:numPr>
        <w:spacing w:after="120" w:line="240" w:lineRule="auto"/>
        <w:ind w:left="360"/>
        <w:rPr>
          <w:rFonts w:ascii="Arial" w:hAnsi="Arial" w:cs="Arial"/>
          <w:sz w:val="24"/>
          <w:szCs w:val="24"/>
        </w:rPr>
      </w:pPr>
      <w:r w:rsidRPr="003F6572">
        <w:rPr>
          <w:rFonts w:ascii="Arial" w:hAnsi="Arial" w:cs="Arial"/>
          <w:sz w:val="24"/>
          <w:szCs w:val="24"/>
        </w:rPr>
        <w:t>Entire cohort $126.3m</w:t>
      </w:r>
    </w:p>
    <w:p w14:paraId="48FDF51D" w14:textId="77777777" w:rsidR="007B11E5" w:rsidRPr="003F6572" w:rsidRDefault="007B11E5" w:rsidP="006113AF">
      <w:pPr>
        <w:pStyle w:val="ListParagraph"/>
        <w:numPr>
          <w:ilvl w:val="0"/>
          <w:numId w:val="29"/>
        </w:numPr>
        <w:spacing w:after="120" w:line="240" w:lineRule="auto"/>
        <w:ind w:left="360"/>
        <w:rPr>
          <w:rFonts w:ascii="Arial" w:hAnsi="Arial" w:cs="Arial"/>
          <w:sz w:val="24"/>
          <w:szCs w:val="24"/>
        </w:rPr>
      </w:pPr>
      <w:r w:rsidRPr="003F6572">
        <w:rPr>
          <w:rFonts w:ascii="Arial" w:hAnsi="Arial" w:cs="Arial"/>
          <w:sz w:val="24"/>
          <w:szCs w:val="24"/>
        </w:rPr>
        <w:t>Average per participant $39,300</w:t>
      </w:r>
    </w:p>
    <w:p w14:paraId="51B13EC3" w14:textId="77777777" w:rsidR="007B11E5" w:rsidRPr="003F6572" w:rsidRDefault="007B11E5" w:rsidP="007B11E5">
      <w:pPr>
        <w:spacing w:after="120" w:line="240" w:lineRule="auto"/>
        <w:rPr>
          <w:rFonts w:cs="Arial"/>
          <w:sz w:val="24"/>
          <w:szCs w:val="24"/>
        </w:rPr>
      </w:pPr>
      <w:r w:rsidRPr="003F6572">
        <w:rPr>
          <w:rFonts w:cs="Arial"/>
          <w:sz w:val="24"/>
          <w:szCs w:val="24"/>
        </w:rPr>
        <w:t xml:space="preserve">Difference </w:t>
      </w:r>
    </w:p>
    <w:p w14:paraId="17C1A7E4" w14:textId="77777777" w:rsidR="007B11E5" w:rsidRPr="003F6572" w:rsidRDefault="007B11E5" w:rsidP="006113AF">
      <w:pPr>
        <w:pStyle w:val="ListParagraph"/>
        <w:numPr>
          <w:ilvl w:val="0"/>
          <w:numId w:val="29"/>
        </w:numPr>
        <w:spacing w:after="120" w:line="240" w:lineRule="auto"/>
        <w:ind w:left="360"/>
        <w:rPr>
          <w:rFonts w:ascii="Arial" w:hAnsi="Arial" w:cs="Arial"/>
          <w:sz w:val="24"/>
          <w:szCs w:val="24"/>
        </w:rPr>
      </w:pPr>
      <w:r w:rsidRPr="003F6572">
        <w:rPr>
          <w:rFonts w:ascii="Arial" w:hAnsi="Arial" w:cs="Arial"/>
          <w:sz w:val="24"/>
          <w:szCs w:val="24"/>
        </w:rPr>
        <w:t>Entire cohort $8.9m</w:t>
      </w:r>
    </w:p>
    <w:p w14:paraId="7B52A2A0" w14:textId="77777777" w:rsidR="007B11E5" w:rsidRPr="003F6572" w:rsidRDefault="007B11E5" w:rsidP="006113AF">
      <w:pPr>
        <w:pStyle w:val="ListParagraph"/>
        <w:numPr>
          <w:ilvl w:val="0"/>
          <w:numId w:val="29"/>
        </w:numPr>
        <w:spacing w:after="120" w:line="240" w:lineRule="auto"/>
        <w:ind w:left="360"/>
        <w:rPr>
          <w:rFonts w:ascii="Arial" w:hAnsi="Arial" w:cs="Arial"/>
          <w:sz w:val="24"/>
          <w:szCs w:val="24"/>
        </w:rPr>
      </w:pPr>
      <w:r w:rsidRPr="003F6572">
        <w:rPr>
          <w:rFonts w:ascii="Arial" w:hAnsi="Arial" w:cs="Arial"/>
          <w:sz w:val="24"/>
          <w:szCs w:val="24"/>
        </w:rPr>
        <w:t>Average per participant $2,800</w:t>
      </w:r>
    </w:p>
    <w:p w14:paraId="2C35DB4C" w14:textId="77777777" w:rsidR="007B11E5" w:rsidRPr="003F6572" w:rsidRDefault="007B11E5" w:rsidP="00FE5F20">
      <w:pPr>
        <w:rPr>
          <w:b/>
          <w:sz w:val="24"/>
          <w:szCs w:val="24"/>
        </w:rPr>
      </w:pPr>
    </w:p>
    <w:p w14:paraId="292AC029" w14:textId="77777777" w:rsidR="00D64722" w:rsidRPr="003F6572" w:rsidRDefault="00D64722" w:rsidP="007B11E5">
      <w:pPr>
        <w:rPr>
          <w:b/>
          <w:sz w:val="28"/>
          <w:szCs w:val="28"/>
        </w:rPr>
      </w:pPr>
      <w:r w:rsidRPr="003F6572">
        <w:rPr>
          <w:b/>
          <w:sz w:val="28"/>
          <w:szCs w:val="28"/>
        </w:rPr>
        <w:t>Impact 9. Increase in tax revenue</w:t>
      </w:r>
    </w:p>
    <w:p w14:paraId="681ABEA8" w14:textId="77777777" w:rsidR="00377F10" w:rsidRPr="006113AF" w:rsidRDefault="00377F10" w:rsidP="00377F10">
      <w:pPr>
        <w:rPr>
          <w:sz w:val="28"/>
          <w:szCs w:val="28"/>
        </w:rPr>
      </w:pPr>
      <w:r w:rsidRPr="006113AF">
        <w:rPr>
          <w:b/>
          <w:sz w:val="28"/>
          <w:szCs w:val="28"/>
        </w:rPr>
        <w:t>Impact 9. What outcomes do participants experience as a result of being involved in Ticket to Work?</w:t>
      </w:r>
      <w:r w:rsidRPr="006113AF">
        <w:rPr>
          <w:sz w:val="28"/>
          <w:szCs w:val="28"/>
        </w:rPr>
        <w:t xml:space="preserve"> </w:t>
      </w:r>
    </w:p>
    <w:p w14:paraId="65112419" w14:textId="77777777" w:rsidR="00377F10" w:rsidRPr="003F6572" w:rsidRDefault="008E7C51" w:rsidP="008E7C51">
      <w:pPr>
        <w:pStyle w:val="NoSpacing"/>
        <w:rPr>
          <w:sz w:val="24"/>
          <w:szCs w:val="24"/>
        </w:rPr>
      </w:pPr>
      <w:r w:rsidRPr="003F6572">
        <w:rPr>
          <w:sz w:val="24"/>
          <w:szCs w:val="24"/>
        </w:rPr>
        <w:t xml:space="preserve">The increase in </w:t>
      </w:r>
      <w:r w:rsidR="00EE0E28" w:rsidRPr="003F6572">
        <w:rPr>
          <w:sz w:val="24"/>
          <w:szCs w:val="24"/>
        </w:rPr>
        <w:t xml:space="preserve">work </w:t>
      </w:r>
      <w:r w:rsidR="00A259FB" w:rsidRPr="003F6572">
        <w:rPr>
          <w:sz w:val="24"/>
          <w:szCs w:val="24"/>
        </w:rPr>
        <w:t xml:space="preserve">outlined in Impact 3 and Impact 4 </w:t>
      </w:r>
      <w:r w:rsidR="00EE0E28" w:rsidRPr="003F6572">
        <w:rPr>
          <w:sz w:val="24"/>
          <w:szCs w:val="24"/>
        </w:rPr>
        <w:t>may increase tax revenues for the government. There are two sources of increased tax revenue:</w:t>
      </w:r>
    </w:p>
    <w:p w14:paraId="5DA2B097" w14:textId="77777777" w:rsidR="00EE0E28" w:rsidRPr="003F6572" w:rsidRDefault="00EE0E28" w:rsidP="003F6572">
      <w:pPr>
        <w:pStyle w:val="NoSpacing"/>
        <w:numPr>
          <w:ilvl w:val="0"/>
          <w:numId w:val="15"/>
        </w:numPr>
        <w:ind w:left="360"/>
        <w:rPr>
          <w:sz w:val="24"/>
          <w:szCs w:val="24"/>
        </w:rPr>
      </w:pPr>
      <w:r w:rsidRPr="003F6572">
        <w:rPr>
          <w:b/>
          <w:sz w:val="24"/>
          <w:szCs w:val="24"/>
        </w:rPr>
        <w:t>People with disability:</w:t>
      </w:r>
      <w:r w:rsidRPr="003F6572">
        <w:rPr>
          <w:sz w:val="24"/>
          <w:szCs w:val="24"/>
        </w:rPr>
        <w:t xml:space="preserve"> who increase work, or get paid more as a result of being in open employment</w:t>
      </w:r>
      <w:r w:rsidR="00A259FB" w:rsidRPr="003F6572">
        <w:rPr>
          <w:sz w:val="24"/>
          <w:szCs w:val="24"/>
        </w:rPr>
        <w:t xml:space="preserve">. </w:t>
      </w:r>
    </w:p>
    <w:p w14:paraId="455D8512" w14:textId="77777777" w:rsidR="00A259FB" w:rsidRPr="003F6572" w:rsidRDefault="00A259FB" w:rsidP="003F6572">
      <w:pPr>
        <w:pStyle w:val="NoSpacing"/>
        <w:numPr>
          <w:ilvl w:val="0"/>
          <w:numId w:val="15"/>
        </w:numPr>
        <w:ind w:left="360"/>
        <w:rPr>
          <w:sz w:val="24"/>
          <w:szCs w:val="24"/>
        </w:rPr>
      </w:pPr>
      <w:r w:rsidRPr="003F6572">
        <w:rPr>
          <w:b/>
          <w:sz w:val="24"/>
          <w:szCs w:val="24"/>
        </w:rPr>
        <w:t>Carers:</w:t>
      </w:r>
      <w:r w:rsidRPr="003F6572">
        <w:rPr>
          <w:sz w:val="24"/>
          <w:szCs w:val="24"/>
        </w:rPr>
        <w:t xml:space="preserve"> who increase work </w:t>
      </w:r>
      <w:r w:rsidR="009A4D42" w:rsidRPr="003F6572">
        <w:rPr>
          <w:sz w:val="24"/>
          <w:szCs w:val="24"/>
        </w:rPr>
        <w:t xml:space="preserve">as the people they care for return to work. </w:t>
      </w:r>
    </w:p>
    <w:p w14:paraId="2FC6D2D1" w14:textId="77777777" w:rsidR="00377F10" w:rsidRPr="006113AF" w:rsidRDefault="00377F10" w:rsidP="00377F10">
      <w:pPr>
        <w:rPr>
          <w:sz w:val="28"/>
          <w:szCs w:val="28"/>
        </w:rPr>
      </w:pPr>
      <w:r w:rsidRPr="006113AF">
        <w:rPr>
          <w:b/>
          <w:sz w:val="28"/>
          <w:szCs w:val="28"/>
        </w:rPr>
        <w:t xml:space="preserve">Impact 9. What </w:t>
      </w:r>
      <w:r w:rsidR="00B66F4B" w:rsidRPr="006113AF">
        <w:rPr>
          <w:b/>
          <w:sz w:val="28"/>
          <w:szCs w:val="28"/>
        </w:rPr>
        <w:t>fiscal</w:t>
      </w:r>
      <w:r w:rsidRPr="006113AF">
        <w:rPr>
          <w:b/>
          <w:sz w:val="28"/>
          <w:szCs w:val="28"/>
        </w:rPr>
        <w:t xml:space="preserve"> benefits or costs can reasonably be expected to occur as a result of that outcome?</w:t>
      </w:r>
      <w:r w:rsidRPr="006113AF">
        <w:rPr>
          <w:sz w:val="28"/>
          <w:szCs w:val="28"/>
        </w:rPr>
        <w:t xml:space="preserve"> </w:t>
      </w:r>
    </w:p>
    <w:p w14:paraId="79925624" w14:textId="77777777" w:rsidR="00A259FB" w:rsidRPr="003F6572" w:rsidRDefault="00A259FB" w:rsidP="00A259FB">
      <w:pPr>
        <w:pStyle w:val="NoSpacing"/>
        <w:rPr>
          <w:sz w:val="24"/>
          <w:szCs w:val="24"/>
        </w:rPr>
      </w:pPr>
      <w:r w:rsidRPr="003F6572">
        <w:rPr>
          <w:sz w:val="24"/>
          <w:szCs w:val="24"/>
        </w:rPr>
        <w:t>The increase in work outlined in Impact 3 and Impact 4 may increase tax revenues for the government. There are two sources of increased tax revenue:</w:t>
      </w:r>
    </w:p>
    <w:p w14:paraId="7DFFA872" w14:textId="77777777" w:rsidR="00A259FB" w:rsidRPr="003F6572" w:rsidRDefault="00A259FB" w:rsidP="003F6572">
      <w:pPr>
        <w:pStyle w:val="NoSpacing"/>
        <w:numPr>
          <w:ilvl w:val="0"/>
          <w:numId w:val="15"/>
        </w:numPr>
        <w:ind w:left="360"/>
        <w:rPr>
          <w:sz w:val="24"/>
          <w:szCs w:val="24"/>
        </w:rPr>
      </w:pPr>
      <w:r w:rsidRPr="003F6572">
        <w:rPr>
          <w:b/>
          <w:sz w:val="24"/>
          <w:szCs w:val="24"/>
        </w:rPr>
        <w:t>People with disability:</w:t>
      </w:r>
      <w:r w:rsidRPr="003F6572">
        <w:rPr>
          <w:sz w:val="24"/>
          <w:szCs w:val="24"/>
        </w:rPr>
        <w:t xml:space="preserve"> </w:t>
      </w:r>
      <w:r w:rsidR="00C30ED8" w:rsidRPr="003F6572">
        <w:rPr>
          <w:sz w:val="24"/>
          <w:szCs w:val="24"/>
        </w:rPr>
        <w:t xml:space="preserve">at the average wage, and average number of hours worked per week, people with disability do not earn enough to </w:t>
      </w:r>
      <w:r w:rsidR="000F6A22" w:rsidRPr="003F6572">
        <w:rPr>
          <w:sz w:val="24"/>
          <w:szCs w:val="24"/>
        </w:rPr>
        <w:t xml:space="preserve">cross the income tax threshold, </w:t>
      </w:r>
      <w:r w:rsidR="00B36E64" w:rsidRPr="003F6572">
        <w:rPr>
          <w:sz w:val="24"/>
          <w:szCs w:val="24"/>
        </w:rPr>
        <w:t xml:space="preserve">so there are no modelled </w:t>
      </w:r>
      <w:r w:rsidR="00A81BA6" w:rsidRPr="003F6572">
        <w:rPr>
          <w:sz w:val="24"/>
          <w:szCs w:val="24"/>
        </w:rPr>
        <w:t xml:space="preserve">revenues from people with disability. </w:t>
      </w:r>
    </w:p>
    <w:p w14:paraId="53EE29E7" w14:textId="77777777" w:rsidR="00A259FB" w:rsidRPr="003F6572" w:rsidRDefault="00A259FB" w:rsidP="003F6572">
      <w:pPr>
        <w:pStyle w:val="NoSpacing"/>
        <w:numPr>
          <w:ilvl w:val="0"/>
          <w:numId w:val="15"/>
        </w:numPr>
        <w:ind w:left="360"/>
        <w:rPr>
          <w:sz w:val="24"/>
          <w:szCs w:val="24"/>
        </w:rPr>
      </w:pPr>
      <w:r w:rsidRPr="003F6572">
        <w:rPr>
          <w:b/>
          <w:sz w:val="24"/>
          <w:szCs w:val="24"/>
        </w:rPr>
        <w:lastRenderedPageBreak/>
        <w:t>Carers:</w:t>
      </w:r>
      <w:r w:rsidRPr="003F6572">
        <w:rPr>
          <w:sz w:val="24"/>
          <w:szCs w:val="24"/>
        </w:rPr>
        <w:t xml:space="preserve"> who increase work</w:t>
      </w:r>
      <w:r w:rsidR="00B36E64" w:rsidRPr="003F6572">
        <w:rPr>
          <w:sz w:val="24"/>
          <w:szCs w:val="24"/>
        </w:rPr>
        <w:t xml:space="preserve"> are assumed to pay a marginal 19.5% of tax on wages, and 15% on superannuation contribution</w:t>
      </w:r>
      <w:r w:rsidR="00766A09" w:rsidRPr="003F6572">
        <w:rPr>
          <w:sz w:val="24"/>
          <w:szCs w:val="24"/>
        </w:rPr>
        <w:t>s</w:t>
      </w:r>
      <w:r w:rsidR="00B36E64" w:rsidRPr="003F6572">
        <w:rPr>
          <w:sz w:val="24"/>
          <w:szCs w:val="24"/>
        </w:rPr>
        <w:t xml:space="preserve">. </w:t>
      </w:r>
    </w:p>
    <w:p w14:paraId="72CA72EF" w14:textId="77777777" w:rsidR="00A259FB" w:rsidRPr="003F6572" w:rsidRDefault="00A259FB" w:rsidP="00A259FB">
      <w:pPr>
        <w:pStyle w:val="NoSpacing"/>
        <w:rPr>
          <w:sz w:val="24"/>
          <w:szCs w:val="24"/>
        </w:rPr>
      </w:pPr>
      <w:r w:rsidRPr="003F6572">
        <w:rPr>
          <w:sz w:val="24"/>
          <w:szCs w:val="24"/>
        </w:rPr>
        <w:t xml:space="preserve">The remaining assumptions are the same as those outlined in Impact 3 and Impact 4. </w:t>
      </w:r>
    </w:p>
    <w:p w14:paraId="5BA829DE" w14:textId="77777777" w:rsidR="00377F10" w:rsidRPr="006113AF" w:rsidRDefault="00377F10" w:rsidP="00377F10">
      <w:pPr>
        <w:rPr>
          <w:b/>
          <w:sz w:val="28"/>
          <w:szCs w:val="28"/>
        </w:rPr>
      </w:pPr>
      <w:r w:rsidRPr="006113AF">
        <w:rPr>
          <w:b/>
          <w:sz w:val="28"/>
          <w:szCs w:val="28"/>
        </w:rPr>
        <w:t xml:space="preserve">Impact 9. How many </w:t>
      </w:r>
      <w:r w:rsidR="00A14F01" w:rsidRPr="006113AF">
        <w:rPr>
          <w:b/>
          <w:sz w:val="28"/>
          <w:szCs w:val="28"/>
        </w:rPr>
        <w:t>Ticket to Work</w:t>
      </w:r>
      <w:r w:rsidRPr="006113AF">
        <w:rPr>
          <w:b/>
          <w:sz w:val="28"/>
          <w:szCs w:val="28"/>
        </w:rPr>
        <w:t xml:space="preserve"> participants experienced those outcomes, compared to what we would expect to see in a comparable group?</w:t>
      </w:r>
    </w:p>
    <w:p w14:paraId="5D5B0AFB" w14:textId="77777777" w:rsidR="007B11E5" w:rsidRPr="003F6572" w:rsidRDefault="007B11E5" w:rsidP="00377F10">
      <w:pPr>
        <w:rPr>
          <w:rFonts w:cs="Arial"/>
          <w:sz w:val="24"/>
          <w:szCs w:val="24"/>
        </w:rPr>
      </w:pPr>
      <w:r w:rsidRPr="003F6572">
        <w:rPr>
          <w:rFonts w:cs="Arial"/>
          <w:sz w:val="24"/>
          <w:szCs w:val="24"/>
        </w:rPr>
        <w:t>Business as usual</w:t>
      </w:r>
    </w:p>
    <w:p w14:paraId="08C11727" w14:textId="77777777" w:rsidR="007B11E5" w:rsidRPr="003F6572" w:rsidRDefault="00D356B5" w:rsidP="003F6572">
      <w:pPr>
        <w:pStyle w:val="ListParagraph"/>
        <w:numPr>
          <w:ilvl w:val="0"/>
          <w:numId w:val="32"/>
        </w:numPr>
        <w:ind w:left="360"/>
        <w:rPr>
          <w:rFonts w:ascii="Arial" w:eastAsiaTheme="minorHAnsi" w:hAnsi="Arial" w:cs="Arial"/>
          <w:sz w:val="24"/>
          <w:szCs w:val="24"/>
          <w:lang w:eastAsia="en-US"/>
        </w:rPr>
      </w:pPr>
      <w:r>
        <w:rPr>
          <w:rFonts w:ascii="Arial" w:eastAsiaTheme="minorHAnsi" w:hAnsi="Arial" w:cs="Arial"/>
          <w:sz w:val="24"/>
          <w:szCs w:val="24"/>
          <w:lang w:eastAsia="en-US"/>
        </w:rPr>
        <w:t>PWD who work 1,062</w:t>
      </w:r>
    </w:p>
    <w:p w14:paraId="72A1F015" w14:textId="77777777" w:rsidR="007B11E5" w:rsidRPr="003F6572" w:rsidRDefault="007B11E5" w:rsidP="003F6572">
      <w:pPr>
        <w:pStyle w:val="ListParagraph"/>
        <w:numPr>
          <w:ilvl w:val="0"/>
          <w:numId w:val="32"/>
        </w:numPr>
        <w:ind w:left="360"/>
        <w:rPr>
          <w:rFonts w:ascii="Arial" w:eastAsiaTheme="minorHAnsi" w:hAnsi="Arial" w:cs="Arial"/>
          <w:sz w:val="24"/>
          <w:szCs w:val="24"/>
          <w:lang w:eastAsia="en-US"/>
        </w:rPr>
      </w:pPr>
      <w:r w:rsidRPr="003F6572">
        <w:rPr>
          <w:rFonts w:ascii="Arial" w:eastAsiaTheme="minorHAnsi" w:hAnsi="Arial" w:cs="Arial"/>
          <w:sz w:val="24"/>
          <w:szCs w:val="24"/>
          <w:lang w:eastAsia="en-US"/>
        </w:rPr>
        <w:t xml:space="preserve">Carers </w:t>
      </w:r>
      <w:r w:rsidR="00D356B5">
        <w:rPr>
          <w:rFonts w:ascii="Arial" w:eastAsiaTheme="minorHAnsi" w:hAnsi="Arial" w:cs="Arial"/>
          <w:sz w:val="24"/>
          <w:szCs w:val="24"/>
          <w:lang w:eastAsia="en-US"/>
        </w:rPr>
        <w:t>who want to increase work 503</w:t>
      </w:r>
    </w:p>
    <w:p w14:paraId="49844951" w14:textId="77777777" w:rsidR="007B11E5" w:rsidRPr="003F6572" w:rsidRDefault="007B11E5" w:rsidP="003F6572">
      <w:pPr>
        <w:pStyle w:val="ListParagraph"/>
        <w:numPr>
          <w:ilvl w:val="0"/>
          <w:numId w:val="32"/>
        </w:numPr>
        <w:ind w:left="360"/>
        <w:rPr>
          <w:rFonts w:ascii="Arial" w:eastAsiaTheme="minorHAnsi" w:hAnsi="Arial" w:cs="Arial"/>
          <w:sz w:val="24"/>
          <w:szCs w:val="24"/>
          <w:lang w:eastAsia="en-US"/>
        </w:rPr>
      </w:pPr>
      <w:r w:rsidRPr="003F6572">
        <w:rPr>
          <w:rFonts w:ascii="Arial" w:eastAsiaTheme="minorHAnsi" w:hAnsi="Arial" w:cs="Arial"/>
          <w:sz w:val="24"/>
          <w:szCs w:val="24"/>
          <w:lang w:eastAsia="en-US"/>
        </w:rPr>
        <w:t>No. who are able to increase hours 475</w:t>
      </w:r>
    </w:p>
    <w:p w14:paraId="72FD93A5" w14:textId="77777777" w:rsidR="007B11E5" w:rsidRPr="003F6572" w:rsidRDefault="007B11E5" w:rsidP="007B11E5">
      <w:pPr>
        <w:rPr>
          <w:rFonts w:cs="Arial"/>
          <w:sz w:val="24"/>
          <w:szCs w:val="24"/>
        </w:rPr>
      </w:pPr>
      <w:r w:rsidRPr="003F6572">
        <w:rPr>
          <w:rFonts w:cs="Arial"/>
          <w:sz w:val="24"/>
          <w:szCs w:val="24"/>
        </w:rPr>
        <w:t>Ticket to Work</w:t>
      </w:r>
    </w:p>
    <w:p w14:paraId="05161E60" w14:textId="77777777" w:rsidR="007B11E5" w:rsidRPr="003F6572" w:rsidRDefault="00D356B5" w:rsidP="003F6572">
      <w:pPr>
        <w:pStyle w:val="ListParagraph"/>
        <w:numPr>
          <w:ilvl w:val="0"/>
          <w:numId w:val="32"/>
        </w:numPr>
        <w:ind w:left="360"/>
        <w:rPr>
          <w:rFonts w:ascii="Arial" w:eastAsiaTheme="minorHAnsi" w:hAnsi="Arial" w:cs="Arial"/>
          <w:sz w:val="24"/>
          <w:szCs w:val="24"/>
          <w:lang w:eastAsia="en-US"/>
        </w:rPr>
      </w:pPr>
      <w:r>
        <w:rPr>
          <w:rFonts w:ascii="Arial" w:eastAsiaTheme="minorHAnsi" w:hAnsi="Arial" w:cs="Arial"/>
          <w:sz w:val="24"/>
          <w:szCs w:val="24"/>
          <w:lang w:eastAsia="en-US"/>
        </w:rPr>
        <w:t>PWD who work 2,058</w:t>
      </w:r>
    </w:p>
    <w:p w14:paraId="3C97FF0C" w14:textId="77777777" w:rsidR="007B11E5" w:rsidRPr="003F6572" w:rsidRDefault="007B11E5" w:rsidP="003F6572">
      <w:pPr>
        <w:pStyle w:val="ListParagraph"/>
        <w:numPr>
          <w:ilvl w:val="0"/>
          <w:numId w:val="32"/>
        </w:numPr>
        <w:ind w:left="360"/>
        <w:rPr>
          <w:rFonts w:ascii="Arial" w:eastAsiaTheme="minorHAnsi" w:hAnsi="Arial" w:cs="Arial"/>
          <w:sz w:val="24"/>
          <w:szCs w:val="24"/>
          <w:lang w:eastAsia="en-US"/>
        </w:rPr>
      </w:pPr>
      <w:r w:rsidRPr="003F6572">
        <w:rPr>
          <w:rFonts w:ascii="Arial" w:eastAsiaTheme="minorHAnsi" w:hAnsi="Arial" w:cs="Arial"/>
          <w:sz w:val="24"/>
          <w:szCs w:val="24"/>
          <w:lang w:eastAsia="en-US"/>
        </w:rPr>
        <w:t>Care</w:t>
      </w:r>
      <w:r w:rsidR="00D356B5">
        <w:rPr>
          <w:rFonts w:ascii="Arial" w:eastAsiaTheme="minorHAnsi" w:hAnsi="Arial" w:cs="Arial"/>
          <w:sz w:val="24"/>
          <w:szCs w:val="24"/>
          <w:lang w:eastAsia="en-US"/>
        </w:rPr>
        <w:t>rs who want to increase work 974</w:t>
      </w:r>
    </w:p>
    <w:p w14:paraId="2E2055B6" w14:textId="77777777" w:rsidR="007B11E5" w:rsidRPr="003F6572" w:rsidRDefault="007B11E5" w:rsidP="003F6572">
      <w:pPr>
        <w:pStyle w:val="ListParagraph"/>
        <w:numPr>
          <w:ilvl w:val="0"/>
          <w:numId w:val="32"/>
        </w:numPr>
        <w:ind w:left="360"/>
        <w:rPr>
          <w:rFonts w:ascii="Arial" w:eastAsiaTheme="minorHAnsi" w:hAnsi="Arial" w:cs="Arial"/>
          <w:sz w:val="24"/>
          <w:szCs w:val="24"/>
          <w:lang w:eastAsia="en-US"/>
        </w:rPr>
      </w:pPr>
      <w:r w:rsidRPr="003F6572">
        <w:rPr>
          <w:rFonts w:ascii="Arial" w:eastAsiaTheme="minorHAnsi" w:hAnsi="Arial" w:cs="Arial"/>
          <w:sz w:val="24"/>
          <w:szCs w:val="24"/>
          <w:lang w:eastAsia="en-US"/>
        </w:rPr>
        <w:t>No. wh</w:t>
      </w:r>
      <w:r w:rsidR="00D356B5">
        <w:rPr>
          <w:rFonts w:ascii="Arial" w:eastAsiaTheme="minorHAnsi" w:hAnsi="Arial" w:cs="Arial"/>
          <w:sz w:val="24"/>
          <w:szCs w:val="24"/>
          <w:lang w:eastAsia="en-US"/>
        </w:rPr>
        <w:t>o are able to increase hours 921</w:t>
      </w:r>
    </w:p>
    <w:p w14:paraId="2985059A" w14:textId="77777777" w:rsidR="00A44BAE" w:rsidRPr="003F6572" w:rsidRDefault="00A44BAE" w:rsidP="00A44BAE">
      <w:pPr>
        <w:rPr>
          <w:rFonts w:cs="Arial"/>
          <w:sz w:val="24"/>
          <w:szCs w:val="24"/>
        </w:rPr>
      </w:pPr>
    </w:p>
    <w:p w14:paraId="6F34C0A8" w14:textId="77777777" w:rsidR="00A44BAE" w:rsidRPr="006113AF" w:rsidRDefault="00A44BAE" w:rsidP="00A44BAE">
      <w:pPr>
        <w:rPr>
          <w:rFonts w:cs="Arial"/>
          <w:b/>
          <w:sz w:val="28"/>
          <w:szCs w:val="28"/>
        </w:rPr>
      </w:pPr>
      <w:r w:rsidRPr="006113AF">
        <w:rPr>
          <w:rFonts w:cs="Arial"/>
          <w:b/>
          <w:sz w:val="28"/>
          <w:szCs w:val="28"/>
        </w:rPr>
        <w:t xml:space="preserve">Impact </w:t>
      </w:r>
      <w:r w:rsidR="00447DB9" w:rsidRPr="006113AF">
        <w:rPr>
          <w:rFonts w:cs="Arial"/>
          <w:b/>
          <w:sz w:val="28"/>
          <w:szCs w:val="28"/>
        </w:rPr>
        <w:t>9</w:t>
      </w:r>
      <w:r w:rsidRPr="006113AF">
        <w:rPr>
          <w:rFonts w:cs="Arial"/>
          <w:b/>
          <w:sz w:val="28"/>
          <w:szCs w:val="28"/>
        </w:rPr>
        <w:t>: calculate the additional benefit generated by Ticket to Work</w:t>
      </w:r>
    </w:p>
    <w:p w14:paraId="55CFD375" w14:textId="77777777" w:rsidR="00A44BAE" w:rsidRPr="003F6572" w:rsidRDefault="008D1153" w:rsidP="00A44BAE">
      <w:pPr>
        <w:rPr>
          <w:sz w:val="24"/>
          <w:szCs w:val="24"/>
        </w:rPr>
      </w:pPr>
      <w:r w:rsidRPr="003F6572">
        <w:rPr>
          <w:sz w:val="24"/>
          <w:szCs w:val="24"/>
        </w:rPr>
        <w:t>The following</w:t>
      </w:r>
      <w:r w:rsidR="00A44BAE" w:rsidRPr="003F6572">
        <w:rPr>
          <w:sz w:val="24"/>
          <w:szCs w:val="24"/>
        </w:rPr>
        <w:t xml:space="preserve"> sets out the anticipated amount of tax paid for a carer who increases work hours as a result of the person they care for taking up work. The difference between the average increase in work hours per week is driven by the fact that Ticket to Work participants are more likely to be in open employment, and therefore work longer hours than the business as usual participants. The increased work hours mean that carers are able to work more. </w:t>
      </w:r>
    </w:p>
    <w:p w14:paraId="20F01509" w14:textId="77777777" w:rsidR="008D1153" w:rsidRPr="003F6572" w:rsidRDefault="008D1153" w:rsidP="008D1153">
      <w:pPr>
        <w:rPr>
          <w:rFonts w:cs="Arial"/>
          <w:sz w:val="24"/>
          <w:szCs w:val="24"/>
        </w:rPr>
      </w:pPr>
      <w:r w:rsidRPr="003F6572">
        <w:rPr>
          <w:rFonts w:cs="Arial"/>
          <w:sz w:val="24"/>
          <w:szCs w:val="24"/>
        </w:rPr>
        <w:t>Business as usual</w:t>
      </w:r>
    </w:p>
    <w:p w14:paraId="3563B277" w14:textId="77777777" w:rsidR="008D1153" w:rsidRPr="003F6572" w:rsidRDefault="008D1153" w:rsidP="003F6572">
      <w:pPr>
        <w:pStyle w:val="ListParagraph"/>
        <w:numPr>
          <w:ilvl w:val="0"/>
          <w:numId w:val="32"/>
        </w:numPr>
        <w:ind w:left="360"/>
        <w:rPr>
          <w:rFonts w:ascii="Arial" w:eastAsiaTheme="minorHAnsi" w:hAnsi="Arial" w:cs="Arial"/>
          <w:sz w:val="24"/>
          <w:szCs w:val="24"/>
          <w:lang w:eastAsia="en-US"/>
        </w:rPr>
      </w:pPr>
      <w:r w:rsidRPr="003F6572">
        <w:rPr>
          <w:rFonts w:ascii="Arial" w:eastAsiaTheme="minorHAnsi" w:hAnsi="Arial" w:cs="Arial"/>
          <w:sz w:val="24"/>
          <w:szCs w:val="24"/>
          <w:lang w:eastAsia="en-US"/>
        </w:rPr>
        <w:t>Hourly rate (inc super) 31.93</w:t>
      </w:r>
    </w:p>
    <w:p w14:paraId="4CC261E9" w14:textId="77777777" w:rsidR="008D1153" w:rsidRPr="003F6572" w:rsidRDefault="008D1153" w:rsidP="003F6572">
      <w:pPr>
        <w:pStyle w:val="ListParagraph"/>
        <w:numPr>
          <w:ilvl w:val="0"/>
          <w:numId w:val="32"/>
        </w:numPr>
        <w:ind w:left="360"/>
        <w:rPr>
          <w:rFonts w:ascii="Arial" w:eastAsiaTheme="minorHAnsi" w:hAnsi="Arial" w:cs="Arial"/>
          <w:sz w:val="24"/>
          <w:szCs w:val="24"/>
          <w:lang w:eastAsia="en-US"/>
        </w:rPr>
      </w:pPr>
      <w:r w:rsidRPr="003F6572">
        <w:rPr>
          <w:rFonts w:ascii="Arial" w:eastAsiaTheme="minorHAnsi" w:hAnsi="Arial" w:cs="Arial"/>
          <w:sz w:val="24"/>
          <w:szCs w:val="24"/>
          <w:lang w:eastAsia="en-US"/>
        </w:rPr>
        <w:t>Weighted avg. increase in 9.5</w:t>
      </w:r>
    </w:p>
    <w:p w14:paraId="583309F3" w14:textId="77777777" w:rsidR="008D1153" w:rsidRPr="003F6572" w:rsidRDefault="008D1153" w:rsidP="003F6572">
      <w:pPr>
        <w:pStyle w:val="ListParagraph"/>
        <w:numPr>
          <w:ilvl w:val="0"/>
          <w:numId w:val="32"/>
        </w:numPr>
        <w:ind w:left="360"/>
        <w:rPr>
          <w:rFonts w:ascii="Arial" w:eastAsiaTheme="minorHAnsi" w:hAnsi="Arial" w:cs="Arial"/>
          <w:sz w:val="24"/>
          <w:szCs w:val="24"/>
          <w:lang w:eastAsia="en-US"/>
        </w:rPr>
      </w:pPr>
      <w:r w:rsidRPr="003F6572">
        <w:rPr>
          <w:rFonts w:ascii="Arial" w:eastAsiaTheme="minorHAnsi" w:hAnsi="Arial" w:cs="Arial"/>
          <w:sz w:val="24"/>
          <w:szCs w:val="24"/>
          <w:lang w:eastAsia="en-US"/>
        </w:rPr>
        <w:t>Annual increase in tax paid per annum 3,000</w:t>
      </w:r>
    </w:p>
    <w:p w14:paraId="3911951B" w14:textId="77777777" w:rsidR="008D1153" w:rsidRPr="003F6572" w:rsidRDefault="008D1153" w:rsidP="008D1153">
      <w:pPr>
        <w:rPr>
          <w:rFonts w:cs="Arial"/>
          <w:sz w:val="24"/>
          <w:szCs w:val="24"/>
        </w:rPr>
      </w:pPr>
      <w:r w:rsidRPr="003F6572">
        <w:rPr>
          <w:rFonts w:cs="Arial"/>
          <w:sz w:val="24"/>
          <w:szCs w:val="24"/>
        </w:rPr>
        <w:t>Ticket to Work</w:t>
      </w:r>
    </w:p>
    <w:p w14:paraId="729200E0" w14:textId="77777777" w:rsidR="008D1153" w:rsidRPr="003F6572" w:rsidRDefault="008D1153" w:rsidP="003F6572">
      <w:pPr>
        <w:pStyle w:val="ListParagraph"/>
        <w:numPr>
          <w:ilvl w:val="0"/>
          <w:numId w:val="32"/>
        </w:numPr>
        <w:ind w:left="360"/>
        <w:rPr>
          <w:rFonts w:ascii="Arial" w:eastAsiaTheme="minorHAnsi" w:hAnsi="Arial" w:cs="Arial"/>
          <w:sz w:val="24"/>
          <w:szCs w:val="24"/>
          <w:lang w:eastAsia="en-US"/>
        </w:rPr>
      </w:pPr>
      <w:r w:rsidRPr="003F6572">
        <w:rPr>
          <w:rFonts w:ascii="Arial" w:eastAsiaTheme="minorHAnsi" w:hAnsi="Arial" w:cs="Arial"/>
          <w:sz w:val="24"/>
          <w:szCs w:val="24"/>
          <w:lang w:eastAsia="en-US"/>
        </w:rPr>
        <w:t>Hourly rate (inc super) 31.93</w:t>
      </w:r>
    </w:p>
    <w:p w14:paraId="663889EF" w14:textId="77777777" w:rsidR="008D1153" w:rsidRPr="003F6572" w:rsidRDefault="008D1153" w:rsidP="003F6572">
      <w:pPr>
        <w:pStyle w:val="ListParagraph"/>
        <w:numPr>
          <w:ilvl w:val="0"/>
          <w:numId w:val="32"/>
        </w:numPr>
        <w:ind w:left="360"/>
        <w:rPr>
          <w:rFonts w:ascii="Arial" w:eastAsiaTheme="minorHAnsi" w:hAnsi="Arial" w:cs="Arial"/>
          <w:sz w:val="24"/>
          <w:szCs w:val="24"/>
          <w:lang w:eastAsia="en-US"/>
        </w:rPr>
      </w:pPr>
      <w:r w:rsidRPr="003F6572">
        <w:rPr>
          <w:rFonts w:ascii="Arial" w:eastAsiaTheme="minorHAnsi" w:hAnsi="Arial" w:cs="Arial"/>
          <w:sz w:val="24"/>
          <w:szCs w:val="24"/>
          <w:lang w:eastAsia="en-US"/>
        </w:rPr>
        <w:t>Weighted avg. increase in 8.3</w:t>
      </w:r>
    </w:p>
    <w:p w14:paraId="221079B5" w14:textId="77777777" w:rsidR="003F6572" w:rsidRPr="003F6572" w:rsidRDefault="008D1153" w:rsidP="00377F10">
      <w:pPr>
        <w:pStyle w:val="ListParagraph"/>
        <w:numPr>
          <w:ilvl w:val="0"/>
          <w:numId w:val="32"/>
        </w:numPr>
        <w:ind w:left="360"/>
        <w:rPr>
          <w:rFonts w:ascii="Arial" w:eastAsiaTheme="minorHAnsi" w:hAnsi="Arial" w:cs="Arial"/>
          <w:sz w:val="24"/>
          <w:szCs w:val="24"/>
          <w:lang w:eastAsia="en-US"/>
        </w:rPr>
      </w:pPr>
      <w:r w:rsidRPr="003F6572">
        <w:rPr>
          <w:rFonts w:ascii="Arial" w:eastAsiaTheme="minorHAnsi" w:hAnsi="Arial" w:cs="Arial"/>
          <w:sz w:val="24"/>
          <w:szCs w:val="24"/>
          <w:lang w:eastAsia="en-US"/>
        </w:rPr>
        <w:t>Annual increase in tax paid per annum 2,600</w:t>
      </w:r>
    </w:p>
    <w:p w14:paraId="6D19CD19" w14:textId="77777777" w:rsidR="003F6572" w:rsidRDefault="003F6572" w:rsidP="003F6572">
      <w:pPr>
        <w:rPr>
          <w:b/>
          <w:color w:val="002D62" w:themeColor="text2"/>
          <w:sz w:val="24"/>
          <w:szCs w:val="24"/>
        </w:rPr>
      </w:pPr>
    </w:p>
    <w:p w14:paraId="11DE28B4" w14:textId="77777777" w:rsidR="00377F10" w:rsidRPr="006113AF" w:rsidRDefault="00377F10" w:rsidP="003F6572">
      <w:pPr>
        <w:rPr>
          <w:rFonts w:cs="Arial"/>
          <w:sz w:val="28"/>
          <w:szCs w:val="28"/>
        </w:rPr>
      </w:pPr>
      <w:r w:rsidRPr="006113AF">
        <w:rPr>
          <w:b/>
          <w:sz w:val="28"/>
          <w:szCs w:val="28"/>
        </w:rPr>
        <w:t>Impact 9. Calculate the additional benefit generated by Ticket to Work</w:t>
      </w:r>
    </w:p>
    <w:p w14:paraId="12CC352B" w14:textId="77777777" w:rsidR="008D1153" w:rsidRPr="003F6572" w:rsidRDefault="008D1153" w:rsidP="008D1153">
      <w:pPr>
        <w:rPr>
          <w:rFonts w:cs="Arial"/>
          <w:b/>
          <w:sz w:val="24"/>
          <w:szCs w:val="24"/>
        </w:rPr>
      </w:pPr>
      <w:r w:rsidRPr="003F6572">
        <w:rPr>
          <w:rFonts w:cs="Arial"/>
          <w:b/>
          <w:sz w:val="24"/>
          <w:szCs w:val="24"/>
        </w:rPr>
        <w:t>Increase in tax revenue over three years</w:t>
      </w:r>
    </w:p>
    <w:p w14:paraId="3F2079CE" w14:textId="77777777" w:rsidR="008D1153" w:rsidRPr="006113AF" w:rsidRDefault="008D1153" w:rsidP="008D1153">
      <w:pPr>
        <w:spacing w:after="120" w:line="240" w:lineRule="auto"/>
        <w:rPr>
          <w:rFonts w:cs="Arial"/>
          <w:sz w:val="24"/>
          <w:szCs w:val="24"/>
        </w:rPr>
      </w:pPr>
      <w:r w:rsidRPr="006113AF">
        <w:rPr>
          <w:rFonts w:cs="Arial"/>
          <w:sz w:val="24"/>
          <w:szCs w:val="24"/>
        </w:rPr>
        <w:t>Business as usual</w:t>
      </w:r>
    </w:p>
    <w:p w14:paraId="5BED9CBD" w14:textId="77777777" w:rsidR="008D1153" w:rsidRPr="006113AF" w:rsidRDefault="008D1153" w:rsidP="003F6572">
      <w:pPr>
        <w:pStyle w:val="ListParagraph"/>
        <w:numPr>
          <w:ilvl w:val="1"/>
          <w:numId w:val="33"/>
        </w:numPr>
        <w:spacing w:after="120" w:line="240" w:lineRule="auto"/>
        <w:ind w:left="360"/>
        <w:rPr>
          <w:rFonts w:ascii="Arial" w:hAnsi="Arial" w:cs="Arial"/>
          <w:sz w:val="24"/>
          <w:szCs w:val="24"/>
        </w:rPr>
      </w:pPr>
      <w:r w:rsidRPr="006113AF">
        <w:rPr>
          <w:rFonts w:ascii="Arial" w:hAnsi="Arial" w:cs="Arial"/>
          <w:sz w:val="24"/>
          <w:szCs w:val="24"/>
        </w:rPr>
        <w:t>Entire cohort $4.3</w:t>
      </w:r>
    </w:p>
    <w:p w14:paraId="45A2F4BF" w14:textId="77777777" w:rsidR="008D1153" w:rsidRPr="006113AF" w:rsidRDefault="008D1153" w:rsidP="003F6572">
      <w:pPr>
        <w:pStyle w:val="ListParagraph"/>
        <w:numPr>
          <w:ilvl w:val="1"/>
          <w:numId w:val="33"/>
        </w:numPr>
        <w:spacing w:after="120" w:line="240" w:lineRule="auto"/>
        <w:ind w:left="360"/>
        <w:rPr>
          <w:rFonts w:ascii="Arial" w:eastAsiaTheme="minorHAnsi" w:hAnsi="Arial" w:cs="Arial"/>
          <w:sz w:val="24"/>
          <w:szCs w:val="24"/>
          <w:lang w:eastAsia="en-US"/>
        </w:rPr>
      </w:pPr>
      <w:r w:rsidRPr="006113AF">
        <w:rPr>
          <w:rFonts w:ascii="Arial" w:hAnsi="Arial" w:cs="Arial"/>
          <w:sz w:val="24"/>
          <w:szCs w:val="24"/>
        </w:rPr>
        <w:t>Average per participant $1,300</w:t>
      </w:r>
    </w:p>
    <w:p w14:paraId="1794276B" w14:textId="77777777" w:rsidR="008D1153" w:rsidRPr="006113AF" w:rsidRDefault="008D1153" w:rsidP="008D1153">
      <w:pPr>
        <w:spacing w:after="120" w:line="240" w:lineRule="auto"/>
        <w:rPr>
          <w:rFonts w:cs="Arial"/>
          <w:sz w:val="24"/>
          <w:szCs w:val="24"/>
        </w:rPr>
      </w:pPr>
      <w:r w:rsidRPr="006113AF">
        <w:rPr>
          <w:rFonts w:cs="Arial"/>
          <w:sz w:val="24"/>
          <w:szCs w:val="24"/>
        </w:rPr>
        <w:t>Ticket to Work</w:t>
      </w:r>
    </w:p>
    <w:p w14:paraId="29B8FA28" w14:textId="77777777" w:rsidR="008D1153" w:rsidRPr="006113AF" w:rsidRDefault="008D1153" w:rsidP="003F6572">
      <w:pPr>
        <w:pStyle w:val="ListParagraph"/>
        <w:numPr>
          <w:ilvl w:val="1"/>
          <w:numId w:val="33"/>
        </w:numPr>
        <w:spacing w:after="120" w:line="240" w:lineRule="auto"/>
        <w:ind w:left="360"/>
        <w:rPr>
          <w:rFonts w:ascii="Arial" w:hAnsi="Arial" w:cs="Arial"/>
          <w:sz w:val="24"/>
          <w:szCs w:val="24"/>
        </w:rPr>
      </w:pPr>
      <w:r w:rsidRPr="006113AF">
        <w:rPr>
          <w:rFonts w:ascii="Arial" w:hAnsi="Arial" w:cs="Arial"/>
          <w:sz w:val="24"/>
          <w:szCs w:val="24"/>
        </w:rPr>
        <w:t>Entire cohort $7.3m</w:t>
      </w:r>
    </w:p>
    <w:p w14:paraId="3861928B" w14:textId="77777777" w:rsidR="008D1153" w:rsidRPr="006113AF" w:rsidRDefault="008D1153" w:rsidP="003F6572">
      <w:pPr>
        <w:pStyle w:val="ListParagraph"/>
        <w:numPr>
          <w:ilvl w:val="1"/>
          <w:numId w:val="33"/>
        </w:numPr>
        <w:spacing w:after="120" w:line="240" w:lineRule="auto"/>
        <w:ind w:left="360"/>
        <w:rPr>
          <w:rFonts w:ascii="Arial" w:eastAsiaTheme="minorHAnsi" w:hAnsi="Arial" w:cs="Arial"/>
          <w:sz w:val="24"/>
          <w:szCs w:val="24"/>
          <w:lang w:eastAsia="en-US"/>
        </w:rPr>
      </w:pPr>
      <w:r w:rsidRPr="006113AF">
        <w:rPr>
          <w:rFonts w:ascii="Arial" w:hAnsi="Arial" w:cs="Arial"/>
          <w:sz w:val="24"/>
          <w:szCs w:val="24"/>
        </w:rPr>
        <w:t>Average per participant $2,200</w:t>
      </w:r>
    </w:p>
    <w:p w14:paraId="123FB950" w14:textId="77777777" w:rsidR="008D1153" w:rsidRPr="006113AF" w:rsidRDefault="008D1153" w:rsidP="008D1153">
      <w:pPr>
        <w:spacing w:after="120" w:line="240" w:lineRule="auto"/>
        <w:rPr>
          <w:rFonts w:cs="Arial"/>
          <w:sz w:val="24"/>
          <w:szCs w:val="24"/>
        </w:rPr>
      </w:pPr>
      <w:r w:rsidRPr="006113AF">
        <w:rPr>
          <w:rFonts w:cs="Arial"/>
          <w:sz w:val="24"/>
          <w:szCs w:val="24"/>
        </w:rPr>
        <w:t>Difference</w:t>
      </w:r>
    </w:p>
    <w:p w14:paraId="31B4EB3C" w14:textId="77777777" w:rsidR="008D1153" w:rsidRPr="006113AF" w:rsidRDefault="00D356B5" w:rsidP="003F6572">
      <w:pPr>
        <w:pStyle w:val="ListParagraph"/>
        <w:numPr>
          <w:ilvl w:val="1"/>
          <w:numId w:val="33"/>
        </w:numPr>
        <w:spacing w:after="120" w:line="240" w:lineRule="auto"/>
        <w:ind w:left="270"/>
        <w:rPr>
          <w:rFonts w:ascii="Arial" w:hAnsi="Arial" w:cs="Arial"/>
          <w:sz w:val="24"/>
          <w:szCs w:val="24"/>
        </w:rPr>
      </w:pPr>
      <w:r>
        <w:rPr>
          <w:rFonts w:ascii="Arial" w:hAnsi="Arial" w:cs="Arial"/>
          <w:sz w:val="24"/>
          <w:szCs w:val="24"/>
        </w:rPr>
        <w:t>Entire cohort $3.0</w:t>
      </w:r>
      <w:r w:rsidR="008D1153" w:rsidRPr="006113AF">
        <w:rPr>
          <w:rFonts w:ascii="Arial" w:hAnsi="Arial" w:cs="Arial"/>
          <w:sz w:val="24"/>
          <w:szCs w:val="24"/>
        </w:rPr>
        <w:t>m</w:t>
      </w:r>
    </w:p>
    <w:p w14:paraId="04B126FB" w14:textId="77777777" w:rsidR="006E6BEF" w:rsidRPr="006113AF" w:rsidRDefault="008D1153" w:rsidP="003F6572">
      <w:pPr>
        <w:pStyle w:val="ListParagraph"/>
        <w:numPr>
          <w:ilvl w:val="1"/>
          <w:numId w:val="33"/>
        </w:numPr>
        <w:spacing w:after="120" w:line="240" w:lineRule="auto"/>
        <w:ind w:left="270"/>
        <w:rPr>
          <w:rFonts w:ascii="Arial" w:eastAsiaTheme="minorHAnsi" w:hAnsi="Arial" w:cs="Arial"/>
          <w:sz w:val="24"/>
          <w:szCs w:val="24"/>
          <w:lang w:eastAsia="en-US"/>
        </w:rPr>
      </w:pPr>
      <w:r w:rsidRPr="006113AF">
        <w:rPr>
          <w:rFonts w:ascii="Arial" w:hAnsi="Arial" w:cs="Arial"/>
          <w:sz w:val="24"/>
          <w:szCs w:val="24"/>
        </w:rPr>
        <w:t>Average per participant $900</w:t>
      </w:r>
    </w:p>
    <w:p w14:paraId="1B3117EB" w14:textId="77777777" w:rsidR="00D91454" w:rsidRPr="003F6572" w:rsidRDefault="00D91454" w:rsidP="00D91454">
      <w:pPr>
        <w:pStyle w:val="ListParagraph"/>
        <w:spacing w:after="120" w:line="240" w:lineRule="auto"/>
        <w:ind w:left="1440"/>
        <w:rPr>
          <w:rFonts w:ascii="Arial" w:eastAsiaTheme="minorHAnsi" w:hAnsi="Arial" w:cs="Arial"/>
          <w:sz w:val="24"/>
          <w:szCs w:val="24"/>
          <w:lang w:eastAsia="en-US"/>
        </w:rPr>
      </w:pPr>
    </w:p>
    <w:p w14:paraId="456F56B5" w14:textId="77777777" w:rsidR="00D91454" w:rsidRPr="006113AF" w:rsidRDefault="00D91454" w:rsidP="006113AF">
      <w:pPr>
        <w:pStyle w:val="Heading4"/>
      </w:pPr>
      <w:r w:rsidRPr="006113AF">
        <w:t>Impact 10. Reduction in Disability Employment Assistance grants</w:t>
      </w:r>
    </w:p>
    <w:p w14:paraId="5B5E2A67" w14:textId="77777777" w:rsidR="00377F10" w:rsidRPr="006113AF" w:rsidRDefault="00377F10" w:rsidP="00377F10">
      <w:pPr>
        <w:rPr>
          <w:sz w:val="28"/>
          <w:szCs w:val="28"/>
        </w:rPr>
      </w:pPr>
      <w:r w:rsidRPr="006113AF">
        <w:rPr>
          <w:b/>
          <w:sz w:val="28"/>
          <w:szCs w:val="28"/>
        </w:rPr>
        <w:t>Impact 10. What outcomes do participants experience as a result of being involved in Ticket to Work?</w:t>
      </w:r>
      <w:r w:rsidRPr="006113AF">
        <w:rPr>
          <w:sz w:val="28"/>
          <w:szCs w:val="28"/>
        </w:rPr>
        <w:t xml:space="preserve"> </w:t>
      </w:r>
    </w:p>
    <w:p w14:paraId="468DAAA7" w14:textId="77777777" w:rsidR="00377F10" w:rsidRPr="003F6572" w:rsidRDefault="00BF75FF" w:rsidP="0022005F">
      <w:pPr>
        <w:rPr>
          <w:rFonts w:cs="Arial"/>
          <w:sz w:val="24"/>
          <w:szCs w:val="24"/>
        </w:rPr>
      </w:pPr>
      <w:r w:rsidRPr="003F6572">
        <w:rPr>
          <w:rFonts w:cs="Arial"/>
          <w:sz w:val="24"/>
          <w:szCs w:val="24"/>
        </w:rPr>
        <w:t xml:space="preserve">Disability Employment Assistance grants are provided to </w:t>
      </w:r>
      <w:r w:rsidR="00600A52" w:rsidRPr="003F6572">
        <w:rPr>
          <w:rFonts w:cs="Arial"/>
          <w:sz w:val="24"/>
          <w:szCs w:val="24"/>
        </w:rPr>
        <w:t xml:space="preserve">Australian Disability Enterprises </w:t>
      </w:r>
      <w:r w:rsidR="0022005F" w:rsidRPr="003F6572">
        <w:rPr>
          <w:rFonts w:cs="Arial"/>
          <w:sz w:val="24"/>
          <w:szCs w:val="24"/>
        </w:rPr>
        <w:t xml:space="preserve">for each person with disability they employ. Therefore the amount the government will pay in grants will be reduced if there are fewer people in supported employment. </w:t>
      </w:r>
    </w:p>
    <w:p w14:paraId="43D89E76" w14:textId="77777777" w:rsidR="00377F10" w:rsidRPr="006113AF" w:rsidRDefault="00377F10" w:rsidP="00377F10">
      <w:pPr>
        <w:rPr>
          <w:sz w:val="28"/>
          <w:szCs w:val="28"/>
        </w:rPr>
      </w:pPr>
      <w:r w:rsidRPr="006113AF">
        <w:rPr>
          <w:b/>
          <w:sz w:val="28"/>
          <w:szCs w:val="28"/>
        </w:rPr>
        <w:t xml:space="preserve">Impact 10. What </w:t>
      </w:r>
      <w:r w:rsidR="00DD1B86" w:rsidRPr="006113AF">
        <w:rPr>
          <w:b/>
          <w:sz w:val="28"/>
          <w:szCs w:val="28"/>
        </w:rPr>
        <w:t xml:space="preserve">fiscal </w:t>
      </w:r>
      <w:r w:rsidRPr="006113AF">
        <w:rPr>
          <w:b/>
          <w:sz w:val="28"/>
          <w:szCs w:val="28"/>
        </w:rPr>
        <w:t>benefits or costs can reasonably be expected to occur as a result of that outcome?</w:t>
      </w:r>
      <w:r w:rsidRPr="006113AF">
        <w:rPr>
          <w:sz w:val="28"/>
          <w:szCs w:val="28"/>
        </w:rPr>
        <w:t xml:space="preserve"> </w:t>
      </w:r>
    </w:p>
    <w:p w14:paraId="6843EDE1" w14:textId="77777777" w:rsidR="00DD1B86" w:rsidRPr="003F6572" w:rsidRDefault="00DD1B86" w:rsidP="00DD1B86">
      <w:pPr>
        <w:rPr>
          <w:sz w:val="24"/>
          <w:szCs w:val="24"/>
        </w:rPr>
      </w:pPr>
      <w:r w:rsidRPr="003F6572">
        <w:rPr>
          <w:b/>
          <w:sz w:val="24"/>
          <w:szCs w:val="24"/>
        </w:rPr>
        <w:t xml:space="preserve">Disability Employment Assistance </w:t>
      </w:r>
      <w:r w:rsidR="001A31BB" w:rsidRPr="003F6572">
        <w:rPr>
          <w:b/>
          <w:sz w:val="24"/>
          <w:szCs w:val="24"/>
        </w:rPr>
        <w:t xml:space="preserve">grants are </w:t>
      </w:r>
      <w:r w:rsidRPr="003F6572">
        <w:rPr>
          <w:sz w:val="24"/>
          <w:szCs w:val="24"/>
        </w:rPr>
        <w:t xml:space="preserve">case-based funding grants are made to Australian Disability Enterprises that employ people with disability. These payments are made on a per-employee basis. The following table sets out these assumptions. </w:t>
      </w:r>
    </w:p>
    <w:tbl>
      <w:tblPr>
        <w:tblStyle w:val="TableGrid"/>
        <w:tblW w:w="0" w:type="auto"/>
        <w:tblLook w:val="04A0" w:firstRow="1" w:lastRow="0" w:firstColumn="1" w:lastColumn="0" w:noHBand="0" w:noVBand="1"/>
        <w:tblDescription w:val="payment: disability employment assistance. Assumption 100% of people in supported employment are at an ADE that received grants. ADEs employing all people with disability engaged in supported employment are paid an average case based funding amount of $13,836 ($12.09 per hour). Source DSS case based funding pricing tables 2019-20 and NDS data. "/>
      </w:tblPr>
      <w:tblGrid>
        <w:gridCol w:w="2151"/>
        <w:gridCol w:w="4591"/>
        <w:gridCol w:w="2274"/>
      </w:tblGrid>
      <w:tr w:rsidR="00E90D27" w:rsidRPr="003F6572" w14:paraId="750BC268" w14:textId="77777777" w:rsidTr="00976ADF">
        <w:trPr>
          <w:tblHeader/>
        </w:trPr>
        <w:tc>
          <w:tcPr>
            <w:tcW w:w="0" w:type="auto"/>
            <w:shd w:val="clear" w:color="auto" w:fill="7F7F7F" w:themeFill="text1" w:themeFillTint="80"/>
          </w:tcPr>
          <w:p w14:paraId="1109C8DA" w14:textId="77777777" w:rsidR="00E90D27" w:rsidRPr="006113AF" w:rsidRDefault="00E90D27" w:rsidP="00976ADF">
            <w:pPr>
              <w:rPr>
                <w:color w:val="FFFFFF" w:themeColor="background1"/>
                <w:sz w:val="24"/>
                <w:szCs w:val="24"/>
              </w:rPr>
            </w:pPr>
            <w:r w:rsidRPr="006113AF">
              <w:rPr>
                <w:color w:val="FFFFFF" w:themeColor="background1"/>
                <w:sz w:val="24"/>
                <w:szCs w:val="24"/>
              </w:rPr>
              <w:t>Payment</w:t>
            </w:r>
          </w:p>
        </w:tc>
        <w:tc>
          <w:tcPr>
            <w:tcW w:w="0" w:type="auto"/>
            <w:shd w:val="clear" w:color="auto" w:fill="7F7F7F" w:themeFill="text1" w:themeFillTint="80"/>
          </w:tcPr>
          <w:p w14:paraId="3F6B0D31" w14:textId="77777777" w:rsidR="00E90D27" w:rsidRPr="006113AF" w:rsidRDefault="00E90D27" w:rsidP="00976ADF">
            <w:pPr>
              <w:rPr>
                <w:color w:val="FFFFFF" w:themeColor="background1"/>
                <w:sz w:val="24"/>
                <w:szCs w:val="24"/>
              </w:rPr>
            </w:pPr>
            <w:r w:rsidRPr="006113AF">
              <w:rPr>
                <w:color w:val="FFFFFF" w:themeColor="background1"/>
                <w:sz w:val="24"/>
                <w:szCs w:val="24"/>
              </w:rPr>
              <w:t xml:space="preserve">Assumption </w:t>
            </w:r>
          </w:p>
        </w:tc>
        <w:tc>
          <w:tcPr>
            <w:tcW w:w="0" w:type="auto"/>
            <w:shd w:val="clear" w:color="auto" w:fill="7F7F7F" w:themeFill="text1" w:themeFillTint="80"/>
          </w:tcPr>
          <w:p w14:paraId="08E5DAE9" w14:textId="77777777" w:rsidR="00E90D27" w:rsidRPr="006113AF" w:rsidRDefault="00E90D27" w:rsidP="00976ADF">
            <w:pPr>
              <w:rPr>
                <w:color w:val="FFFFFF" w:themeColor="background1"/>
                <w:sz w:val="24"/>
                <w:szCs w:val="24"/>
              </w:rPr>
            </w:pPr>
            <w:r w:rsidRPr="006113AF">
              <w:rPr>
                <w:color w:val="FFFFFF" w:themeColor="background1"/>
                <w:sz w:val="24"/>
                <w:szCs w:val="24"/>
              </w:rPr>
              <w:t>Source</w:t>
            </w:r>
          </w:p>
        </w:tc>
      </w:tr>
      <w:tr w:rsidR="00E90D27" w:rsidRPr="003F6572" w14:paraId="1C622660" w14:textId="77777777" w:rsidTr="00976ADF">
        <w:trPr>
          <w:tblHeader/>
        </w:trPr>
        <w:tc>
          <w:tcPr>
            <w:tcW w:w="0" w:type="auto"/>
          </w:tcPr>
          <w:p w14:paraId="5F2DFE99" w14:textId="77777777" w:rsidR="00E90D27" w:rsidRPr="003F6572" w:rsidRDefault="00E90D27" w:rsidP="00855673">
            <w:pPr>
              <w:pStyle w:val="Bulletedlist"/>
            </w:pPr>
            <w:r w:rsidRPr="003F6572">
              <w:t>Disability Employment Assistance</w:t>
            </w:r>
          </w:p>
        </w:tc>
        <w:tc>
          <w:tcPr>
            <w:tcW w:w="0" w:type="auto"/>
          </w:tcPr>
          <w:p w14:paraId="028D264D" w14:textId="77777777" w:rsidR="00E90D27" w:rsidRPr="003F6572" w:rsidRDefault="00E90D27" w:rsidP="00976ADF">
            <w:pPr>
              <w:rPr>
                <w:sz w:val="24"/>
                <w:szCs w:val="24"/>
              </w:rPr>
            </w:pPr>
            <w:r w:rsidRPr="003F6572">
              <w:rPr>
                <w:sz w:val="24"/>
                <w:szCs w:val="24"/>
              </w:rPr>
              <w:t xml:space="preserve">100% of people in supported employment are at an ADE that received grants </w:t>
            </w:r>
          </w:p>
        </w:tc>
        <w:tc>
          <w:tcPr>
            <w:tcW w:w="0" w:type="auto"/>
            <w:vAlign w:val="center"/>
          </w:tcPr>
          <w:p w14:paraId="7C030EF7" w14:textId="77777777" w:rsidR="00E90D27" w:rsidRPr="003F6572" w:rsidRDefault="00E90D27" w:rsidP="00976ADF">
            <w:pPr>
              <w:rPr>
                <w:sz w:val="24"/>
                <w:szCs w:val="24"/>
              </w:rPr>
            </w:pPr>
          </w:p>
        </w:tc>
      </w:tr>
      <w:tr w:rsidR="00E90D27" w:rsidRPr="003F6572" w14:paraId="23103911" w14:textId="77777777" w:rsidTr="00976ADF">
        <w:trPr>
          <w:tblHeader/>
        </w:trPr>
        <w:tc>
          <w:tcPr>
            <w:tcW w:w="0" w:type="auto"/>
          </w:tcPr>
          <w:p w14:paraId="7C66F907" w14:textId="77777777" w:rsidR="00E90D27" w:rsidRPr="003F6572" w:rsidRDefault="00E90D27" w:rsidP="00855673">
            <w:pPr>
              <w:pStyle w:val="Bulletedlist"/>
            </w:pPr>
            <w:r w:rsidRPr="003F6572">
              <w:t>Disability Employment Assistance</w:t>
            </w:r>
          </w:p>
        </w:tc>
        <w:tc>
          <w:tcPr>
            <w:tcW w:w="0" w:type="auto"/>
          </w:tcPr>
          <w:p w14:paraId="156C7EAD" w14:textId="77777777" w:rsidR="00E90D27" w:rsidRPr="003F6572" w:rsidRDefault="00E90D27" w:rsidP="00976ADF">
            <w:pPr>
              <w:rPr>
                <w:sz w:val="24"/>
                <w:szCs w:val="24"/>
              </w:rPr>
            </w:pPr>
            <w:r w:rsidRPr="003F6572">
              <w:rPr>
                <w:sz w:val="24"/>
                <w:szCs w:val="24"/>
              </w:rPr>
              <w:t>ADEs employing all people with disability engaged in supported employment are paid an average Case Based Funding amount of $13,836 ($12.09 per hour)</w:t>
            </w:r>
          </w:p>
        </w:tc>
        <w:tc>
          <w:tcPr>
            <w:tcW w:w="0" w:type="auto"/>
            <w:vAlign w:val="center"/>
          </w:tcPr>
          <w:p w14:paraId="7E447382" w14:textId="77777777" w:rsidR="00E90D27" w:rsidRPr="003F6572" w:rsidRDefault="00E90D27" w:rsidP="00976ADF">
            <w:pPr>
              <w:rPr>
                <w:sz w:val="24"/>
                <w:szCs w:val="24"/>
              </w:rPr>
            </w:pPr>
            <w:r w:rsidRPr="003F6572">
              <w:rPr>
                <w:sz w:val="24"/>
                <w:szCs w:val="24"/>
              </w:rPr>
              <w:t>DSS Case Based Funding pricing tables 2019-20 and NDS data</w:t>
            </w:r>
          </w:p>
        </w:tc>
      </w:tr>
    </w:tbl>
    <w:p w14:paraId="4069F7F3" w14:textId="77777777" w:rsidR="00377F10" w:rsidRPr="003F6572" w:rsidRDefault="00377F10" w:rsidP="00377F10">
      <w:pPr>
        <w:rPr>
          <w:b/>
          <w:color w:val="002D62" w:themeColor="text2"/>
          <w:sz w:val="24"/>
          <w:szCs w:val="24"/>
        </w:rPr>
      </w:pPr>
    </w:p>
    <w:p w14:paraId="3C59F6A6" w14:textId="77777777" w:rsidR="00377F10" w:rsidRPr="006113AF" w:rsidRDefault="00377F10" w:rsidP="00377F10">
      <w:pPr>
        <w:rPr>
          <w:b/>
          <w:sz w:val="28"/>
          <w:szCs w:val="28"/>
        </w:rPr>
      </w:pPr>
      <w:r w:rsidRPr="006113AF">
        <w:rPr>
          <w:b/>
          <w:color w:val="002D62" w:themeColor="text2"/>
          <w:sz w:val="28"/>
          <w:szCs w:val="28"/>
        </w:rPr>
        <w:lastRenderedPageBreak/>
        <w:t>I</w:t>
      </w:r>
      <w:r w:rsidRPr="006113AF">
        <w:rPr>
          <w:b/>
          <w:sz w:val="28"/>
          <w:szCs w:val="28"/>
        </w:rPr>
        <w:t xml:space="preserve">mpact 10. How many </w:t>
      </w:r>
      <w:r w:rsidR="00A14F01" w:rsidRPr="006113AF">
        <w:rPr>
          <w:b/>
          <w:sz w:val="28"/>
          <w:szCs w:val="28"/>
        </w:rPr>
        <w:t>Ticket to Work</w:t>
      </w:r>
      <w:r w:rsidRPr="006113AF">
        <w:rPr>
          <w:b/>
          <w:sz w:val="28"/>
          <w:szCs w:val="28"/>
        </w:rPr>
        <w:t xml:space="preserve"> participants experienced those outcomes, compared to what we would expect to see in a comparable group?</w:t>
      </w:r>
    </w:p>
    <w:p w14:paraId="6258222F" w14:textId="77777777" w:rsidR="006400F6" w:rsidRPr="003F6572" w:rsidRDefault="00846E4D" w:rsidP="00846E4D">
      <w:pPr>
        <w:pStyle w:val="NoSpacing"/>
        <w:rPr>
          <w:sz w:val="24"/>
          <w:szCs w:val="24"/>
        </w:rPr>
      </w:pPr>
      <w:r w:rsidRPr="003F6572">
        <w:rPr>
          <w:sz w:val="24"/>
          <w:szCs w:val="24"/>
        </w:rPr>
        <w:t>These grants are only paid where a person is in supported employment. There are about</w:t>
      </w:r>
      <w:r w:rsidR="00465A4E" w:rsidRPr="003F6572">
        <w:rPr>
          <w:sz w:val="24"/>
          <w:szCs w:val="24"/>
        </w:rPr>
        <w:t xml:space="preserve"> 280 fewer people in supported employment in the ‘Ticket to Work’ scenario, compared to business as usual. </w:t>
      </w:r>
    </w:p>
    <w:p w14:paraId="6A2443C8" w14:textId="77777777" w:rsidR="008D1153" w:rsidRPr="003F6572" w:rsidRDefault="008D1153" w:rsidP="008D1153">
      <w:pPr>
        <w:pStyle w:val="NoSpacing"/>
        <w:spacing w:after="120" w:line="240" w:lineRule="auto"/>
        <w:rPr>
          <w:sz w:val="24"/>
          <w:szCs w:val="24"/>
        </w:rPr>
      </w:pPr>
      <w:r w:rsidRPr="003F6572">
        <w:rPr>
          <w:sz w:val="24"/>
          <w:szCs w:val="24"/>
        </w:rPr>
        <w:t>People in supported employment</w:t>
      </w:r>
    </w:p>
    <w:p w14:paraId="0C494047" w14:textId="77777777" w:rsidR="008D1153" w:rsidRPr="006113AF" w:rsidRDefault="008D1153" w:rsidP="006113AF">
      <w:pPr>
        <w:pStyle w:val="ListParagraph"/>
        <w:numPr>
          <w:ilvl w:val="1"/>
          <w:numId w:val="33"/>
        </w:numPr>
        <w:spacing w:after="120" w:line="240" w:lineRule="auto"/>
        <w:ind w:left="360"/>
        <w:rPr>
          <w:rFonts w:ascii="Arial" w:hAnsi="Arial" w:cs="Arial"/>
          <w:sz w:val="24"/>
          <w:szCs w:val="24"/>
        </w:rPr>
      </w:pPr>
      <w:r w:rsidRPr="006113AF">
        <w:rPr>
          <w:rFonts w:ascii="Arial" w:hAnsi="Arial" w:cs="Arial"/>
          <w:sz w:val="24"/>
          <w:szCs w:val="24"/>
        </w:rPr>
        <w:t>Business as usual 531</w:t>
      </w:r>
    </w:p>
    <w:p w14:paraId="7133977E" w14:textId="77777777" w:rsidR="003F6572" w:rsidRPr="006113AF" w:rsidRDefault="008D1153" w:rsidP="006113AF">
      <w:pPr>
        <w:pStyle w:val="ListParagraph"/>
        <w:numPr>
          <w:ilvl w:val="1"/>
          <w:numId w:val="33"/>
        </w:numPr>
        <w:spacing w:after="120" w:line="240" w:lineRule="auto"/>
        <w:ind w:left="360"/>
        <w:rPr>
          <w:rFonts w:ascii="Arial" w:hAnsi="Arial" w:cs="Arial"/>
          <w:sz w:val="24"/>
          <w:szCs w:val="24"/>
        </w:rPr>
      </w:pPr>
      <w:r w:rsidRPr="006113AF">
        <w:rPr>
          <w:rFonts w:ascii="Arial" w:hAnsi="Arial" w:cs="Arial"/>
          <w:sz w:val="24"/>
          <w:szCs w:val="24"/>
        </w:rPr>
        <w:t>Ticket to Work 213</w:t>
      </w:r>
    </w:p>
    <w:p w14:paraId="6347A359" w14:textId="77777777" w:rsidR="008D1153" w:rsidRPr="003F6572" w:rsidRDefault="008D1153" w:rsidP="003F6572">
      <w:pPr>
        <w:rPr>
          <w:rFonts w:cs="Arial"/>
          <w:sz w:val="24"/>
          <w:szCs w:val="24"/>
        </w:rPr>
      </w:pPr>
    </w:p>
    <w:p w14:paraId="4E5280CC" w14:textId="77777777" w:rsidR="00377F10" w:rsidRPr="006113AF" w:rsidRDefault="00377F10" w:rsidP="00377F10">
      <w:pPr>
        <w:rPr>
          <w:sz w:val="28"/>
          <w:szCs w:val="28"/>
        </w:rPr>
      </w:pPr>
      <w:r w:rsidRPr="006113AF">
        <w:rPr>
          <w:b/>
          <w:sz w:val="28"/>
          <w:szCs w:val="28"/>
        </w:rPr>
        <w:t>Impact 10. Calculate the additional benefit generated by Ticket to Work</w:t>
      </w:r>
    </w:p>
    <w:p w14:paraId="4E23E86D" w14:textId="77777777" w:rsidR="00651A65" w:rsidRPr="003F6572" w:rsidRDefault="003C3FC0" w:rsidP="00BE7BE7">
      <w:pPr>
        <w:rPr>
          <w:sz w:val="24"/>
          <w:szCs w:val="24"/>
        </w:rPr>
      </w:pPr>
      <w:r w:rsidRPr="003F6572">
        <w:rPr>
          <w:sz w:val="24"/>
          <w:szCs w:val="24"/>
        </w:rPr>
        <w:t>As a result of the significant reduction in the number of people in supported employment, there is a</w:t>
      </w:r>
      <w:r w:rsidR="005C47A5" w:rsidRPr="003F6572">
        <w:rPr>
          <w:sz w:val="24"/>
          <w:szCs w:val="24"/>
        </w:rPr>
        <w:t>n average reduction in Disability Employment Assistance grants of $2,300 per participant over the three</w:t>
      </w:r>
      <w:r w:rsidR="00AA0E5D" w:rsidRPr="003F6572">
        <w:rPr>
          <w:sz w:val="24"/>
          <w:szCs w:val="24"/>
        </w:rPr>
        <w:t>-</w:t>
      </w:r>
      <w:r w:rsidR="005C47A5" w:rsidRPr="003F6572">
        <w:rPr>
          <w:sz w:val="24"/>
          <w:szCs w:val="24"/>
        </w:rPr>
        <w:t xml:space="preserve">year impact period. </w:t>
      </w:r>
    </w:p>
    <w:p w14:paraId="52988107" w14:textId="77777777" w:rsidR="008D1153" w:rsidRPr="003F6572" w:rsidRDefault="008D1153" w:rsidP="008D1153">
      <w:pPr>
        <w:spacing w:after="120" w:line="240" w:lineRule="auto"/>
        <w:rPr>
          <w:rFonts w:cs="Arial"/>
          <w:b/>
          <w:sz w:val="24"/>
          <w:szCs w:val="24"/>
        </w:rPr>
      </w:pPr>
      <w:r w:rsidRPr="003F6572">
        <w:rPr>
          <w:b/>
          <w:sz w:val="24"/>
          <w:szCs w:val="24"/>
        </w:rPr>
        <w:t>Increase in Disability Employment Assistance Case Based Funding over three years</w:t>
      </w:r>
      <w:r w:rsidRPr="003F6572">
        <w:rPr>
          <w:rFonts w:cs="Arial"/>
          <w:b/>
          <w:sz w:val="24"/>
          <w:szCs w:val="24"/>
        </w:rPr>
        <w:t xml:space="preserve"> </w:t>
      </w:r>
    </w:p>
    <w:p w14:paraId="3F9AC4CE" w14:textId="77777777" w:rsidR="008D1153" w:rsidRPr="003F6572" w:rsidRDefault="008D1153" w:rsidP="008D1153">
      <w:pPr>
        <w:spacing w:after="120" w:line="240" w:lineRule="auto"/>
        <w:rPr>
          <w:rFonts w:cs="Arial"/>
          <w:sz w:val="24"/>
          <w:szCs w:val="24"/>
        </w:rPr>
      </w:pPr>
      <w:r w:rsidRPr="003F6572">
        <w:rPr>
          <w:rFonts w:cs="Arial"/>
          <w:sz w:val="24"/>
          <w:szCs w:val="24"/>
        </w:rPr>
        <w:t>Business as usual</w:t>
      </w:r>
    </w:p>
    <w:p w14:paraId="2F7CF5D1" w14:textId="77777777" w:rsidR="008D1153" w:rsidRPr="006113AF" w:rsidRDefault="008D1153" w:rsidP="003F6572">
      <w:pPr>
        <w:pStyle w:val="ListParagraph"/>
        <w:numPr>
          <w:ilvl w:val="1"/>
          <w:numId w:val="33"/>
        </w:numPr>
        <w:spacing w:after="120" w:line="240" w:lineRule="auto"/>
        <w:ind w:left="360"/>
        <w:rPr>
          <w:rFonts w:ascii="Arial" w:hAnsi="Arial" w:cs="Arial"/>
          <w:sz w:val="24"/>
          <w:szCs w:val="24"/>
        </w:rPr>
      </w:pPr>
      <w:r w:rsidRPr="006113AF">
        <w:rPr>
          <w:rFonts w:ascii="Arial" w:hAnsi="Arial" w:cs="Arial"/>
          <w:sz w:val="24"/>
          <w:szCs w:val="24"/>
        </w:rPr>
        <w:t>Entire cohort $22m</w:t>
      </w:r>
    </w:p>
    <w:p w14:paraId="67EF2ABD" w14:textId="77777777" w:rsidR="008D1153" w:rsidRPr="006113AF" w:rsidRDefault="008D1153" w:rsidP="003F6572">
      <w:pPr>
        <w:pStyle w:val="ListParagraph"/>
        <w:numPr>
          <w:ilvl w:val="1"/>
          <w:numId w:val="33"/>
        </w:numPr>
        <w:spacing w:after="120" w:line="240" w:lineRule="auto"/>
        <w:ind w:left="360"/>
        <w:rPr>
          <w:rFonts w:ascii="Arial" w:eastAsiaTheme="minorHAnsi" w:hAnsi="Arial" w:cs="Arial"/>
          <w:sz w:val="24"/>
          <w:szCs w:val="24"/>
          <w:lang w:eastAsia="en-US"/>
        </w:rPr>
      </w:pPr>
      <w:r w:rsidRPr="006113AF">
        <w:rPr>
          <w:rFonts w:ascii="Arial" w:hAnsi="Arial" w:cs="Arial"/>
          <w:sz w:val="24"/>
          <w:szCs w:val="24"/>
        </w:rPr>
        <w:t>Average per participant $6,800</w:t>
      </w:r>
    </w:p>
    <w:p w14:paraId="5D47905E" w14:textId="77777777" w:rsidR="008D1153" w:rsidRPr="003F6572" w:rsidRDefault="008D1153" w:rsidP="008D1153">
      <w:pPr>
        <w:spacing w:after="120" w:line="240" w:lineRule="auto"/>
        <w:rPr>
          <w:rFonts w:cs="Arial"/>
          <w:sz w:val="24"/>
          <w:szCs w:val="24"/>
        </w:rPr>
      </w:pPr>
      <w:r w:rsidRPr="003F6572">
        <w:rPr>
          <w:rFonts w:cs="Arial"/>
          <w:sz w:val="24"/>
          <w:szCs w:val="24"/>
        </w:rPr>
        <w:t>Ticket to Work</w:t>
      </w:r>
    </w:p>
    <w:p w14:paraId="1D7A3BB8" w14:textId="77777777" w:rsidR="008D1153" w:rsidRPr="006113AF" w:rsidRDefault="008D1153" w:rsidP="003F6572">
      <w:pPr>
        <w:pStyle w:val="ListParagraph"/>
        <w:numPr>
          <w:ilvl w:val="1"/>
          <w:numId w:val="33"/>
        </w:numPr>
        <w:spacing w:after="120" w:line="240" w:lineRule="auto"/>
        <w:ind w:left="360"/>
        <w:rPr>
          <w:rFonts w:ascii="Arial" w:hAnsi="Arial" w:cs="Arial"/>
          <w:sz w:val="24"/>
          <w:szCs w:val="24"/>
        </w:rPr>
      </w:pPr>
      <w:r w:rsidRPr="006113AF">
        <w:rPr>
          <w:rFonts w:ascii="Arial" w:hAnsi="Arial" w:cs="Arial"/>
          <w:sz w:val="24"/>
          <w:szCs w:val="24"/>
        </w:rPr>
        <w:t>Entire cohort $8.8m</w:t>
      </w:r>
    </w:p>
    <w:p w14:paraId="7551C5F3" w14:textId="77777777" w:rsidR="008D1153" w:rsidRPr="006113AF" w:rsidRDefault="008D1153" w:rsidP="003F6572">
      <w:pPr>
        <w:pStyle w:val="ListParagraph"/>
        <w:numPr>
          <w:ilvl w:val="1"/>
          <w:numId w:val="33"/>
        </w:numPr>
        <w:spacing w:after="120" w:line="240" w:lineRule="auto"/>
        <w:ind w:left="360"/>
        <w:rPr>
          <w:rFonts w:ascii="Arial" w:eastAsiaTheme="minorHAnsi" w:hAnsi="Arial" w:cs="Arial"/>
          <w:sz w:val="24"/>
          <w:szCs w:val="24"/>
          <w:lang w:eastAsia="en-US"/>
        </w:rPr>
      </w:pPr>
      <w:r w:rsidRPr="006113AF">
        <w:rPr>
          <w:rFonts w:ascii="Arial" w:hAnsi="Arial" w:cs="Arial"/>
          <w:sz w:val="24"/>
          <w:szCs w:val="24"/>
        </w:rPr>
        <w:t>Average per participant $2,700</w:t>
      </w:r>
    </w:p>
    <w:p w14:paraId="5D23FFC0" w14:textId="77777777" w:rsidR="008D1153" w:rsidRPr="006113AF" w:rsidRDefault="008D1153" w:rsidP="008D1153">
      <w:pPr>
        <w:spacing w:after="120" w:line="240" w:lineRule="auto"/>
        <w:rPr>
          <w:rFonts w:cs="Arial"/>
          <w:sz w:val="24"/>
          <w:szCs w:val="24"/>
        </w:rPr>
      </w:pPr>
      <w:r w:rsidRPr="006113AF">
        <w:rPr>
          <w:rFonts w:cs="Arial"/>
          <w:sz w:val="24"/>
          <w:szCs w:val="24"/>
        </w:rPr>
        <w:t>Difference</w:t>
      </w:r>
    </w:p>
    <w:p w14:paraId="491747FC" w14:textId="77777777" w:rsidR="008D1153" w:rsidRPr="006113AF" w:rsidRDefault="008D1153" w:rsidP="003F6572">
      <w:pPr>
        <w:pStyle w:val="ListParagraph"/>
        <w:numPr>
          <w:ilvl w:val="1"/>
          <w:numId w:val="33"/>
        </w:numPr>
        <w:spacing w:after="120" w:line="240" w:lineRule="auto"/>
        <w:ind w:left="360"/>
        <w:rPr>
          <w:rFonts w:ascii="Arial" w:hAnsi="Arial" w:cs="Arial"/>
          <w:sz w:val="24"/>
          <w:szCs w:val="24"/>
        </w:rPr>
      </w:pPr>
      <w:r w:rsidRPr="006113AF">
        <w:rPr>
          <w:rFonts w:ascii="Arial" w:hAnsi="Arial" w:cs="Arial"/>
          <w:sz w:val="24"/>
          <w:szCs w:val="24"/>
        </w:rPr>
        <w:t>Entire cohort $13.2m</w:t>
      </w:r>
    </w:p>
    <w:p w14:paraId="1D316338" w14:textId="77777777" w:rsidR="003F6572" w:rsidRPr="006113AF" w:rsidRDefault="008D1153" w:rsidP="003F6572">
      <w:pPr>
        <w:pStyle w:val="ListParagraph"/>
        <w:numPr>
          <w:ilvl w:val="1"/>
          <w:numId w:val="33"/>
        </w:numPr>
        <w:spacing w:after="120" w:line="240" w:lineRule="auto"/>
        <w:ind w:left="360"/>
        <w:rPr>
          <w:rFonts w:ascii="Arial" w:eastAsiaTheme="minorHAnsi" w:hAnsi="Arial" w:cs="Arial"/>
          <w:sz w:val="24"/>
          <w:szCs w:val="24"/>
          <w:lang w:eastAsia="en-US"/>
        </w:rPr>
      </w:pPr>
      <w:r w:rsidRPr="006113AF">
        <w:rPr>
          <w:rFonts w:ascii="Arial" w:hAnsi="Arial" w:cs="Arial"/>
          <w:sz w:val="24"/>
          <w:szCs w:val="24"/>
        </w:rPr>
        <w:t>Average per participant $4,100</w:t>
      </w:r>
    </w:p>
    <w:p w14:paraId="0AB81890" w14:textId="77777777" w:rsidR="00837C4A" w:rsidRDefault="00837C4A" w:rsidP="00837C4A"/>
    <w:p w14:paraId="53930F26" w14:textId="77777777" w:rsidR="006E06A7" w:rsidRPr="006113AF" w:rsidRDefault="001A2644" w:rsidP="006113AF">
      <w:pPr>
        <w:pStyle w:val="Heading4"/>
      </w:pPr>
      <w:r w:rsidRPr="006113AF">
        <w:t>Sensitivity testing</w:t>
      </w:r>
    </w:p>
    <w:p w14:paraId="4BB8FF8B" w14:textId="77777777" w:rsidR="001A2644" w:rsidRPr="003F6572" w:rsidRDefault="001A2644" w:rsidP="001A2644">
      <w:pPr>
        <w:pStyle w:val="NoSpacing"/>
        <w:rPr>
          <w:sz w:val="24"/>
          <w:szCs w:val="24"/>
        </w:rPr>
      </w:pPr>
      <w:r w:rsidRPr="003F6572">
        <w:rPr>
          <w:sz w:val="24"/>
          <w:szCs w:val="24"/>
        </w:rPr>
        <w:t xml:space="preserve">The following table outlines </w:t>
      </w:r>
      <w:r w:rsidR="003E1487" w:rsidRPr="003F6572">
        <w:rPr>
          <w:sz w:val="24"/>
          <w:szCs w:val="24"/>
        </w:rPr>
        <w:t>five sensitivity tests of core underlying assumptions</w:t>
      </w:r>
    </w:p>
    <w:p w14:paraId="13305010" w14:textId="77777777" w:rsidR="00423EE5" w:rsidRPr="003F6572" w:rsidRDefault="00423EE5" w:rsidP="001A2644">
      <w:pPr>
        <w:pStyle w:val="NoSpacing"/>
        <w:rPr>
          <w:sz w:val="24"/>
          <w:szCs w:val="24"/>
        </w:rPr>
      </w:pPr>
      <w:r w:rsidRPr="003F6572">
        <w:rPr>
          <w:sz w:val="24"/>
          <w:szCs w:val="24"/>
        </w:rPr>
        <w:t>Table 4 Sensitivity testing</w:t>
      </w:r>
    </w:p>
    <w:tbl>
      <w:tblPr>
        <w:tblStyle w:val="TableGrid"/>
        <w:tblW w:w="0" w:type="auto"/>
        <w:tblLook w:val="04A0" w:firstRow="1" w:lastRow="0" w:firstColumn="1" w:lastColumn="0" w:noHBand="0" w:noVBand="1"/>
        <w:tblDescription w:val="base case: new valuation $27,100. Sensitivity test 1: NDIS plans: Rationale- NDIS was only partially rolled out during survey in 2018, so some participants who would be eligable might not have had a plan at time of survey. base assumption: 56% of participants have NDIS plan. New assumption 80% of participants have NDIS plan. New valuation $28,800 and change from base case $1700. Sensitivity test 2: NDIS usage. Rationale is rates are based on estimate of impact of NDIS usage. Base assumption 50% reduction in NDIS group supports for each hour of work, 30% reduction in individual supports if go out as much as wanted. New assumption 10% reduction in NDIS group supports for each hour of work, 10% reduction in individual supports if go out as much as wanted. New valuation $23,900. Change from base case $3200.  Sensitivity test 3, 10 year impace. Rationale there is evidence that early invention has long term impacts on employment. Discount and drop iff added to relfect longer time period. Base assumption 3 year impact period. New assumption 10 year impact period, 6.5% soical discount rate, 10% annual drop-off. New valuation $50,000. Change from base case $22,900. "/>
      </w:tblPr>
      <w:tblGrid>
        <w:gridCol w:w="1481"/>
        <w:gridCol w:w="1862"/>
        <w:gridCol w:w="1684"/>
        <w:gridCol w:w="1684"/>
        <w:gridCol w:w="1188"/>
        <w:gridCol w:w="1117"/>
      </w:tblGrid>
      <w:tr w:rsidR="00423EE5" w:rsidRPr="003F6572" w14:paraId="4AF5E7C4" w14:textId="77777777" w:rsidTr="006C4FFC">
        <w:trPr>
          <w:tblHeader/>
        </w:trPr>
        <w:tc>
          <w:tcPr>
            <w:tcW w:w="0" w:type="auto"/>
            <w:shd w:val="clear" w:color="auto" w:fill="7F7F7F" w:themeFill="text1" w:themeFillTint="80"/>
          </w:tcPr>
          <w:p w14:paraId="3F7C441D" w14:textId="77777777" w:rsidR="00423EE5" w:rsidRPr="003F6572" w:rsidRDefault="00423EE5" w:rsidP="00976ADF">
            <w:pPr>
              <w:rPr>
                <w:sz w:val="24"/>
                <w:szCs w:val="24"/>
              </w:rPr>
            </w:pPr>
          </w:p>
        </w:tc>
        <w:tc>
          <w:tcPr>
            <w:tcW w:w="0" w:type="auto"/>
            <w:shd w:val="clear" w:color="auto" w:fill="7F7F7F" w:themeFill="text1" w:themeFillTint="80"/>
          </w:tcPr>
          <w:p w14:paraId="1D4DDF42" w14:textId="77777777" w:rsidR="00423EE5" w:rsidRPr="003F6572" w:rsidRDefault="00423EE5" w:rsidP="00976ADF">
            <w:pPr>
              <w:rPr>
                <w:color w:val="FFFFFF" w:themeColor="background1"/>
                <w:sz w:val="24"/>
                <w:szCs w:val="24"/>
              </w:rPr>
            </w:pPr>
            <w:r w:rsidRPr="003F6572">
              <w:rPr>
                <w:color w:val="FFFFFF" w:themeColor="background1"/>
                <w:sz w:val="24"/>
                <w:szCs w:val="24"/>
              </w:rPr>
              <w:t xml:space="preserve">Rationale </w:t>
            </w:r>
          </w:p>
        </w:tc>
        <w:tc>
          <w:tcPr>
            <w:tcW w:w="0" w:type="auto"/>
            <w:shd w:val="clear" w:color="auto" w:fill="7F7F7F" w:themeFill="text1" w:themeFillTint="80"/>
          </w:tcPr>
          <w:p w14:paraId="4F7AAED5" w14:textId="77777777" w:rsidR="00423EE5" w:rsidRPr="003F6572" w:rsidRDefault="00423EE5" w:rsidP="00976ADF">
            <w:pPr>
              <w:rPr>
                <w:color w:val="FFFFFF" w:themeColor="background1"/>
                <w:sz w:val="24"/>
                <w:szCs w:val="24"/>
              </w:rPr>
            </w:pPr>
            <w:r w:rsidRPr="003F6572">
              <w:rPr>
                <w:color w:val="FFFFFF" w:themeColor="background1"/>
                <w:sz w:val="24"/>
                <w:szCs w:val="24"/>
              </w:rPr>
              <w:t>Base assumption</w:t>
            </w:r>
          </w:p>
        </w:tc>
        <w:tc>
          <w:tcPr>
            <w:tcW w:w="0" w:type="auto"/>
            <w:shd w:val="clear" w:color="auto" w:fill="7F7F7F" w:themeFill="text1" w:themeFillTint="80"/>
          </w:tcPr>
          <w:p w14:paraId="309202A3" w14:textId="77777777" w:rsidR="00423EE5" w:rsidRPr="003F6572" w:rsidRDefault="00423EE5" w:rsidP="00976ADF">
            <w:pPr>
              <w:rPr>
                <w:color w:val="FFFFFF" w:themeColor="background1"/>
                <w:sz w:val="24"/>
                <w:szCs w:val="24"/>
              </w:rPr>
            </w:pPr>
            <w:r w:rsidRPr="003F6572">
              <w:rPr>
                <w:color w:val="FFFFFF" w:themeColor="background1"/>
                <w:sz w:val="24"/>
                <w:szCs w:val="24"/>
              </w:rPr>
              <w:t>New assumption</w:t>
            </w:r>
          </w:p>
        </w:tc>
        <w:tc>
          <w:tcPr>
            <w:tcW w:w="0" w:type="auto"/>
            <w:shd w:val="clear" w:color="auto" w:fill="7F7F7F" w:themeFill="text1" w:themeFillTint="80"/>
          </w:tcPr>
          <w:p w14:paraId="6C7BF836" w14:textId="77777777" w:rsidR="00423EE5" w:rsidRPr="003F6572" w:rsidRDefault="00423EE5" w:rsidP="00976ADF">
            <w:pPr>
              <w:rPr>
                <w:color w:val="FFFFFF" w:themeColor="background1"/>
                <w:sz w:val="24"/>
                <w:szCs w:val="24"/>
              </w:rPr>
            </w:pPr>
            <w:r w:rsidRPr="003F6572">
              <w:rPr>
                <w:color w:val="FFFFFF" w:themeColor="background1"/>
                <w:sz w:val="24"/>
                <w:szCs w:val="24"/>
              </w:rPr>
              <w:t xml:space="preserve">New valuation </w:t>
            </w:r>
          </w:p>
        </w:tc>
        <w:tc>
          <w:tcPr>
            <w:tcW w:w="0" w:type="auto"/>
            <w:shd w:val="clear" w:color="auto" w:fill="7F7F7F" w:themeFill="text1" w:themeFillTint="80"/>
          </w:tcPr>
          <w:p w14:paraId="6AEE1704" w14:textId="77777777" w:rsidR="00423EE5" w:rsidRPr="003F6572" w:rsidRDefault="00423EE5" w:rsidP="00976ADF">
            <w:pPr>
              <w:rPr>
                <w:color w:val="FFFFFF" w:themeColor="background1"/>
                <w:sz w:val="24"/>
                <w:szCs w:val="24"/>
              </w:rPr>
            </w:pPr>
            <w:r w:rsidRPr="003F6572">
              <w:rPr>
                <w:color w:val="FFFFFF" w:themeColor="background1"/>
                <w:sz w:val="24"/>
                <w:szCs w:val="24"/>
              </w:rPr>
              <w:t>Change from base case</w:t>
            </w:r>
          </w:p>
        </w:tc>
      </w:tr>
      <w:tr w:rsidR="00423EE5" w:rsidRPr="003F6572" w14:paraId="4E623249" w14:textId="77777777" w:rsidTr="006C4FFC">
        <w:trPr>
          <w:tblHeader/>
        </w:trPr>
        <w:tc>
          <w:tcPr>
            <w:tcW w:w="0" w:type="auto"/>
          </w:tcPr>
          <w:p w14:paraId="56C93905" w14:textId="77777777" w:rsidR="00423EE5" w:rsidRPr="003F6572" w:rsidRDefault="00423EE5" w:rsidP="00976ADF">
            <w:pPr>
              <w:rPr>
                <w:b/>
                <w:sz w:val="24"/>
                <w:szCs w:val="24"/>
              </w:rPr>
            </w:pPr>
            <w:r w:rsidRPr="003F6572">
              <w:rPr>
                <w:b/>
                <w:sz w:val="24"/>
                <w:szCs w:val="24"/>
              </w:rPr>
              <w:t>Base case</w:t>
            </w:r>
          </w:p>
        </w:tc>
        <w:tc>
          <w:tcPr>
            <w:tcW w:w="0" w:type="auto"/>
          </w:tcPr>
          <w:p w14:paraId="009D6776" w14:textId="77777777" w:rsidR="00423EE5" w:rsidRPr="003F6572" w:rsidRDefault="00423EE5" w:rsidP="00976ADF">
            <w:pPr>
              <w:rPr>
                <w:sz w:val="24"/>
                <w:szCs w:val="24"/>
              </w:rPr>
            </w:pPr>
          </w:p>
        </w:tc>
        <w:tc>
          <w:tcPr>
            <w:tcW w:w="0" w:type="auto"/>
          </w:tcPr>
          <w:p w14:paraId="3196C9E6" w14:textId="77777777" w:rsidR="00423EE5" w:rsidRPr="003F6572" w:rsidRDefault="00423EE5" w:rsidP="00976ADF">
            <w:pPr>
              <w:rPr>
                <w:sz w:val="24"/>
                <w:szCs w:val="24"/>
              </w:rPr>
            </w:pPr>
          </w:p>
        </w:tc>
        <w:tc>
          <w:tcPr>
            <w:tcW w:w="0" w:type="auto"/>
          </w:tcPr>
          <w:p w14:paraId="00CC4098" w14:textId="77777777" w:rsidR="00423EE5" w:rsidRPr="003F6572" w:rsidRDefault="00423EE5" w:rsidP="00976ADF">
            <w:pPr>
              <w:rPr>
                <w:sz w:val="24"/>
                <w:szCs w:val="24"/>
              </w:rPr>
            </w:pPr>
          </w:p>
        </w:tc>
        <w:tc>
          <w:tcPr>
            <w:tcW w:w="0" w:type="auto"/>
          </w:tcPr>
          <w:p w14:paraId="36D6C380" w14:textId="77777777" w:rsidR="00423EE5" w:rsidRPr="003F6572" w:rsidRDefault="00423EE5" w:rsidP="00976ADF">
            <w:pPr>
              <w:rPr>
                <w:sz w:val="24"/>
                <w:szCs w:val="24"/>
              </w:rPr>
            </w:pPr>
            <w:r w:rsidRPr="003F6572">
              <w:rPr>
                <w:sz w:val="24"/>
                <w:szCs w:val="24"/>
              </w:rPr>
              <w:t>$27,100</w:t>
            </w:r>
          </w:p>
        </w:tc>
        <w:tc>
          <w:tcPr>
            <w:tcW w:w="0" w:type="auto"/>
          </w:tcPr>
          <w:p w14:paraId="6816D124" w14:textId="77777777" w:rsidR="00423EE5" w:rsidRPr="003F6572" w:rsidRDefault="00423EE5" w:rsidP="00976ADF">
            <w:pPr>
              <w:rPr>
                <w:sz w:val="24"/>
                <w:szCs w:val="24"/>
              </w:rPr>
            </w:pPr>
          </w:p>
        </w:tc>
      </w:tr>
      <w:tr w:rsidR="00423EE5" w:rsidRPr="003F6572" w14:paraId="183FB726" w14:textId="77777777" w:rsidTr="006C4FFC">
        <w:trPr>
          <w:tblHeader/>
        </w:trPr>
        <w:tc>
          <w:tcPr>
            <w:tcW w:w="0" w:type="auto"/>
          </w:tcPr>
          <w:p w14:paraId="282FFD0D" w14:textId="77777777" w:rsidR="00423EE5" w:rsidRPr="003F6572" w:rsidRDefault="00423EE5" w:rsidP="00976ADF">
            <w:pPr>
              <w:rPr>
                <w:b/>
                <w:sz w:val="24"/>
                <w:szCs w:val="24"/>
              </w:rPr>
            </w:pPr>
            <w:r w:rsidRPr="003F6572">
              <w:rPr>
                <w:b/>
                <w:sz w:val="24"/>
                <w:szCs w:val="24"/>
              </w:rPr>
              <w:t>Sensitivity test 1: NDIS plans</w:t>
            </w:r>
          </w:p>
        </w:tc>
        <w:tc>
          <w:tcPr>
            <w:tcW w:w="0" w:type="auto"/>
          </w:tcPr>
          <w:p w14:paraId="540BB017" w14:textId="77777777" w:rsidR="00423EE5" w:rsidRPr="003F6572" w:rsidRDefault="00423EE5" w:rsidP="00976ADF">
            <w:pPr>
              <w:rPr>
                <w:sz w:val="24"/>
                <w:szCs w:val="24"/>
              </w:rPr>
            </w:pPr>
            <w:r w:rsidRPr="003F6572">
              <w:rPr>
                <w:sz w:val="24"/>
                <w:szCs w:val="24"/>
              </w:rPr>
              <w:t>NDIS was only partially rolled out during survey in 2018, so some participants who would be eligible might not have had a plan at time of survey</w:t>
            </w:r>
          </w:p>
        </w:tc>
        <w:tc>
          <w:tcPr>
            <w:tcW w:w="0" w:type="auto"/>
          </w:tcPr>
          <w:p w14:paraId="5F6F506C" w14:textId="77777777" w:rsidR="00423EE5" w:rsidRPr="003F6572" w:rsidRDefault="00423EE5" w:rsidP="00976ADF">
            <w:pPr>
              <w:rPr>
                <w:sz w:val="24"/>
                <w:szCs w:val="24"/>
              </w:rPr>
            </w:pPr>
            <w:r w:rsidRPr="003F6572">
              <w:rPr>
                <w:sz w:val="24"/>
                <w:szCs w:val="24"/>
              </w:rPr>
              <w:t>56% of participants have NDIS plan</w:t>
            </w:r>
          </w:p>
        </w:tc>
        <w:tc>
          <w:tcPr>
            <w:tcW w:w="0" w:type="auto"/>
          </w:tcPr>
          <w:p w14:paraId="4C6D38EB" w14:textId="77777777" w:rsidR="00423EE5" w:rsidRPr="003F6572" w:rsidRDefault="00423EE5" w:rsidP="00976ADF">
            <w:pPr>
              <w:rPr>
                <w:sz w:val="24"/>
                <w:szCs w:val="24"/>
              </w:rPr>
            </w:pPr>
            <w:r w:rsidRPr="003F6572">
              <w:rPr>
                <w:sz w:val="24"/>
                <w:szCs w:val="24"/>
              </w:rPr>
              <w:t>80% of participants have NDIS plan</w:t>
            </w:r>
          </w:p>
        </w:tc>
        <w:tc>
          <w:tcPr>
            <w:tcW w:w="0" w:type="auto"/>
          </w:tcPr>
          <w:p w14:paraId="152D689D" w14:textId="77777777" w:rsidR="00423EE5" w:rsidRPr="003F6572" w:rsidRDefault="00423EE5" w:rsidP="00976ADF">
            <w:pPr>
              <w:rPr>
                <w:sz w:val="24"/>
                <w:szCs w:val="24"/>
              </w:rPr>
            </w:pPr>
            <w:r w:rsidRPr="003F6572">
              <w:rPr>
                <w:sz w:val="24"/>
                <w:szCs w:val="24"/>
              </w:rPr>
              <w:t>$28,800</w:t>
            </w:r>
          </w:p>
        </w:tc>
        <w:tc>
          <w:tcPr>
            <w:tcW w:w="0" w:type="auto"/>
          </w:tcPr>
          <w:p w14:paraId="0A130F54" w14:textId="77777777" w:rsidR="00423EE5" w:rsidRPr="003F6572" w:rsidRDefault="00423EE5" w:rsidP="00976ADF">
            <w:pPr>
              <w:rPr>
                <w:sz w:val="24"/>
                <w:szCs w:val="24"/>
              </w:rPr>
            </w:pPr>
            <w:r w:rsidRPr="003F6572">
              <w:rPr>
                <w:sz w:val="24"/>
                <w:szCs w:val="24"/>
              </w:rPr>
              <w:t>$1700</w:t>
            </w:r>
          </w:p>
        </w:tc>
      </w:tr>
      <w:tr w:rsidR="00423EE5" w:rsidRPr="003F6572" w14:paraId="50B6603E" w14:textId="77777777" w:rsidTr="006C4FFC">
        <w:trPr>
          <w:tblHeader/>
        </w:trPr>
        <w:tc>
          <w:tcPr>
            <w:tcW w:w="0" w:type="auto"/>
          </w:tcPr>
          <w:p w14:paraId="5F61F808" w14:textId="77777777" w:rsidR="00423EE5" w:rsidRPr="003F6572" w:rsidRDefault="00423EE5" w:rsidP="00976ADF">
            <w:pPr>
              <w:rPr>
                <w:b/>
                <w:sz w:val="24"/>
                <w:szCs w:val="24"/>
              </w:rPr>
            </w:pPr>
            <w:r w:rsidRPr="003F6572">
              <w:rPr>
                <w:b/>
                <w:sz w:val="24"/>
                <w:szCs w:val="24"/>
              </w:rPr>
              <w:t>Sensitivity test 2: NDIS usage</w:t>
            </w:r>
          </w:p>
        </w:tc>
        <w:tc>
          <w:tcPr>
            <w:tcW w:w="0" w:type="auto"/>
          </w:tcPr>
          <w:p w14:paraId="4C7532D5" w14:textId="77777777" w:rsidR="00423EE5" w:rsidRPr="003F6572" w:rsidRDefault="00423EE5" w:rsidP="00976ADF">
            <w:pPr>
              <w:rPr>
                <w:sz w:val="24"/>
                <w:szCs w:val="24"/>
              </w:rPr>
            </w:pPr>
            <w:r w:rsidRPr="003F6572">
              <w:rPr>
                <w:sz w:val="24"/>
                <w:szCs w:val="24"/>
              </w:rPr>
              <w:t>Rates are based on an estimate of impact on NDIS usage.</w:t>
            </w:r>
          </w:p>
        </w:tc>
        <w:tc>
          <w:tcPr>
            <w:tcW w:w="0" w:type="auto"/>
          </w:tcPr>
          <w:p w14:paraId="472BECBF" w14:textId="77777777" w:rsidR="00423EE5" w:rsidRPr="003F6572" w:rsidRDefault="00423EE5" w:rsidP="00976ADF">
            <w:pPr>
              <w:rPr>
                <w:sz w:val="24"/>
                <w:szCs w:val="24"/>
              </w:rPr>
            </w:pPr>
            <w:r w:rsidRPr="003F6572">
              <w:rPr>
                <w:sz w:val="24"/>
                <w:szCs w:val="24"/>
              </w:rPr>
              <w:t>50% reduction in NDIS group supports for each hour of work, 30% reduction in individual supports if go out as much as wanted</w:t>
            </w:r>
          </w:p>
        </w:tc>
        <w:tc>
          <w:tcPr>
            <w:tcW w:w="0" w:type="auto"/>
          </w:tcPr>
          <w:p w14:paraId="7B262D48" w14:textId="77777777" w:rsidR="00423EE5" w:rsidRPr="003F6572" w:rsidRDefault="00423EE5" w:rsidP="00976ADF">
            <w:pPr>
              <w:rPr>
                <w:sz w:val="24"/>
                <w:szCs w:val="24"/>
              </w:rPr>
            </w:pPr>
            <w:r w:rsidRPr="003F6572">
              <w:rPr>
                <w:sz w:val="24"/>
                <w:szCs w:val="24"/>
              </w:rPr>
              <w:t>10% reduction in NDIS group supports for each hour of work, 10% reduction in individual supports if go out as much as wanted</w:t>
            </w:r>
          </w:p>
        </w:tc>
        <w:tc>
          <w:tcPr>
            <w:tcW w:w="0" w:type="auto"/>
          </w:tcPr>
          <w:p w14:paraId="02A41174" w14:textId="77777777" w:rsidR="00423EE5" w:rsidRPr="003F6572" w:rsidRDefault="00423EE5" w:rsidP="00976ADF">
            <w:pPr>
              <w:rPr>
                <w:sz w:val="24"/>
                <w:szCs w:val="24"/>
              </w:rPr>
            </w:pPr>
            <w:r w:rsidRPr="003F6572">
              <w:rPr>
                <w:sz w:val="24"/>
                <w:szCs w:val="24"/>
              </w:rPr>
              <w:t>$23,900</w:t>
            </w:r>
          </w:p>
        </w:tc>
        <w:tc>
          <w:tcPr>
            <w:tcW w:w="0" w:type="auto"/>
          </w:tcPr>
          <w:p w14:paraId="6B3E5100" w14:textId="77777777" w:rsidR="00423EE5" w:rsidRPr="003F6572" w:rsidRDefault="00423EE5" w:rsidP="00976ADF">
            <w:pPr>
              <w:rPr>
                <w:sz w:val="24"/>
                <w:szCs w:val="24"/>
              </w:rPr>
            </w:pPr>
            <w:r w:rsidRPr="003F6572">
              <w:rPr>
                <w:sz w:val="24"/>
                <w:szCs w:val="24"/>
              </w:rPr>
              <w:t>($3200)</w:t>
            </w:r>
          </w:p>
        </w:tc>
      </w:tr>
      <w:tr w:rsidR="00423EE5" w:rsidRPr="003F6572" w14:paraId="0DF9828D" w14:textId="77777777" w:rsidTr="006C4FFC">
        <w:trPr>
          <w:tblHeader/>
        </w:trPr>
        <w:tc>
          <w:tcPr>
            <w:tcW w:w="0" w:type="auto"/>
          </w:tcPr>
          <w:p w14:paraId="7F970303" w14:textId="77777777" w:rsidR="00423EE5" w:rsidRPr="003F6572" w:rsidRDefault="00423EE5" w:rsidP="00976ADF">
            <w:pPr>
              <w:pStyle w:val="NoSpacing"/>
              <w:rPr>
                <w:b/>
                <w:sz w:val="24"/>
                <w:szCs w:val="24"/>
              </w:rPr>
            </w:pPr>
            <w:r w:rsidRPr="003F6572">
              <w:rPr>
                <w:b/>
                <w:sz w:val="24"/>
                <w:szCs w:val="24"/>
              </w:rPr>
              <w:t>Sensitivity test 3: 10 year impact period</w:t>
            </w:r>
          </w:p>
        </w:tc>
        <w:tc>
          <w:tcPr>
            <w:tcW w:w="0" w:type="auto"/>
          </w:tcPr>
          <w:p w14:paraId="5F5B77C9" w14:textId="77777777" w:rsidR="00423EE5" w:rsidRPr="003F6572" w:rsidRDefault="00423EE5" w:rsidP="00976ADF">
            <w:pPr>
              <w:rPr>
                <w:sz w:val="24"/>
                <w:szCs w:val="24"/>
              </w:rPr>
            </w:pPr>
            <w:r w:rsidRPr="003F6572">
              <w:rPr>
                <w:sz w:val="24"/>
                <w:szCs w:val="24"/>
              </w:rPr>
              <w:t>There is evidence that early intervention has long-term impacts on employment. Discount and drop-off added to reflect longer time period.</w:t>
            </w:r>
          </w:p>
        </w:tc>
        <w:tc>
          <w:tcPr>
            <w:tcW w:w="0" w:type="auto"/>
          </w:tcPr>
          <w:p w14:paraId="530F30DC" w14:textId="77777777" w:rsidR="00423EE5" w:rsidRPr="003F6572" w:rsidRDefault="00423EE5" w:rsidP="00976ADF">
            <w:pPr>
              <w:pStyle w:val="NoSpacing"/>
              <w:rPr>
                <w:sz w:val="24"/>
                <w:szCs w:val="24"/>
              </w:rPr>
            </w:pPr>
            <w:r w:rsidRPr="003F6572">
              <w:rPr>
                <w:sz w:val="24"/>
                <w:szCs w:val="24"/>
              </w:rPr>
              <w:t>3 year impact period</w:t>
            </w:r>
          </w:p>
        </w:tc>
        <w:tc>
          <w:tcPr>
            <w:tcW w:w="0" w:type="auto"/>
          </w:tcPr>
          <w:p w14:paraId="08D255C5" w14:textId="77777777" w:rsidR="00423EE5" w:rsidRPr="003F6572" w:rsidRDefault="00423EE5" w:rsidP="00976ADF">
            <w:pPr>
              <w:rPr>
                <w:sz w:val="24"/>
                <w:szCs w:val="24"/>
              </w:rPr>
            </w:pPr>
            <w:r w:rsidRPr="003F6572">
              <w:rPr>
                <w:sz w:val="24"/>
                <w:szCs w:val="24"/>
              </w:rPr>
              <w:t>10 year impact period, 6.5% social discount rate, 10% annual drop-off</w:t>
            </w:r>
          </w:p>
        </w:tc>
        <w:tc>
          <w:tcPr>
            <w:tcW w:w="0" w:type="auto"/>
          </w:tcPr>
          <w:p w14:paraId="083124FC" w14:textId="77777777" w:rsidR="00423EE5" w:rsidRPr="003F6572" w:rsidRDefault="00423EE5" w:rsidP="00976ADF">
            <w:pPr>
              <w:rPr>
                <w:sz w:val="24"/>
                <w:szCs w:val="24"/>
              </w:rPr>
            </w:pPr>
            <w:r w:rsidRPr="003F6572">
              <w:rPr>
                <w:sz w:val="24"/>
                <w:szCs w:val="24"/>
              </w:rPr>
              <w:t>$50,000</w:t>
            </w:r>
          </w:p>
        </w:tc>
        <w:tc>
          <w:tcPr>
            <w:tcW w:w="0" w:type="auto"/>
          </w:tcPr>
          <w:p w14:paraId="606496C9" w14:textId="77777777" w:rsidR="00423EE5" w:rsidRPr="003F6572" w:rsidRDefault="00423EE5" w:rsidP="00976ADF">
            <w:pPr>
              <w:rPr>
                <w:sz w:val="24"/>
                <w:szCs w:val="24"/>
              </w:rPr>
            </w:pPr>
            <w:r w:rsidRPr="003F6572">
              <w:rPr>
                <w:sz w:val="24"/>
                <w:szCs w:val="24"/>
              </w:rPr>
              <w:t>$22,900</w:t>
            </w:r>
          </w:p>
        </w:tc>
      </w:tr>
    </w:tbl>
    <w:p w14:paraId="3812136B" w14:textId="77777777" w:rsidR="001A2644" w:rsidRPr="003F6572" w:rsidRDefault="001A2644" w:rsidP="001A2644">
      <w:pPr>
        <w:pStyle w:val="NoSpacing"/>
        <w:rPr>
          <w:sz w:val="24"/>
          <w:szCs w:val="24"/>
        </w:rPr>
      </w:pPr>
    </w:p>
    <w:p w14:paraId="454C8FC4" w14:textId="77777777" w:rsidR="002C786C" w:rsidRPr="002C786C" w:rsidRDefault="002C786C" w:rsidP="002C786C">
      <w:pPr>
        <w:rPr>
          <w:b/>
          <w:sz w:val="28"/>
          <w:szCs w:val="24"/>
        </w:rPr>
      </w:pPr>
      <w:r w:rsidRPr="002C786C">
        <w:rPr>
          <w:rFonts w:cs="Arial"/>
          <w:b/>
          <w:color w:val="002D62"/>
          <w:sz w:val="28"/>
          <w:szCs w:val="24"/>
        </w:rPr>
        <w:t>Acknowledgements</w:t>
      </w:r>
    </w:p>
    <w:p w14:paraId="287FD28E" w14:textId="6D55A70A" w:rsidR="001A2644" w:rsidRPr="002C786C" w:rsidRDefault="002C786C" w:rsidP="006E06A7">
      <w:pPr>
        <w:rPr>
          <w:b/>
          <w:sz w:val="24"/>
          <w:szCs w:val="24"/>
        </w:rPr>
        <w:sectPr w:rsidR="001A2644" w:rsidRPr="002C786C" w:rsidSect="00B32C81">
          <w:pgSz w:w="11906" w:h="16838"/>
          <w:pgMar w:top="1440" w:right="1440" w:bottom="1440" w:left="1440" w:header="708" w:footer="283" w:gutter="0"/>
          <w:cols w:space="708"/>
          <w:docGrid w:linePitch="360"/>
        </w:sectPr>
      </w:pPr>
      <w:r w:rsidRPr="002C786C">
        <w:rPr>
          <w:sz w:val="24"/>
          <w:szCs w:val="24"/>
        </w:rPr>
        <w:t xml:space="preserve">Ticket to Work would like to thank all the young people that participated in the ARTD 2019 report that informed this paper. They would also like to acknowledge their supporters who share a common commitment to improving school to work transition for students with disability. These supporters include members of the Ticket to Work </w:t>
      </w:r>
      <w:r w:rsidRPr="002C786C">
        <w:rPr>
          <w:sz w:val="24"/>
          <w:szCs w:val="24"/>
        </w:rPr>
        <w:lastRenderedPageBreak/>
        <w:t>Network, Paul Ramsay Foundation, Gandel Philanthropy and Barr Family Foundation.</w:t>
      </w:r>
    </w:p>
    <w:p w14:paraId="5B5419DF" w14:textId="42EC6418" w:rsidR="00A81A43" w:rsidRPr="003F6572" w:rsidRDefault="00A81A43" w:rsidP="006113AF">
      <w:pPr>
        <w:pStyle w:val="Heading4"/>
      </w:pPr>
      <w:bookmarkStart w:id="20" w:name="_Toc20652512"/>
      <w:r w:rsidRPr="003F6572">
        <w:lastRenderedPageBreak/>
        <w:t>Bibliography</w:t>
      </w:r>
      <w:bookmarkEnd w:id="20"/>
    </w:p>
    <w:p w14:paraId="44715415" w14:textId="77777777" w:rsidR="00D52606" w:rsidRPr="003F6572" w:rsidRDefault="00D52606" w:rsidP="00C62536">
      <w:pPr>
        <w:pStyle w:val="Bibliography"/>
        <w:rPr>
          <w:rFonts w:cs="Arial"/>
          <w:sz w:val="24"/>
          <w:szCs w:val="24"/>
        </w:rPr>
      </w:pPr>
      <w:r w:rsidRPr="003F6572">
        <w:rPr>
          <w:rFonts w:cs="Arial"/>
          <w:sz w:val="24"/>
          <w:szCs w:val="24"/>
        </w:rPr>
        <w:t xml:space="preserve">Abelson, Peter and Dalton, Tim, </w:t>
      </w:r>
      <w:r w:rsidRPr="003F6572">
        <w:rPr>
          <w:rFonts w:cs="Arial"/>
          <w:i/>
          <w:sz w:val="24"/>
          <w:szCs w:val="24"/>
        </w:rPr>
        <w:t>Choosing the Social Discount Rate for Australia</w:t>
      </w:r>
      <w:r w:rsidRPr="003F6572">
        <w:rPr>
          <w:rFonts w:cs="Arial"/>
          <w:sz w:val="24"/>
          <w:szCs w:val="24"/>
        </w:rPr>
        <w:t xml:space="preserve"> (March 2018). Australian Economic Review, Vol. 51, Issue 1, pp. 52-67, 2018. Available at </w:t>
      </w:r>
      <w:hyperlink r:id="rId43" w:history="1">
        <w:r w:rsidRPr="00D97745">
          <w:rPr>
            <w:rStyle w:val="Hyperlink"/>
            <w:rFonts w:cs="Arial"/>
            <w:sz w:val="24"/>
            <w:szCs w:val="24"/>
          </w:rPr>
          <w:t>SSRN</w:t>
        </w:r>
      </w:hyperlink>
      <w:r w:rsidRPr="003F6572">
        <w:rPr>
          <w:rStyle w:val="Hyperlink"/>
          <w:sz w:val="24"/>
          <w:szCs w:val="24"/>
        </w:rPr>
        <w:t>or</w:t>
      </w:r>
      <w:r w:rsidRPr="003F6572">
        <w:rPr>
          <w:rStyle w:val="Hyperlink"/>
          <w:rFonts w:hint="eastAsia"/>
          <w:sz w:val="24"/>
          <w:szCs w:val="24"/>
        </w:rPr>
        <w:t> </w:t>
      </w:r>
      <w:hyperlink r:id="rId44" w:tgtFrame="_blank" w:history="1">
        <w:r w:rsidRPr="003F6572">
          <w:rPr>
            <w:rStyle w:val="Hyperlink"/>
            <w:sz w:val="24"/>
            <w:szCs w:val="24"/>
          </w:rPr>
          <w:t>http://dx.doi.org/10.1111/1467-8462.12254</w:t>
        </w:r>
      </w:hyperlink>
      <w:r w:rsidR="00CD7E0B" w:rsidRPr="003F6572">
        <w:rPr>
          <w:rFonts w:cs="Arial"/>
          <w:sz w:val="24"/>
          <w:szCs w:val="24"/>
        </w:rPr>
        <w:t xml:space="preserve"> </w:t>
      </w:r>
    </w:p>
    <w:p w14:paraId="4AB37BD3" w14:textId="77777777" w:rsidR="00E029A4" w:rsidRPr="003F6572" w:rsidRDefault="008B3C8E" w:rsidP="00C62536">
      <w:pPr>
        <w:pStyle w:val="Bibliography"/>
        <w:rPr>
          <w:rFonts w:cs="Arial"/>
          <w:sz w:val="24"/>
          <w:szCs w:val="24"/>
        </w:rPr>
      </w:pPr>
      <w:r w:rsidRPr="003F6572">
        <w:rPr>
          <w:rFonts w:cs="Arial"/>
          <w:sz w:val="24"/>
          <w:szCs w:val="24"/>
        </w:rPr>
        <w:t xml:space="preserve">ABS 2016 4431.0.55.003 - </w:t>
      </w:r>
      <w:r w:rsidRPr="003F6572">
        <w:rPr>
          <w:rFonts w:cs="Arial"/>
          <w:i/>
          <w:sz w:val="24"/>
          <w:szCs w:val="24"/>
        </w:rPr>
        <w:t>Experiences of Violence and Personal Safety of People with Disability</w:t>
      </w:r>
      <w:r w:rsidRPr="003F6572">
        <w:rPr>
          <w:rFonts w:cs="Arial"/>
          <w:sz w:val="24"/>
          <w:szCs w:val="24"/>
        </w:rPr>
        <w:t xml:space="preserve">, 2016 </w:t>
      </w:r>
      <w:r w:rsidRPr="003F6572">
        <w:rPr>
          <w:rStyle w:val="Hyperlink"/>
          <w:sz w:val="24"/>
          <w:szCs w:val="24"/>
        </w:rPr>
        <w:t>https://www.abs.gov.au/AUSSTATS/abs@.nsf/Lookup/4431.0.55.003Main+Features12016?OpenDocument</w:t>
      </w:r>
      <w:r w:rsidRPr="003F6572">
        <w:rPr>
          <w:rFonts w:cs="Arial"/>
          <w:sz w:val="24"/>
          <w:szCs w:val="24"/>
        </w:rPr>
        <w:t xml:space="preserve"> </w:t>
      </w:r>
    </w:p>
    <w:p w14:paraId="62A23174" w14:textId="77777777" w:rsidR="00C62536" w:rsidRPr="003F6572" w:rsidRDefault="00C62536" w:rsidP="00C62536">
      <w:pPr>
        <w:pStyle w:val="Bibliography"/>
        <w:rPr>
          <w:rFonts w:cs="Arial"/>
          <w:sz w:val="24"/>
          <w:szCs w:val="24"/>
        </w:rPr>
      </w:pPr>
      <w:r w:rsidRPr="003F6572">
        <w:rPr>
          <w:rFonts w:cs="Arial"/>
          <w:sz w:val="24"/>
          <w:szCs w:val="24"/>
        </w:rPr>
        <w:t xml:space="preserve">ABS 2019a  </w:t>
      </w:r>
      <w:r w:rsidRPr="003F6572">
        <w:rPr>
          <w:rFonts w:cs="Arial"/>
          <w:i/>
          <w:sz w:val="24"/>
          <w:szCs w:val="24"/>
        </w:rPr>
        <w:t>6302.0 - Average Weekly Earnings, Australia, May 2019</w:t>
      </w:r>
      <w:r w:rsidRPr="003F6572">
        <w:rPr>
          <w:rFonts w:cs="Arial"/>
          <w:sz w:val="24"/>
          <w:szCs w:val="24"/>
        </w:rPr>
        <w:t xml:space="preserve"> </w:t>
      </w:r>
      <w:hyperlink r:id="rId45" w:history="1">
        <w:r w:rsidRPr="003F6572">
          <w:rPr>
            <w:rStyle w:val="Hyperlink"/>
            <w:sz w:val="24"/>
            <w:szCs w:val="24"/>
          </w:rPr>
          <w:t>https://www.abs.gov.au/ausstats/abs%40.nsf/mediareleasesbyCatalogue/030E8BEF4B0B915ECA2582EA00193B04?OpenDocument</w:t>
        </w:r>
      </w:hyperlink>
      <w:r w:rsidR="00CD7E0B" w:rsidRPr="003F6572">
        <w:rPr>
          <w:rFonts w:cs="Arial"/>
          <w:sz w:val="24"/>
          <w:szCs w:val="24"/>
        </w:rPr>
        <w:t xml:space="preserve"> </w:t>
      </w:r>
    </w:p>
    <w:p w14:paraId="03502D40" w14:textId="77777777" w:rsidR="00F97F54" w:rsidRPr="00F97F54" w:rsidRDefault="00C62536" w:rsidP="00F97F54">
      <w:pPr>
        <w:pStyle w:val="Bibliography"/>
        <w:rPr>
          <w:sz w:val="24"/>
          <w:szCs w:val="24"/>
        </w:rPr>
      </w:pPr>
      <w:r w:rsidRPr="003F6572">
        <w:rPr>
          <w:rFonts w:cs="Arial"/>
          <w:sz w:val="24"/>
          <w:szCs w:val="24"/>
        </w:rPr>
        <w:t xml:space="preserve">ABS 2019b </w:t>
      </w:r>
      <w:r w:rsidRPr="003F6572">
        <w:rPr>
          <w:rFonts w:cs="Arial"/>
          <w:i/>
          <w:sz w:val="24"/>
          <w:szCs w:val="24"/>
        </w:rPr>
        <w:t>6202.0 - Labour Force, Australia, Jul 2019</w:t>
      </w:r>
      <w:r w:rsidRPr="003F6572">
        <w:rPr>
          <w:rFonts w:cs="Arial"/>
          <w:sz w:val="24"/>
          <w:szCs w:val="24"/>
        </w:rPr>
        <w:t xml:space="preserve"> </w:t>
      </w:r>
      <w:r w:rsidR="00F97F54">
        <w:rPr>
          <w:rFonts w:cs="Arial"/>
          <w:sz w:val="24"/>
          <w:szCs w:val="24"/>
        </w:rPr>
        <w:t xml:space="preserve">at </w:t>
      </w:r>
      <w:hyperlink r:id="rId46" w:history="1">
        <w:r w:rsidR="00F97F54" w:rsidRPr="00F97F54">
          <w:rPr>
            <w:rStyle w:val="Hyperlink"/>
            <w:rFonts w:cs="Arial"/>
            <w:sz w:val="24"/>
            <w:szCs w:val="24"/>
          </w:rPr>
          <w:t>abs.gov.au/ausstats/abs</w:t>
        </w:r>
      </w:hyperlink>
      <w:r w:rsidR="00F97F54">
        <w:rPr>
          <w:rFonts w:cs="Arial"/>
          <w:sz w:val="24"/>
          <w:szCs w:val="24"/>
        </w:rPr>
        <w:t xml:space="preserve"> </w:t>
      </w:r>
    </w:p>
    <w:p w14:paraId="35E49843" w14:textId="77777777" w:rsidR="00B66105" w:rsidRPr="003F6572" w:rsidRDefault="00B66105" w:rsidP="00B66105">
      <w:pPr>
        <w:pStyle w:val="Bibliography"/>
        <w:rPr>
          <w:rFonts w:cs="Arial"/>
          <w:sz w:val="24"/>
          <w:szCs w:val="24"/>
        </w:rPr>
      </w:pPr>
      <w:r w:rsidRPr="003F6572">
        <w:rPr>
          <w:rFonts w:cs="Arial"/>
          <w:sz w:val="24"/>
          <w:szCs w:val="24"/>
        </w:rPr>
        <w:t>Athanasou, J. A., Murphy, G. C., &amp; Mpofu, E. (2019). The impact of disabilities on earning or learning in Australia and the implications for career development. Australian Journal of Care</w:t>
      </w:r>
      <w:r w:rsidR="00F97F54">
        <w:rPr>
          <w:rFonts w:cs="Arial"/>
          <w:sz w:val="24"/>
          <w:szCs w:val="24"/>
        </w:rPr>
        <w:t>er Development, 28(2), 103–111 at</w:t>
      </w:r>
      <w:hyperlink r:id="rId47" w:history="1">
        <w:r w:rsidR="00F97F54" w:rsidRPr="00F97F54">
          <w:rPr>
            <w:rStyle w:val="Hyperlink"/>
            <w:rFonts w:cs="Arial"/>
            <w:sz w:val="24"/>
            <w:szCs w:val="24"/>
          </w:rPr>
          <w:t xml:space="preserve"> dio.org/10.1177</w:t>
        </w:r>
      </w:hyperlink>
      <w:r w:rsidR="00F97F54">
        <w:rPr>
          <w:rFonts w:cs="Arial"/>
          <w:sz w:val="24"/>
          <w:szCs w:val="24"/>
        </w:rPr>
        <w:t xml:space="preserve"> </w:t>
      </w:r>
    </w:p>
    <w:p w14:paraId="1DB21C09" w14:textId="77777777" w:rsidR="00F77AAA" w:rsidRPr="003F6572" w:rsidRDefault="00F77AAA">
      <w:pPr>
        <w:pStyle w:val="Bibliography"/>
        <w:rPr>
          <w:rFonts w:cs="Arial"/>
          <w:sz w:val="24"/>
          <w:szCs w:val="24"/>
        </w:rPr>
      </w:pPr>
      <w:r w:rsidRPr="003F6572">
        <w:rPr>
          <w:rFonts w:cs="Arial"/>
          <w:sz w:val="24"/>
          <w:szCs w:val="24"/>
        </w:rPr>
        <w:t xml:space="preserve">Australian Institute for Health and Welfare (2018) </w:t>
      </w:r>
      <w:r w:rsidR="00700EFD" w:rsidRPr="003F6572">
        <w:rPr>
          <w:rFonts w:cs="Arial"/>
          <w:sz w:val="24"/>
          <w:szCs w:val="24"/>
        </w:rPr>
        <w:t xml:space="preserve">The Health of Australia’s Prisoners </w:t>
      </w:r>
      <w:r w:rsidR="00F97F54">
        <w:rPr>
          <w:rFonts w:cs="Arial"/>
          <w:sz w:val="24"/>
          <w:szCs w:val="24"/>
        </w:rPr>
        <w:t xml:space="preserve">at </w:t>
      </w:r>
      <w:hyperlink r:id="rId48" w:history="1">
        <w:r w:rsidR="00F97F54" w:rsidRPr="00F97F54">
          <w:rPr>
            <w:rStyle w:val="Hyperlink"/>
            <w:rFonts w:cs="Arial"/>
            <w:sz w:val="24"/>
            <w:szCs w:val="24"/>
          </w:rPr>
          <w:t>aihw.gov.au</w:t>
        </w:r>
      </w:hyperlink>
      <w:r w:rsidR="00F97F54">
        <w:rPr>
          <w:rFonts w:cs="Arial"/>
          <w:sz w:val="24"/>
          <w:szCs w:val="24"/>
        </w:rPr>
        <w:t xml:space="preserve"> </w:t>
      </w:r>
    </w:p>
    <w:p w14:paraId="54EA39A5" w14:textId="77777777" w:rsidR="00D03D76" w:rsidRPr="003F6572" w:rsidRDefault="00D03D76" w:rsidP="00D03D76">
      <w:pPr>
        <w:pStyle w:val="Bibliography"/>
        <w:rPr>
          <w:rFonts w:cs="Arial"/>
          <w:sz w:val="24"/>
          <w:szCs w:val="24"/>
        </w:rPr>
      </w:pPr>
      <w:r w:rsidRPr="003F6572">
        <w:rPr>
          <w:rFonts w:cs="Arial"/>
          <w:sz w:val="24"/>
          <w:szCs w:val="24"/>
        </w:rPr>
        <w:t xml:space="preserve">Deloitte Access Economics. 2011. “The Economic Benefits of Increasing Employment for People with Disability.” </w:t>
      </w:r>
      <w:hyperlink r:id="rId49" w:history="1">
        <w:r w:rsidR="00F97F54" w:rsidRPr="00F97F54">
          <w:rPr>
            <w:rStyle w:val="Hyperlink"/>
            <w:rFonts w:cs="Arial"/>
            <w:sz w:val="24"/>
            <w:szCs w:val="24"/>
          </w:rPr>
          <w:t>Deloitte.com/documents economic benefits increasing employment for people with disability.</w:t>
        </w:r>
      </w:hyperlink>
      <w:r w:rsidR="00F97F54">
        <w:rPr>
          <w:rFonts w:cs="Arial"/>
          <w:sz w:val="24"/>
          <w:szCs w:val="24"/>
        </w:rPr>
        <w:t xml:space="preserve"> </w:t>
      </w:r>
    </w:p>
    <w:p w14:paraId="38B24782" w14:textId="77777777" w:rsidR="003F5747" w:rsidRPr="003F6572" w:rsidRDefault="003F5747" w:rsidP="003F5747">
      <w:pPr>
        <w:pStyle w:val="Bibliography"/>
        <w:rPr>
          <w:rFonts w:cs="Arial"/>
          <w:sz w:val="24"/>
          <w:szCs w:val="24"/>
        </w:rPr>
      </w:pPr>
      <w:r w:rsidRPr="003F6572">
        <w:rPr>
          <w:rFonts w:cs="Arial"/>
          <w:sz w:val="24"/>
          <w:szCs w:val="24"/>
        </w:rPr>
        <w:t xml:space="preserve">DSS 2017 Discussion paper: Ensuring a strong </w:t>
      </w:r>
      <w:r w:rsidR="00F97F54">
        <w:rPr>
          <w:rFonts w:cs="Arial"/>
          <w:sz w:val="24"/>
          <w:szCs w:val="24"/>
        </w:rPr>
        <w:t xml:space="preserve">future for supported employment at </w:t>
      </w:r>
      <w:hyperlink r:id="rId50" w:history="1">
        <w:r w:rsidR="00F97F54" w:rsidRPr="00F97F54">
          <w:rPr>
            <w:rStyle w:val="Hyperlink"/>
            <w:rFonts w:cs="Arial"/>
            <w:sz w:val="24"/>
            <w:szCs w:val="24"/>
          </w:rPr>
          <w:t>engage dss.gov.au/discussion paper ensuring for strong future for supported employment</w:t>
        </w:r>
      </w:hyperlink>
      <w:r w:rsidR="00F97F54">
        <w:rPr>
          <w:rFonts w:cs="Arial"/>
          <w:sz w:val="24"/>
          <w:szCs w:val="24"/>
        </w:rPr>
        <w:t xml:space="preserve">. </w:t>
      </w:r>
    </w:p>
    <w:p w14:paraId="2A6E1487" w14:textId="77777777" w:rsidR="00D03D76" w:rsidRPr="003F6572" w:rsidRDefault="00D03D76" w:rsidP="00D03D76">
      <w:pPr>
        <w:pStyle w:val="Bibliography"/>
        <w:rPr>
          <w:rFonts w:cs="Arial"/>
          <w:sz w:val="24"/>
          <w:szCs w:val="24"/>
        </w:rPr>
      </w:pPr>
      <w:r w:rsidRPr="003F6572">
        <w:rPr>
          <w:rFonts w:cs="Arial"/>
          <w:sz w:val="24"/>
          <w:szCs w:val="24"/>
        </w:rPr>
        <w:t>Holland, Shasta, and Peter Persson. 2011. “Intellectual Disability in the Victorian Prison System: Characteristics of Prisoners with an Intellectual Disability Released from Prison in 2003–2006.” Psychology, Crime &amp; Law 17 (1): 25–41.</w:t>
      </w:r>
    </w:p>
    <w:p w14:paraId="5C1651C3" w14:textId="77777777" w:rsidR="00D03D76" w:rsidRPr="003F6572" w:rsidRDefault="00D03D76" w:rsidP="00D03D76">
      <w:pPr>
        <w:pStyle w:val="Bibliography"/>
        <w:rPr>
          <w:rFonts w:cs="Arial"/>
          <w:sz w:val="24"/>
          <w:szCs w:val="24"/>
        </w:rPr>
      </w:pPr>
      <w:r w:rsidRPr="003F6572">
        <w:rPr>
          <w:rFonts w:cs="Arial"/>
          <w:sz w:val="24"/>
          <w:szCs w:val="24"/>
        </w:rPr>
        <w:t>Lamb, S., and S. Huo. 2017. “Counting the Costs of Lost Opportunity in Australian Education (Vol. Report No. 02/2017).” Melbourne: Mitchell Institute.</w:t>
      </w:r>
    </w:p>
    <w:p w14:paraId="5F4B940F" w14:textId="77777777" w:rsidR="00D03D76" w:rsidRPr="003F6572" w:rsidRDefault="00D03D76" w:rsidP="00D03D76">
      <w:pPr>
        <w:pStyle w:val="Bibliography"/>
        <w:rPr>
          <w:rFonts w:cs="Arial"/>
          <w:sz w:val="24"/>
          <w:szCs w:val="24"/>
        </w:rPr>
      </w:pPr>
      <w:r w:rsidRPr="003F6572">
        <w:rPr>
          <w:rFonts w:cs="Arial"/>
          <w:sz w:val="24"/>
          <w:szCs w:val="24"/>
        </w:rPr>
        <w:t xml:space="preserve">Long, Brendan. 2015. “An Estimate of the Economic Effects of the Implementation of the National Disability Insurance Scheme.” </w:t>
      </w:r>
      <w:r w:rsidR="00F97F54">
        <w:rPr>
          <w:rFonts w:cs="Arial"/>
          <w:sz w:val="24"/>
          <w:szCs w:val="24"/>
        </w:rPr>
        <w:t xml:space="preserve">At </w:t>
      </w:r>
      <w:hyperlink r:id="rId51" w:history="1">
        <w:r w:rsidR="00F97F54" w:rsidRPr="00F97F54">
          <w:rPr>
            <w:rStyle w:val="Hyperlink"/>
            <w:rFonts w:cs="Arial"/>
            <w:sz w:val="24"/>
            <w:szCs w:val="24"/>
          </w:rPr>
          <w:t>cadr publications files ndis economic benefits.</w:t>
        </w:r>
      </w:hyperlink>
      <w:r w:rsidR="00F97F54">
        <w:rPr>
          <w:rFonts w:cs="Arial"/>
          <w:sz w:val="24"/>
          <w:szCs w:val="24"/>
        </w:rPr>
        <w:t xml:space="preserve"> </w:t>
      </w:r>
    </w:p>
    <w:p w14:paraId="717BE4B4" w14:textId="77777777" w:rsidR="00D03D76" w:rsidRPr="003F6572" w:rsidRDefault="00D03D76" w:rsidP="00D03D76">
      <w:pPr>
        <w:pStyle w:val="Bibliography"/>
        <w:rPr>
          <w:rFonts w:cs="Arial"/>
          <w:sz w:val="24"/>
          <w:szCs w:val="24"/>
        </w:rPr>
      </w:pPr>
      <w:r w:rsidRPr="003F6572">
        <w:rPr>
          <w:rFonts w:cs="Arial"/>
          <w:sz w:val="24"/>
          <w:szCs w:val="24"/>
        </w:rPr>
        <w:t>McKee-Ryan, Frances, Zhaoli Song, Connie R. Wanberg, and Angelo J. Kinicki. 2005. “Psychological and Physical Well-Being during Unemployment: A Meta-Analytic Study.” Journal of Applied Psychology 90 (1): 53.</w:t>
      </w:r>
    </w:p>
    <w:p w14:paraId="3901C4C1" w14:textId="77777777" w:rsidR="00D03D76" w:rsidRPr="003F6572" w:rsidRDefault="00D03D76" w:rsidP="00D03D76">
      <w:pPr>
        <w:pStyle w:val="Bibliography"/>
        <w:rPr>
          <w:rFonts w:cs="Arial"/>
          <w:sz w:val="24"/>
          <w:szCs w:val="24"/>
        </w:rPr>
      </w:pPr>
      <w:r w:rsidRPr="003F6572">
        <w:rPr>
          <w:rFonts w:cs="Arial"/>
          <w:sz w:val="24"/>
          <w:szCs w:val="24"/>
        </w:rPr>
        <w:t xml:space="preserve">National Disability Insurance Agency. n.d. “Employment Outcomes 30 June 2018: Participants, Families and Carers.” </w:t>
      </w:r>
      <w:r w:rsidR="00F97F54">
        <w:rPr>
          <w:rFonts w:cs="Arial"/>
          <w:sz w:val="24"/>
          <w:szCs w:val="24"/>
        </w:rPr>
        <w:t xml:space="preserve">At </w:t>
      </w:r>
      <w:hyperlink r:id="rId52" w:history="1">
        <w:r w:rsidR="00F97F54" w:rsidRPr="00F97F54">
          <w:rPr>
            <w:rStyle w:val="Hyperlink"/>
            <w:rFonts w:cs="Arial"/>
            <w:sz w:val="24"/>
            <w:szCs w:val="24"/>
          </w:rPr>
          <w:t>NDIS.gov.au/media</w:t>
        </w:r>
      </w:hyperlink>
      <w:r w:rsidR="00F97F54">
        <w:rPr>
          <w:rFonts w:cs="Arial"/>
          <w:sz w:val="24"/>
          <w:szCs w:val="24"/>
        </w:rPr>
        <w:t xml:space="preserve"> </w:t>
      </w:r>
    </w:p>
    <w:p w14:paraId="13E5E13B" w14:textId="77777777" w:rsidR="00D03D76" w:rsidRPr="003F6572" w:rsidRDefault="00D03D76" w:rsidP="00D03D76">
      <w:pPr>
        <w:pStyle w:val="Bibliography"/>
        <w:rPr>
          <w:rFonts w:cs="Arial"/>
          <w:sz w:val="24"/>
          <w:szCs w:val="24"/>
        </w:rPr>
      </w:pPr>
      <w:r w:rsidRPr="003F6572">
        <w:rPr>
          <w:rFonts w:cs="Arial"/>
          <w:sz w:val="24"/>
          <w:szCs w:val="24"/>
        </w:rPr>
        <w:t>NDS. 2011. “The Economics Benefits of Disability Employment Estimates of the Labour Supply Impacts of the OECD Integration Scenario and the National Disability Insurance Scheme Using SDAC 2009.”</w:t>
      </w:r>
    </w:p>
    <w:p w14:paraId="74FE41FD" w14:textId="77777777" w:rsidR="00D03D76" w:rsidRPr="003F6572" w:rsidRDefault="00D03D76" w:rsidP="00D03D76">
      <w:pPr>
        <w:pStyle w:val="Bibliography"/>
        <w:rPr>
          <w:rFonts w:cs="Arial"/>
          <w:sz w:val="24"/>
          <w:szCs w:val="24"/>
        </w:rPr>
      </w:pPr>
      <w:r w:rsidRPr="003F6572">
        <w:rPr>
          <w:rFonts w:cs="Arial"/>
          <w:sz w:val="24"/>
          <w:szCs w:val="24"/>
        </w:rPr>
        <w:t xml:space="preserve">OECD. 2010. </w:t>
      </w:r>
      <w:r w:rsidRPr="003F6572">
        <w:rPr>
          <w:rFonts w:cs="Arial"/>
          <w:i/>
          <w:iCs/>
          <w:sz w:val="24"/>
          <w:szCs w:val="24"/>
        </w:rPr>
        <w:t>Sickness, Disability and Work: Breaking the Barriers</w:t>
      </w:r>
      <w:r w:rsidRPr="003F6572">
        <w:rPr>
          <w:rFonts w:cs="Arial"/>
          <w:sz w:val="24"/>
          <w:szCs w:val="24"/>
        </w:rPr>
        <w:t>.</w:t>
      </w:r>
      <w:r w:rsidR="00F97F54">
        <w:rPr>
          <w:rFonts w:cs="Arial"/>
          <w:sz w:val="24"/>
          <w:szCs w:val="24"/>
        </w:rPr>
        <w:t xml:space="preserve">at </w:t>
      </w:r>
      <w:hyperlink r:id="rId53" w:history="1">
        <w:r w:rsidR="00F97F54" w:rsidRPr="00F97F54">
          <w:rPr>
            <w:rStyle w:val="Hyperlink"/>
            <w:rFonts w:cs="Arial"/>
            <w:sz w:val="24"/>
            <w:szCs w:val="24"/>
          </w:rPr>
          <w:t>oecd/library.org</w:t>
        </w:r>
      </w:hyperlink>
      <w:r w:rsidRPr="003F6572">
        <w:rPr>
          <w:rFonts w:cs="Arial"/>
          <w:sz w:val="24"/>
          <w:szCs w:val="24"/>
        </w:rPr>
        <w:t xml:space="preserve"> </w:t>
      </w:r>
    </w:p>
    <w:p w14:paraId="59367188" w14:textId="77777777" w:rsidR="00CD7E0B" w:rsidRPr="003F6572" w:rsidRDefault="003B502B" w:rsidP="00CD7E0B">
      <w:pPr>
        <w:pStyle w:val="Bibliography"/>
        <w:rPr>
          <w:rFonts w:cs="Arial"/>
          <w:sz w:val="24"/>
          <w:szCs w:val="24"/>
        </w:rPr>
      </w:pPr>
      <w:r w:rsidRPr="003F6572">
        <w:rPr>
          <w:rFonts w:cs="Arial"/>
          <w:sz w:val="24"/>
          <w:szCs w:val="24"/>
        </w:rPr>
        <w:t>Polidano, C and Mavromaras, K. (2010), ‘The role of vocational education and training in the labour market outcomes of people with disabilities’, NCVER,</w:t>
      </w:r>
    </w:p>
    <w:p w14:paraId="18AE5A88" w14:textId="77777777" w:rsidR="00CD7E0B" w:rsidRPr="003F6572" w:rsidRDefault="00D03D76" w:rsidP="00CD7E0B">
      <w:pPr>
        <w:pStyle w:val="Bibliography"/>
        <w:rPr>
          <w:rFonts w:cs="Arial"/>
          <w:sz w:val="24"/>
          <w:szCs w:val="24"/>
        </w:rPr>
      </w:pPr>
      <w:r w:rsidRPr="003F6572">
        <w:rPr>
          <w:rFonts w:cs="Arial"/>
          <w:sz w:val="24"/>
          <w:szCs w:val="24"/>
        </w:rPr>
        <w:t xml:space="preserve">Productivity Commission. 2011. “Disability Care and Support Productivity Commission Inquiry Report Volume 2.” </w:t>
      </w:r>
      <w:r w:rsidR="00F97F54">
        <w:rPr>
          <w:rFonts w:cs="Arial"/>
          <w:sz w:val="24"/>
          <w:szCs w:val="24"/>
        </w:rPr>
        <w:t xml:space="preserve">At </w:t>
      </w:r>
      <w:hyperlink r:id="rId54" w:history="1">
        <w:r w:rsidR="00F97F54" w:rsidRPr="00F97F54">
          <w:rPr>
            <w:rStyle w:val="Hyperlink"/>
            <w:rFonts w:cs="Arial"/>
            <w:sz w:val="24"/>
            <w:szCs w:val="24"/>
          </w:rPr>
          <w:t>pc.gov.au inquires completed disability support report</w:t>
        </w:r>
      </w:hyperlink>
      <w:r w:rsidR="00F97F54">
        <w:rPr>
          <w:rFonts w:cs="Arial"/>
          <w:sz w:val="24"/>
          <w:szCs w:val="24"/>
        </w:rPr>
        <w:t xml:space="preserve"> </w:t>
      </w:r>
    </w:p>
    <w:p w14:paraId="73D3CB00" w14:textId="77777777" w:rsidR="00D03D76" w:rsidRPr="003F6572" w:rsidRDefault="00D03D76" w:rsidP="00D7245A">
      <w:pPr>
        <w:pStyle w:val="Bibliography"/>
        <w:rPr>
          <w:rFonts w:cs="Arial"/>
          <w:sz w:val="24"/>
          <w:szCs w:val="24"/>
        </w:rPr>
      </w:pPr>
      <w:r w:rsidRPr="003F6572">
        <w:rPr>
          <w:rFonts w:cs="Arial"/>
          <w:sz w:val="24"/>
          <w:szCs w:val="24"/>
        </w:rPr>
        <w:t xml:space="preserve">PWC. 2011. “Disability Expectations Investing in a Better Life, a Stronger Australia.” </w:t>
      </w:r>
      <w:hyperlink r:id="rId55" w:history="1">
        <w:r w:rsidR="00F97F54" w:rsidRPr="00F97F54">
          <w:rPr>
            <w:rStyle w:val="Hyperlink"/>
            <w:rFonts w:cs="Arial"/>
            <w:sz w:val="24"/>
            <w:szCs w:val="24"/>
          </w:rPr>
          <w:t>Pwc.com.au/industry government assets disability in Australia.</w:t>
        </w:r>
      </w:hyperlink>
      <w:r w:rsidR="00F97F54">
        <w:rPr>
          <w:rFonts w:cs="Arial"/>
          <w:sz w:val="24"/>
          <w:szCs w:val="24"/>
        </w:rPr>
        <w:t xml:space="preserve"> </w:t>
      </w:r>
    </w:p>
    <w:p w14:paraId="1F1FB6AA" w14:textId="77777777" w:rsidR="00D03D76" w:rsidRPr="003F6572" w:rsidRDefault="00D03D76" w:rsidP="00D03D76">
      <w:pPr>
        <w:pStyle w:val="Bibliography"/>
        <w:rPr>
          <w:rFonts w:cs="Arial"/>
          <w:sz w:val="24"/>
          <w:szCs w:val="24"/>
        </w:rPr>
      </w:pPr>
      <w:r w:rsidRPr="003F6572">
        <w:rPr>
          <w:rFonts w:cs="Arial"/>
          <w:sz w:val="24"/>
          <w:szCs w:val="24"/>
        </w:rPr>
        <w:lastRenderedPageBreak/>
        <w:t>Yu, Peng. 2009. “Social Participation of Youth with Disability: A Study with the First Seven Waves of HILDA.” In HILDA Survey Research Conference, 16–17.</w:t>
      </w:r>
    </w:p>
    <w:p w14:paraId="1EAF4E62" w14:textId="77777777" w:rsidR="00105B76" w:rsidRPr="003F6572" w:rsidRDefault="00105B76" w:rsidP="00D7245A">
      <w:pPr>
        <w:pStyle w:val="Bibliography"/>
        <w:rPr>
          <w:rFonts w:cs="Arial"/>
          <w:sz w:val="24"/>
          <w:szCs w:val="24"/>
        </w:rPr>
      </w:pPr>
    </w:p>
    <w:p w14:paraId="465EC909" w14:textId="77777777" w:rsidR="000A3738" w:rsidRPr="003F6572" w:rsidRDefault="000A3738" w:rsidP="00866BBC">
      <w:pPr>
        <w:pStyle w:val="Bibliography"/>
        <w:rPr>
          <w:rFonts w:cs="Arial"/>
          <w:sz w:val="24"/>
          <w:szCs w:val="24"/>
        </w:rPr>
      </w:pPr>
    </w:p>
    <w:sectPr w:rsidR="000A3738" w:rsidRPr="003F6572" w:rsidSect="008508D3">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D7BE9" w14:textId="77777777" w:rsidR="00176E6A" w:rsidRDefault="00176E6A" w:rsidP="001D15F7">
      <w:pPr>
        <w:spacing w:after="0" w:line="240" w:lineRule="auto"/>
      </w:pPr>
      <w:r>
        <w:separator/>
      </w:r>
    </w:p>
  </w:endnote>
  <w:endnote w:type="continuationSeparator" w:id="0">
    <w:p w14:paraId="7107C3F6" w14:textId="77777777" w:rsidR="00176E6A" w:rsidRDefault="00176E6A" w:rsidP="001D15F7">
      <w:pPr>
        <w:spacing w:after="0" w:line="240" w:lineRule="auto"/>
      </w:pPr>
      <w:r>
        <w:continuationSeparator/>
      </w:r>
    </w:p>
  </w:endnote>
  <w:endnote w:type="continuationNotice" w:id="1">
    <w:p w14:paraId="57097A38" w14:textId="77777777" w:rsidR="00176E6A" w:rsidRDefault="00176E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74A59" w14:textId="77777777" w:rsidR="00797527" w:rsidRDefault="00797527" w:rsidP="007753F2">
    <w:pPr>
      <w:pStyle w:val="Footer"/>
      <w:tabs>
        <w:tab w:val="left" w:pos="4060"/>
      </w:tabs>
    </w:pPr>
    <w:r>
      <w:tab/>
    </w:r>
    <w:r>
      <w:tab/>
    </w:r>
    <w:r>
      <w:tab/>
    </w:r>
    <w:r>
      <w:rPr>
        <w:noProof/>
        <w:color w:val="002D62"/>
        <w:sz w:val="16"/>
        <w:szCs w:val="16"/>
        <w:lang w:eastAsia="en-AU"/>
      </w:rPr>
      <mc:AlternateContent>
        <mc:Choice Requires="wps">
          <w:drawing>
            <wp:inline distT="0" distB="0" distL="0" distR="0" wp14:anchorId="7A7A79F1" wp14:editId="47A5160D">
              <wp:extent cx="5708650" cy="409575"/>
              <wp:effectExtent l="0" t="0" r="6350" b="9525"/>
              <wp:docPr id="17" name="Text Box 17"/>
              <wp:cNvGraphicFramePr/>
              <a:graphic xmlns:a="http://schemas.openxmlformats.org/drawingml/2006/main">
                <a:graphicData uri="http://schemas.microsoft.com/office/word/2010/wordprocessingShape">
                  <wps:wsp>
                    <wps:cNvSpPr txBox="1"/>
                    <wps:spPr>
                      <a:xfrm>
                        <a:off x="0" y="0"/>
                        <a:ext cx="570865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A95CFD" w14:textId="77777777" w:rsidR="00797527" w:rsidRDefault="00797527" w:rsidP="006113AF">
                          <w:pPr>
                            <w:pStyle w:val="Heading4"/>
                            <w:rPr>
                              <w:rStyle w:val="Heading5Char"/>
                            </w:rPr>
                          </w:pPr>
                          <w:r w:rsidRPr="00BF4CCF">
                            <w:rPr>
                              <w:rStyle w:val="Heading5Char"/>
                            </w:rPr>
                            <w:t>This information is confidential and was prepared by SVA Consulting solely for the use of our client; it is not to be relied on by any third party without prior</w:t>
                          </w:r>
                          <w:r>
                            <w:t xml:space="preserve"> </w:t>
                          </w:r>
                          <w:r w:rsidRPr="00BF4CCF">
                            <w:rPr>
                              <w:rStyle w:val="Heading5Char"/>
                            </w:rPr>
                            <w:t>consent.</w:t>
                          </w:r>
                        </w:p>
                        <w:p w14:paraId="78612DB9" w14:textId="77777777" w:rsidR="00797527" w:rsidRPr="00E63EF8" w:rsidRDefault="00797527" w:rsidP="00E63EF8">
                          <w:pPr>
                            <w:spacing w:after="0" w:line="240" w:lineRule="auto"/>
                            <w:rPr>
                              <w:rStyle w:val="Heading5Char"/>
                            </w:rPr>
                          </w:pPr>
                          <w:r w:rsidRPr="00E63EF8">
                            <w:rPr>
                              <w:rStyle w:val="Heading5Char"/>
                            </w:rPr>
                            <w:t>Social Vent</w:t>
                          </w:r>
                          <w:r>
                            <w:rPr>
                              <w:rStyle w:val="Heading5Char"/>
                            </w:rPr>
                            <w:t xml:space="preserve">ures Australia Limited ABN </w:t>
                          </w:r>
                          <w:r w:rsidRPr="00E63EF8">
                            <w:rPr>
                              <w:rStyle w:val="Heading5Char"/>
                            </w:rPr>
                            <w:t>94 100 487 572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A7A79F1" id="_x0000_t202" coordsize="21600,21600" o:spt="202" path="m,l,21600r21600,l21600,xe">
              <v:stroke joinstyle="miter"/>
              <v:path gradientshapeok="t" o:connecttype="rect"/>
            </v:shapetype>
            <v:shape id="Text Box 17" o:spid="_x0000_s1026" type="#_x0000_t202" style="width:449.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" fillcolor="white [3201]" stroked="f" strokeweight=".5pt">
              <v:textbox>
                <w:txbxContent>
                  <w:p w:rsidR="00797527" w:rsidRDefault="00797527" w:rsidP="006113AF">
                    <w:pPr>
                      <w:pStyle w:val="Heading4"/>
                      <w:rPr>
                        <w:rStyle w:val="Heading5Char"/>
                      </w:rPr>
                    </w:pPr>
                    <w:r w:rsidRPr="00BF4CCF">
                      <w:rPr>
                        <w:rStyle w:val="Heading5Char"/>
                      </w:rPr>
                      <w:t>This information is confidential and was prepared by SVA Consulting solely for the use of our client; it is not to be relied on by any third party without prior</w:t>
                    </w:r>
                    <w:r>
                      <w:t xml:space="preserve"> </w:t>
                    </w:r>
                    <w:r w:rsidRPr="00BF4CCF">
                      <w:rPr>
                        <w:rStyle w:val="Heading5Char"/>
                      </w:rPr>
                      <w:t>consent.</w:t>
                    </w:r>
                  </w:p>
                  <w:p w:rsidR="00797527" w:rsidRPr="00E63EF8" w:rsidRDefault="00797527" w:rsidP="00E63EF8">
                    <w:pPr>
                      <w:spacing w:after="0" w:line="240" w:lineRule="auto"/>
                      <w:rPr>
                        <w:rStyle w:val="Heading5Char"/>
                      </w:rPr>
                    </w:pPr>
                    <w:r w:rsidRPr="00E63EF8">
                      <w:rPr>
                        <w:rStyle w:val="Heading5Char"/>
                      </w:rPr>
                      <w:t>Social Vent</w:t>
                    </w:r>
                    <w:r>
                      <w:rPr>
                        <w:rStyle w:val="Heading5Char"/>
                      </w:rPr>
                      <w:t xml:space="preserve">ures Australia Limited ABN </w:t>
                    </w:r>
                    <w:r w:rsidRPr="00E63EF8">
                      <w:rPr>
                        <w:rStyle w:val="Heading5Char"/>
                      </w:rPr>
                      <w:t>94 100 487 572</w:t>
                    </w:r>
                  </w:p>
                </w:txbxContent>
              </v:textbox>
              <w10:anchorlock/>
            </v:shape>
          </w:pict>
        </mc:Fallback>
      </mc:AlternateContent>
    </w:r>
  </w:p>
  <w:p w14:paraId="43240DEA" w14:textId="77777777" w:rsidR="00797527" w:rsidRPr="006D2FDE" w:rsidRDefault="00797527" w:rsidP="006D2FDE">
    <w:pPr>
      <w:pStyle w:val="Footer"/>
      <w:adjustRightInd w:val="0"/>
      <w:snapToGrid w:val="0"/>
      <w:spacing w:line="168" w:lineRule="auto"/>
      <w:jc w:val="right"/>
      <w:rPr>
        <w:color w:val="B2BB1E" w:themeColor="background2"/>
      </w:rPr>
    </w:pPr>
    <w:r w:rsidRPr="006D2FDE">
      <w:rPr>
        <w:rFonts w:cs="Arial"/>
        <w:noProof/>
        <w:color w:val="B2BB1E" w:themeColor="background2"/>
        <w:lang w:eastAsia="en-AU"/>
      </w:rPr>
      <w:t>—</w:t>
    </w:r>
  </w:p>
  <w:p w14:paraId="59369FA6" w14:textId="71E738EE" w:rsidR="00797527" w:rsidRPr="00741112" w:rsidRDefault="00176E6A" w:rsidP="00741112">
    <w:pPr>
      <w:pStyle w:val="Footer"/>
      <w:spacing w:before="120"/>
      <w:jc w:val="right"/>
      <w:rPr>
        <w:color w:val="002D62"/>
        <w:sz w:val="16"/>
        <w:szCs w:val="16"/>
      </w:rPr>
    </w:pPr>
    <w:sdt>
      <w:sdtPr>
        <w:rPr>
          <w:rStyle w:val="Heading4Char"/>
        </w:rPr>
        <w:id w:val="1736976017"/>
        <w:docPartObj>
          <w:docPartGallery w:val="Page Numbers (Bottom of Page)"/>
          <w:docPartUnique/>
        </w:docPartObj>
      </w:sdtPr>
      <w:sdtEndPr>
        <w:rPr>
          <w:rStyle w:val="Heading4Char"/>
        </w:rPr>
      </w:sdtEndPr>
      <w:sdtContent>
        <w:r w:rsidR="00797527" w:rsidRPr="00BF4CCF">
          <w:rPr>
            <w:rStyle w:val="Heading4Char"/>
          </w:rPr>
          <w:fldChar w:fldCharType="begin"/>
        </w:r>
        <w:r w:rsidR="00797527" w:rsidRPr="00BF4CCF">
          <w:rPr>
            <w:rStyle w:val="Heading4Char"/>
          </w:rPr>
          <w:instrText xml:space="preserve"> PAGE   \* MERGEFORMAT </w:instrText>
        </w:r>
        <w:r w:rsidR="00797527" w:rsidRPr="00BF4CCF">
          <w:rPr>
            <w:rStyle w:val="Heading4Char"/>
          </w:rPr>
          <w:fldChar w:fldCharType="separate"/>
        </w:r>
        <w:r w:rsidR="00247472">
          <w:rPr>
            <w:rStyle w:val="Heading4Char"/>
            <w:noProof/>
          </w:rPr>
          <w:t>7</w:t>
        </w:r>
        <w:r w:rsidR="00797527" w:rsidRPr="00BF4CCF">
          <w:rPr>
            <w:rStyle w:val="Heading4Char"/>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23D61" w14:textId="77777777" w:rsidR="00797527" w:rsidRPr="00E716BC" w:rsidRDefault="00797527" w:rsidP="00BD409C">
    <w:pPr>
      <w:pStyle w:val="Footer"/>
      <w:tabs>
        <w:tab w:val="clear" w:pos="9026"/>
        <w:tab w:val="left" w:pos="3780"/>
        <w:tab w:val="right" w:pos="9639"/>
      </w:tabs>
      <w:ind w:right="-61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42894" w14:textId="77777777" w:rsidR="00176E6A" w:rsidRDefault="00176E6A" w:rsidP="001D15F7">
      <w:pPr>
        <w:spacing w:after="0" w:line="240" w:lineRule="auto"/>
      </w:pPr>
      <w:r>
        <w:separator/>
      </w:r>
    </w:p>
  </w:footnote>
  <w:footnote w:type="continuationSeparator" w:id="0">
    <w:p w14:paraId="4EE852E5" w14:textId="77777777" w:rsidR="00176E6A" w:rsidRDefault="00176E6A" w:rsidP="001D15F7">
      <w:pPr>
        <w:spacing w:after="0" w:line="240" w:lineRule="auto"/>
      </w:pPr>
      <w:r>
        <w:continuationSeparator/>
      </w:r>
    </w:p>
  </w:footnote>
  <w:footnote w:type="continuationNotice" w:id="1">
    <w:p w14:paraId="2592E267" w14:textId="77777777" w:rsidR="00176E6A" w:rsidRDefault="00176E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FEBC5" w14:textId="77777777" w:rsidR="00797527" w:rsidRDefault="00797527" w:rsidP="00EA01D6">
    <w:pPr>
      <w:pStyle w:val="Header"/>
      <w:jc w:val="right"/>
    </w:pPr>
    <w:r>
      <w:t xml:space="preserve"> </w:t>
    </w:r>
    <w:r>
      <w:rPr>
        <w:noProof/>
        <w:lang w:eastAsia="en-AU"/>
      </w:rPr>
      <w:t xml:space="preserve"> </w:t>
    </w:r>
    <w:r>
      <w:rPr>
        <w:noProof/>
        <w:lang w:eastAsia="en-AU"/>
      </w:rPr>
      <w:drawing>
        <wp:inline distT="0" distB="0" distL="0" distR="0" wp14:anchorId="50309C6B" wp14:editId="73ED87AA">
          <wp:extent cx="1616394" cy="256360"/>
          <wp:effectExtent l="0" t="0" r="3175" b="0"/>
          <wp:docPr id="1" name="Picture 1" descr="S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VA_Consulting_CMYK-01.png"/>
                  <pic:cNvPicPr/>
                </pic:nvPicPr>
                <pic:blipFill>
                  <a:blip r:embed="rId1"/>
                  <a:stretch>
                    <a:fillRect/>
                  </a:stretch>
                </pic:blipFill>
                <pic:spPr>
                  <a:xfrm>
                    <a:off x="0" y="0"/>
                    <a:ext cx="1683935" cy="2670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CFF"/>
    <w:multiLevelType w:val="multilevel"/>
    <w:tmpl w:val="233AAC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4255C7"/>
    <w:multiLevelType w:val="hybridMultilevel"/>
    <w:tmpl w:val="D4B6D898"/>
    <w:lvl w:ilvl="0" w:tplc="9134F25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557C84"/>
    <w:multiLevelType w:val="hybridMultilevel"/>
    <w:tmpl w:val="70528AC6"/>
    <w:lvl w:ilvl="0" w:tplc="9134F25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CD373D"/>
    <w:multiLevelType w:val="hybridMultilevel"/>
    <w:tmpl w:val="A9549F3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0A476675"/>
    <w:multiLevelType w:val="hybridMultilevel"/>
    <w:tmpl w:val="DA92A2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3A1B3C"/>
    <w:multiLevelType w:val="hybridMultilevel"/>
    <w:tmpl w:val="E42AA4C6"/>
    <w:lvl w:ilvl="0" w:tplc="9A9A6E84">
      <w:start w:val="1"/>
      <w:numFmt w:val="bullet"/>
      <w:pStyle w:val="Tablebullets"/>
      <w:lvlText w:val=""/>
      <w:lvlJc w:val="left"/>
      <w:pPr>
        <w:ind w:left="720" w:hanging="360"/>
      </w:pPr>
      <w:rPr>
        <w:rFonts w:ascii="Symbol" w:hAnsi="Symbol" w:hint="default"/>
        <w:color w:val="B2BB1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A42AEA"/>
    <w:multiLevelType w:val="hybridMultilevel"/>
    <w:tmpl w:val="1CDEB6B0"/>
    <w:lvl w:ilvl="0" w:tplc="9134F25E">
      <w:start w:val="1"/>
      <w:numFmt w:val="bullet"/>
      <w:lvlText w:val=""/>
      <w:lvlJc w:val="left"/>
      <w:pPr>
        <w:ind w:left="720" w:hanging="360"/>
      </w:pPr>
      <w:rPr>
        <w:rFonts w:ascii="Symbol" w:hAnsi="Symbol" w:hint="default"/>
        <w:color w:val="auto"/>
      </w:rPr>
    </w:lvl>
    <w:lvl w:ilvl="1" w:tplc="9134F25E">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05FFB"/>
    <w:multiLevelType w:val="hybridMultilevel"/>
    <w:tmpl w:val="D9AE723E"/>
    <w:lvl w:ilvl="0" w:tplc="9134F2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945D1"/>
    <w:multiLevelType w:val="hybridMultilevel"/>
    <w:tmpl w:val="5E6CAC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782445"/>
    <w:multiLevelType w:val="hybridMultilevel"/>
    <w:tmpl w:val="C27EE276"/>
    <w:lvl w:ilvl="0" w:tplc="9134F25E">
      <w:start w:val="1"/>
      <w:numFmt w:val="bullet"/>
      <w:lvlText w:val=""/>
      <w:lvlJc w:val="left"/>
      <w:pPr>
        <w:ind w:left="720" w:hanging="360"/>
      </w:pPr>
      <w:rPr>
        <w:rFonts w:ascii="Symbol" w:hAnsi="Symbol" w:hint="default"/>
        <w:color w:val="auto"/>
      </w:rPr>
    </w:lvl>
    <w:lvl w:ilvl="1" w:tplc="9134F25E">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D2DD5"/>
    <w:multiLevelType w:val="hybridMultilevel"/>
    <w:tmpl w:val="0B3AFBFE"/>
    <w:lvl w:ilvl="0" w:tplc="9134F2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00B01"/>
    <w:multiLevelType w:val="hybridMultilevel"/>
    <w:tmpl w:val="0250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00FCF"/>
    <w:multiLevelType w:val="hybridMultilevel"/>
    <w:tmpl w:val="4C748B98"/>
    <w:lvl w:ilvl="0" w:tplc="9134F2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21031"/>
    <w:multiLevelType w:val="hybridMultilevel"/>
    <w:tmpl w:val="9030FB54"/>
    <w:lvl w:ilvl="0" w:tplc="9134F25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A26B34"/>
    <w:multiLevelType w:val="hybridMultilevel"/>
    <w:tmpl w:val="570E4ADA"/>
    <w:lvl w:ilvl="0" w:tplc="198A2D9C">
      <w:start w:val="1"/>
      <w:numFmt w:val="bullet"/>
      <w:pStyle w:val="Bullet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7C4164"/>
    <w:multiLevelType w:val="hybridMultilevel"/>
    <w:tmpl w:val="278C8478"/>
    <w:lvl w:ilvl="0" w:tplc="9134F25E">
      <w:start w:val="1"/>
      <w:numFmt w:val="bullet"/>
      <w:lvlText w:val=""/>
      <w:lvlJc w:val="left"/>
      <w:pPr>
        <w:ind w:left="720" w:hanging="360"/>
      </w:pPr>
      <w:rPr>
        <w:rFonts w:ascii="Symbol" w:hAnsi="Symbol" w:hint="default"/>
        <w:color w:val="auto"/>
      </w:rPr>
    </w:lvl>
    <w:lvl w:ilvl="1" w:tplc="9134F2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87DE0"/>
    <w:multiLevelType w:val="hybridMultilevel"/>
    <w:tmpl w:val="ABF45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A815E5"/>
    <w:multiLevelType w:val="hybridMultilevel"/>
    <w:tmpl w:val="73B20F80"/>
    <w:lvl w:ilvl="0" w:tplc="9134F25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690CD5"/>
    <w:multiLevelType w:val="hybridMultilevel"/>
    <w:tmpl w:val="FD64B366"/>
    <w:lvl w:ilvl="0" w:tplc="9134F25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6A67D9"/>
    <w:multiLevelType w:val="hybridMultilevel"/>
    <w:tmpl w:val="DC6CCA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940554"/>
    <w:multiLevelType w:val="hybridMultilevel"/>
    <w:tmpl w:val="4D90E0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D47634"/>
    <w:multiLevelType w:val="hybridMultilevel"/>
    <w:tmpl w:val="183041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A275876"/>
    <w:multiLevelType w:val="hybridMultilevel"/>
    <w:tmpl w:val="C7DAB0B8"/>
    <w:lvl w:ilvl="0" w:tplc="9134F2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B7EA3"/>
    <w:multiLevelType w:val="hybridMultilevel"/>
    <w:tmpl w:val="FFA64E00"/>
    <w:lvl w:ilvl="0" w:tplc="9134F25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7232D7"/>
    <w:multiLevelType w:val="hybridMultilevel"/>
    <w:tmpl w:val="6352CBFA"/>
    <w:lvl w:ilvl="0" w:tplc="9134F25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8497B1A"/>
    <w:multiLevelType w:val="hybridMultilevel"/>
    <w:tmpl w:val="D13A1E9E"/>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6" w15:restartNumberingAfterBreak="0">
    <w:nsid w:val="69CC7606"/>
    <w:multiLevelType w:val="hybridMultilevel"/>
    <w:tmpl w:val="7B5CEAE2"/>
    <w:lvl w:ilvl="0" w:tplc="04090003">
      <w:start w:val="1"/>
      <w:numFmt w:val="bullet"/>
      <w:lvlText w:val="o"/>
      <w:lvlJc w:val="left"/>
      <w:pPr>
        <w:ind w:left="2160" w:hanging="360"/>
      </w:pPr>
      <w:rPr>
        <w:rFonts w:ascii="Courier New" w:hAnsi="Courier New" w:cs="Courier New" w:hint="default"/>
      </w:rPr>
    </w:lvl>
    <w:lvl w:ilvl="1" w:tplc="9134F25E">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564542"/>
    <w:multiLevelType w:val="hybridMultilevel"/>
    <w:tmpl w:val="6F7ED75A"/>
    <w:lvl w:ilvl="0" w:tplc="9134F25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D94F1D"/>
    <w:multiLevelType w:val="hybridMultilevel"/>
    <w:tmpl w:val="9B22D41A"/>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9" w15:restartNumberingAfterBreak="0">
    <w:nsid w:val="739A1A6F"/>
    <w:multiLevelType w:val="hybridMultilevel"/>
    <w:tmpl w:val="AC40C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A96836"/>
    <w:multiLevelType w:val="hybridMultilevel"/>
    <w:tmpl w:val="3D16EAE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77C336B6"/>
    <w:multiLevelType w:val="hybridMultilevel"/>
    <w:tmpl w:val="47ACD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CB0A60"/>
    <w:multiLevelType w:val="hybridMultilevel"/>
    <w:tmpl w:val="7B562114"/>
    <w:lvl w:ilvl="0" w:tplc="9134F25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1D5020"/>
    <w:multiLevelType w:val="hybridMultilevel"/>
    <w:tmpl w:val="B7BAD978"/>
    <w:lvl w:ilvl="0" w:tplc="9134F2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F53F1"/>
    <w:multiLevelType w:val="multilevel"/>
    <w:tmpl w:val="2E4A5D0C"/>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decimal"/>
      <w:pStyle w:val="Heading3"/>
      <w:lvlText w:val="%3."/>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5" w15:restartNumberingAfterBreak="0">
    <w:nsid w:val="7E24080A"/>
    <w:multiLevelType w:val="hybridMultilevel"/>
    <w:tmpl w:val="4F0AC79E"/>
    <w:lvl w:ilvl="0" w:tplc="9134F2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BE211D"/>
    <w:multiLevelType w:val="hybridMultilevel"/>
    <w:tmpl w:val="10305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5"/>
  </w:num>
  <w:num w:numId="4">
    <w:abstractNumId w:val="19"/>
  </w:num>
  <w:num w:numId="5">
    <w:abstractNumId w:val="28"/>
  </w:num>
  <w:num w:numId="6">
    <w:abstractNumId w:val="36"/>
  </w:num>
  <w:num w:numId="7">
    <w:abstractNumId w:val="21"/>
  </w:num>
  <w:num w:numId="8">
    <w:abstractNumId w:val="30"/>
  </w:num>
  <w:num w:numId="9">
    <w:abstractNumId w:val="3"/>
  </w:num>
  <w:num w:numId="10">
    <w:abstractNumId w:val="25"/>
  </w:num>
  <w:num w:numId="11">
    <w:abstractNumId w:val="14"/>
  </w:num>
  <w:num w:numId="12">
    <w:abstractNumId w:val="0"/>
  </w:num>
  <w:num w:numId="13">
    <w:abstractNumId w:val="4"/>
  </w:num>
  <w:num w:numId="14">
    <w:abstractNumId w:val="31"/>
  </w:num>
  <w:num w:numId="15">
    <w:abstractNumId w:val="29"/>
  </w:num>
  <w:num w:numId="16">
    <w:abstractNumId w:val="16"/>
  </w:num>
  <w:num w:numId="17">
    <w:abstractNumId w:val="20"/>
  </w:num>
  <w:num w:numId="18">
    <w:abstractNumId w:val="11"/>
  </w:num>
  <w:num w:numId="19">
    <w:abstractNumId w:val="6"/>
  </w:num>
  <w:num w:numId="20">
    <w:abstractNumId w:val="15"/>
  </w:num>
  <w:num w:numId="21">
    <w:abstractNumId w:val="35"/>
  </w:num>
  <w:num w:numId="22">
    <w:abstractNumId w:val="24"/>
  </w:num>
  <w:num w:numId="23">
    <w:abstractNumId w:val="12"/>
  </w:num>
  <w:num w:numId="24">
    <w:abstractNumId w:val="27"/>
  </w:num>
  <w:num w:numId="25">
    <w:abstractNumId w:val="26"/>
  </w:num>
  <w:num w:numId="26">
    <w:abstractNumId w:val="23"/>
  </w:num>
  <w:num w:numId="27">
    <w:abstractNumId w:val="13"/>
  </w:num>
  <w:num w:numId="28">
    <w:abstractNumId w:val="2"/>
  </w:num>
  <w:num w:numId="29">
    <w:abstractNumId w:val="1"/>
  </w:num>
  <w:num w:numId="30">
    <w:abstractNumId w:val="18"/>
  </w:num>
  <w:num w:numId="31">
    <w:abstractNumId w:val="32"/>
  </w:num>
  <w:num w:numId="32">
    <w:abstractNumId w:val="17"/>
  </w:num>
  <w:num w:numId="33">
    <w:abstractNumId w:val="9"/>
  </w:num>
  <w:num w:numId="34">
    <w:abstractNumId w:val="7"/>
  </w:num>
  <w:num w:numId="35">
    <w:abstractNumId w:val="10"/>
  </w:num>
  <w:num w:numId="36">
    <w:abstractNumId w:val="22"/>
  </w:num>
  <w:num w:numId="37">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EF"/>
    <w:rsid w:val="000014C2"/>
    <w:rsid w:val="00002032"/>
    <w:rsid w:val="0000212A"/>
    <w:rsid w:val="0000238D"/>
    <w:rsid w:val="00003BA0"/>
    <w:rsid w:val="0000440E"/>
    <w:rsid w:val="000050D3"/>
    <w:rsid w:val="000076BC"/>
    <w:rsid w:val="00010177"/>
    <w:rsid w:val="00010442"/>
    <w:rsid w:val="00013256"/>
    <w:rsid w:val="0001331A"/>
    <w:rsid w:val="0001366F"/>
    <w:rsid w:val="00013AED"/>
    <w:rsid w:val="00013FE7"/>
    <w:rsid w:val="000149A8"/>
    <w:rsid w:val="00014E02"/>
    <w:rsid w:val="00014E18"/>
    <w:rsid w:val="00014E82"/>
    <w:rsid w:val="0001589E"/>
    <w:rsid w:val="00017003"/>
    <w:rsid w:val="000217F0"/>
    <w:rsid w:val="000219DB"/>
    <w:rsid w:val="00021A8B"/>
    <w:rsid w:val="00021B6F"/>
    <w:rsid w:val="00022041"/>
    <w:rsid w:val="00022E9A"/>
    <w:rsid w:val="00023E5B"/>
    <w:rsid w:val="000256DF"/>
    <w:rsid w:val="0002717D"/>
    <w:rsid w:val="00030EFB"/>
    <w:rsid w:val="000312DF"/>
    <w:rsid w:val="0003236E"/>
    <w:rsid w:val="000325F3"/>
    <w:rsid w:val="00033B43"/>
    <w:rsid w:val="00033D4A"/>
    <w:rsid w:val="00034085"/>
    <w:rsid w:val="00035A72"/>
    <w:rsid w:val="000361D3"/>
    <w:rsid w:val="000369BA"/>
    <w:rsid w:val="00036D51"/>
    <w:rsid w:val="00036E13"/>
    <w:rsid w:val="00037143"/>
    <w:rsid w:val="000371EB"/>
    <w:rsid w:val="00040374"/>
    <w:rsid w:val="0004094F"/>
    <w:rsid w:val="00041958"/>
    <w:rsid w:val="00041F2A"/>
    <w:rsid w:val="000433B9"/>
    <w:rsid w:val="000437D5"/>
    <w:rsid w:val="000437EE"/>
    <w:rsid w:val="0004383A"/>
    <w:rsid w:val="000442F0"/>
    <w:rsid w:val="00044385"/>
    <w:rsid w:val="0004491E"/>
    <w:rsid w:val="00044EB5"/>
    <w:rsid w:val="0004520D"/>
    <w:rsid w:val="00045D7F"/>
    <w:rsid w:val="00045E2D"/>
    <w:rsid w:val="00046B25"/>
    <w:rsid w:val="000470EE"/>
    <w:rsid w:val="000505B7"/>
    <w:rsid w:val="00050BDE"/>
    <w:rsid w:val="00050FB1"/>
    <w:rsid w:val="00051955"/>
    <w:rsid w:val="00052685"/>
    <w:rsid w:val="00052F73"/>
    <w:rsid w:val="00054BC3"/>
    <w:rsid w:val="00056353"/>
    <w:rsid w:val="00056E19"/>
    <w:rsid w:val="000575DC"/>
    <w:rsid w:val="00057F15"/>
    <w:rsid w:val="000601D2"/>
    <w:rsid w:val="000614D6"/>
    <w:rsid w:val="00062547"/>
    <w:rsid w:val="00063AA3"/>
    <w:rsid w:val="00064006"/>
    <w:rsid w:val="00064312"/>
    <w:rsid w:val="0006645F"/>
    <w:rsid w:val="00066E48"/>
    <w:rsid w:val="000707AE"/>
    <w:rsid w:val="0007181E"/>
    <w:rsid w:val="00071BDC"/>
    <w:rsid w:val="000721BF"/>
    <w:rsid w:val="00072D90"/>
    <w:rsid w:val="00072EB6"/>
    <w:rsid w:val="00073046"/>
    <w:rsid w:val="00073721"/>
    <w:rsid w:val="00073B16"/>
    <w:rsid w:val="00073DF6"/>
    <w:rsid w:val="00074563"/>
    <w:rsid w:val="00074D7F"/>
    <w:rsid w:val="00075B0B"/>
    <w:rsid w:val="00076460"/>
    <w:rsid w:val="0007671F"/>
    <w:rsid w:val="0007681E"/>
    <w:rsid w:val="00076AFC"/>
    <w:rsid w:val="000772EA"/>
    <w:rsid w:val="00077794"/>
    <w:rsid w:val="0007796D"/>
    <w:rsid w:val="0008004E"/>
    <w:rsid w:val="0008023A"/>
    <w:rsid w:val="0008120D"/>
    <w:rsid w:val="00081A1E"/>
    <w:rsid w:val="00081BC1"/>
    <w:rsid w:val="000829B7"/>
    <w:rsid w:val="000836EC"/>
    <w:rsid w:val="00083DE7"/>
    <w:rsid w:val="00084203"/>
    <w:rsid w:val="00084499"/>
    <w:rsid w:val="000849B6"/>
    <w:rsid w:val="00085487"/>
    <w:rsid w:val="00085FD0"/>
    <w:rsid w:val="00087497"/>
    <w:rsid w:val="00087728"/>
    <w:rsid w:val="00087A3A"/>
    <w:rsid w:val="00090383"/>
    <w:rsid w:val="0009041C"/>
    <w:rsid w:val="000908EF"/>
    <w:rsid w:val="00090FAE"/>
    <w:rsid w:val="000910DB"/>
    <w:rsid w:val="00091256"/>
    <w:rsid w:val="000913B2"/>
    <w:rsid w:val="00091768"/>
    <w:rsid w:val="000932E9"/>
    <w:rsid w:val="00095045"/>
    <w:rsid w:val="00095121"/>
    <w:rsid w:val="00095EDD"/>
    <w:rsid w:val="000962BD"/>
    <w:rsid w:val="0009680C"/>
    <w:rsid w:val="00096A7C"/>
    <w:rsid w:val="00097191"/>
    <w:rsid w:val="00097374"/>
    <w:rsid w:val="000978A0"/>
    <w:rsid w:val="000978DE"/>
    <w:rsid w:val="000A002E"/>
    <w:rsid w:val="000A051A"/>
    <w:rsid w:val="000A0E92"/>
    <w:rsid w:val="000A1F1E"/>
    <w:rsid w:val="000A1F87"/>
    <w:rsid w:val="000A30CA"/>
    <w:rsid w:val="000A3738"/>
    <w:rsid w:val="000A3975"/>
    <w:rsid w:val="000A4214"/>
    <w:rsid w:val="000A45BE"/>
    <w:rsid w:val="000A6274"/>
    <w:rsid w:val="000A6456"/>
    <w:rsid w:val="000A7BC1"/>
    <w:rsid w:val="000B0824"/>
    <w:rsid w:val="000B3FF9"/>
    <w:rsid w:val="000B419E"/>
    <w:rsid w:val="000B500A"/>
    <w:rsid w:val="000B5CDB"/>
    <w:rsid w:val="000B6CA9"/>
    <w:rsid w:val="000B74D8"/>
    <w:rsid w:val="000C023B"/>
    <w:rsid w:val="000C09FC"/>
    <w:rsid w:val="000C0E67"/>
    <w:rsid w:val="000C1BBC"/>
    <w:rsid w:val="000C2FD9"/>
    <w:rsid w:val="000C33ED"/>
    <w:rsid w:val="000C4CA3"/>
    <w:rsid w:val="000C6E1D"/>
    <w:rsid w:val="000D096D"/>
    <w:rsid w:val="000D3E93"/>
    <w:rsid w:val="000D3FAF"/>
    <w:rsid w:val="000D4AFD"/>
    <w:rsid w:val="000D4EB4"/>
    <w:rsid w:val="000D4FB5"/>
    <w:rsid w:val="000D63A2"/>
    <w:rsid w:val="000D7064"/>
    <w:rsid w:val="000D749A"/>
    <w:rsid w:val="000D7E6E"/>
    <w:rsid w:val="000E0874"/>
    <w:rsid w:val="000E219B"/>
    <w:rsid w:val="000E2508"/>
    <w:rsid w:val="000E27D3"/>
    <w:rsid w:val="000E2B5D"/>
    <w:rsid w:val="000E2DF6"/>
    <w:rsid w:val="000E38FE"/>
    <w:rsid w:val="000E3A58"/>
    <w:rsid w:val="000E3B43"/>
    <w:rsid w:val="000E41F3"/>
    <w:rsid w:val="000E44BD"/>
    <w:rsid w:val="000E6046"/>
    <w:rsid w:val="000E6D31"/>
    <w:rsid w:val="000E7A5E"/>
    <w:rsid w:val="000F26E4"/>
    <w:rsid w:val="000F2B45"/>
    <w:rsid w:val="000F4B8B"/>
    <w:rsid w:val="000F4D94"/>
    <w:rsid w:val="000F4E49"/>
    <w:rsid w:val="000F5540"/>
    <w:rsid w:val="000F6185"/>
    <w:rsid w:val="000F6A22"/>
    <w:rsid w:val="000F6CBE"/>
    <w:rsid w:val="000F736F"/>
    <w:rsid w:val="000F73E3"/>
    <w:rsid w:val="000F7A01"/>
    <w:rsid w:val="000F7A10"/>
    <w:rsid w:val="00100264"/>
    <w:rsid w:val="0010041B"/>
    <w:rsid w:val="00100B6B"/>
    <w:rsid w:val="001016E6"/>
    <w:rsid w:val="00101EFF"/>
    <w:rsid w:val="001029BB"/>
    <w:rsid w:val="00102A11"/>
    <w:rsid w:val="001034B2"/>
    <w:rsid w:val="00103A1F"/>
    <w:rsid w:val="00103C86"/>
    <w:rsid w:val="00103FD5"/>
    <w:rsid w:val="0010419E"/>
    <w:rsid w:val="00105AEB"/>
    <w:rsid w:val="00105B6F"/>
    <w:rsid w:val="00105B76"/>
    <w:rsid w:val="00105F4C"/>
    <w:rsid w:val="00106B7C"/>
    <w:rsid w:val="00106FDE"/>
    <w:rsid w:val="001101EB"/>
    <w:rsid w:val="001109CA"/>
    <w:rsid w:val="00111911"/>
    <w:rsid w:val="001120BC"/>
    <w:rsid w:val="00112223"/>
    <w:rsid w:val="001130F6"/>
    <w:rsid w:val="00113649"/>
    <w:rsid w:val="001144B0"/>
    <w:rsid w:val="0011528A"/>
    <w:rsid w:val="001152AC"/>
    <w:rsid w:val="001166CC"/>
    <w:rsid w:val="00117B55"/>
    <w:rsid w:val="00120844"/>
    <w:rsid w:val="00120CE3"/>
    <w:rsid w:val="001212A4"/>
    <w:rsid w:val="001212BA"/>
    <w:rsid w:val="00124EAC"/>
    <w:rsid w:val="00125A05"/>
    <w:rsid w:val="00125D81"/>
    <w:rsid w:val="00126A92"/>
    <w:rsid w:val="0013067D"/>
    <w:rsid w:val="00130CA6"/>
    <w:rsid w:val="00130E0A"/>
    <w:rsid w:val="00131887"/>
    <w:rsid w:val="00133265"/>
    <w:rsid w:val="00133C0C"/>
    <w:rsid w:val="00133D5A"/>
    <w:rsid w:val="001349F8"/>
    <w:rsid w:val="00135272"/>
    <w:rsid w:val="001364F5"/>
    <w:rsid w:val="001367F7"/>
    <w:rsid w:val="00137591"/>
    <w:rsid w:val="00140109"/>
    <w:rsid w:val="00140DF0"/>
    <w:rsid w:val="00140E1E"/>
    <w:rsid w:val="00141490"/>
    <w:rsid w:val="001415D8"/>
    <w:rsid w:val="00141633"/>
    <w:rsid w:val="001417BB"/>
    <w:rsid w:val="0014213D"/>
    <w:rsid w:val="001422D3"/>
    <w:rsid w:val="00143419"/>
    <w:rsid w:val="001458D6"/>
    <w:rsid w:val="001507A7"/>
    <w:rsid w:val="00150C40"/>
    <w:rsid w:val="001510CB"/>
    <w:rsid w:val="0015167F"/>
    <w:rsid w:val="0015262E"/>
    <w:rsid w:val="0015263D"/>
    <w:rsid w:val="00153D3E"/>
    <w:rsid w:val="00154215"/>
    <w:rsid w:val="00154660"/>
    <w:rsid w:val="001552ED"/>
    <w:rsid w:val="0015581B"/>
    <w:rsid w:val="00155B73"/>
    <w:rsid w:val="00157AA2"/>
    <w:rsid w:val="00160639"/>
    <w:rsid w:val="00160829"/>
    <w:rsid w:val="001608F0"/>
    <w:rsid w:val="00162305"/>
    <w:rsid w:val="00162901"/>
    <w:rsid w:val="00163DDE"/>
    <w:rsid w:val="00164571"/>
    <w:rsid w:val="00164C1F"/>
    <w:rsid w:val="00164E7D"/>
    <w:rsid w:val="001652C8"/>
    <w:rsid w:val="00166473"/>
    <w:rsid w:val="00166955"/>
    <w:rsid w:val="00166B94"/>
    <w:rsid w:val="00166F2E"/>
    <w:rsid w:val="00167022"/>
    <w:rsid w:val="00170E08"/>
    <w:rsid w:val="00172482"/>
    <w:rsid w:val="00172533"/>
    <w:rsid w:val="0017253F"/>
    <w:rsid w:val="00172D66"/>
    <w:rsid w:val="00172DED"/>
    <w:rsid w:val="00173828"/>
    <w:rsid w:val="001747D6"/>
    <w:rsid w:val="00174CFE"/>
    <w:rsid w:val="0017527E"/>
    <w:rsid w:val="001752D4"/>
    <w:rsid w:val="00176E6A"/>
    <w:rsid w:val="00176F00"/>
    <w:rsid w:val="0017718B"/>
    <w:rsid w:val="00181F41"/>
    <w:rsid w:val="00183F80"/>
    <w:rsid w:val="00184B17"/>
    <w:rsid w:val="001853EA"/>
    <w:rsid w:val="00187211"/>
    <w:rsid w:val="00187B1B"/>
    <w:rsid w:val="00187CC6"/>
    <w:rsid w:val="00187DDE"/>
    <w:rsid w:val="0019069E"/>
    <w:rsid w:val="0019284E"/>
    <w:rsid w:val="00192865"/>
    <w:rsid w:val="00193930"/>
    <w:rsid w:val="0019694B"/>
    <w:rsid w:val="00197C2C"/>
    <w:rsid w:val="001A07E0"/>
    <w:rsid w:val="001A0B3F"/>
    <w:rsid w:val="001A0D6E"/>
    <w:rsid w:val="001A1CFF"/>
    <w:rsid w:val="001A1DA0"/>
    <w:rsid w:val="001A2481"/>
    <w:rsid w:val="001A2644"/>
    <w:rsid w:val="001A31BB"/>
    <w:rsid w:val="001A3749"/>
    <w:rsid w:val="001A414B"/>
    <w:rsid w:val="001A4D3C"/>
    <w:rsid w:val="001A4E81"/>
    <w:rsid w:val="001A5246"/>
    <w:rsid w:val="001A52BB"/>
    <w:rsid w:val="001A5961"/>
    <w:rsid w:val="001A5DCC"/>
    <w:rsid w:val="001A6345"/>
    <w:rsid w:val="001A6D0A"/>
    <w:rsid w:val="001A7003"/>
    <w:rsid w:val="001A7A31"/>
    <w:rsid w:val="001A7DA8"/>
    <w:rsid w:val="001B0762"/>
    <w:rsid w:val="001B334F"/>
    <w:rsid w:val="001B3C43"/>
    <w:rsid w:val="001B3FFF"/>
    <w:rsid w:val="001B41A8"/>
    <w:rsid w:val="001B4925"/>
    <w:rsid w:val="001B629A"/>
    <w:rsid w:val="001B6BDE"/>
    <w:rsid w:val="001B7DAF"/>
    <w:rsid w:val="001B7FF3"/>
    <w:rsid w:val="001C004B"/>
    <w:rsid w:val="001C084F"/>
    <w:rsid w:val="001C0A6D"/>
    <w:rsid w:val="001C1169"/>
    <w:rsid w:val="001C5140"/>
    <w:rsid w:val="001C73EE"/>
    <w:rsid w:val="001C7574"/>
    <w:rsid w:val="001C779E"/>
    <w:rsid w:val="001C7C4A"/>
    <w:rsid w:val="001D11C3"/>
    <w:rsid w:val="001D15F7"/>
    <w:rsid w:val="001D20DB"/>
    <w:rsid w:val="001D381A"/>
    <w:rsid w:val="001D3CE0"/>
    <w:rsid w:val="001D5943"/>
    <w:rsid w:val="001D5F26"/>
    <w:rsid w:val="001D5FE0"/>
    <w:rsid w:val="001D6346"/>
    <w:rsid w:val="001D717F"/>
    <w:rsid w:val="001D79E6"/>
    <w:rsid w:val="001D7DB3"/>
    <w:rsid w:val="001E03CC"/>
    <w:rsid w:val="001E1249"/>
    <w:rsid w:val="001E26A5"/>
    <w:rsid w:val="001E582C"/>
    <w:rsid w:val="001E63A3"/>
    <w:rsid w:val="001E6771"/>
    <w:rsid w:val="001E7376"/>
    <w:rsid w:val="001F0180"/>
    <w:rsid w:val="001F145E"/>
    <w:rsid w:val="001F1CFA"/>
    <w:rsid w:val="001F22AB"/>
    <w:rsid w:val="001F22FE"/>
    <w:rsid w:val="001F2AFD"/>
    <w:rsid w:val="001F3806"/>
    <w:rsid w:val="001F3831"/>
    <w:rsid w:val="001F39B2"/>
    <w:rsid w:val="001F3F6A"/>
    <w:rsid w:val="001F4543"/>
    <w:rsid w:val="001F4FD2"/>
    <w:rsid w:val="001F57B5"/>
    <w:rsid w:val="001F5957"/>
    <w:rsid w:val="001F6E63"/>
    <w:rsid w:val="00200658"/>
    <w:rsid w:val="00200BAF"/>
    <w:rsid w:val="00200EED"/>
    <w:rsid w:val="0020112E"/>
    <w:rsid w:val="0020339B"/>
    <w:rsid w:val="002033DA"/>
    <w:rsid w:val="00203573"/>
    <w:rsid w:val="00203AAA"/>
    <w:rsid w:val="00203DC9"/>
    <w:rsid w:val="0020583C"/>
    <w:rsid w:val="00205F94"/>
    <w:rsid w:val="00206787"/>
    <w:rsid w:val="0020682E"/>
    <w:rsid w:val="00206876"/>
    <w:rsid w:val="00207A2F"/>
    <w:rsid w:val="00210577"/>
    <w:rsid w:val="00210E59"/>
    <w:rsid w:val="00211942"/>
    <w:rsid w:val="00211AA4"/>
    <w:rsid w:val="00211B21"/>
    <w:rsid w:val="00212EB8"/>
    <w:rsid w:val="002133AB"/>
    <w:rsid w:val="0021366B"/>
    <w:rsid w:val="00213B7A"/>
    <w:rsid w:val="002143EC"/>
    <w:rsid w:val="00214F8D"/>
    <w:rsid w:val="002159AD"/>
    <w:rsid w:val="00215C48"/>
    <w:rsid w:val="00215C84"/>
    <w:rsid w:val="00216170"/>
    <w:rsid w:val="0021632F"/>
    <w:rsid w:val="00216486"/>
    <w:rsid w:val="00216693"/>
    <w:rsid w:val="00217333"/>
    <w:rsid w:val="00220017"/>
    <w:rsid w:val="0022005F"/>
    <w:rsid w:val="0022233D"/>
    <w:rsid w:val="00222720"/>
    <w:rsid w:val="00223849"/>
    <w:rsid w:val="002239F9"/>
    <w:rsid w:val="00224BE4"/>
    <w:rsid w:val="00224C7B"/>
    <w:rsid w:val="00224D7D"/>
    <w:rsid w:val="00224F98"/>
    <w:rsid w:val="002253BE"/>
    <w:rsid w:val="00225603"/>
    <w:rsid w:val="00225EC0"/>
    <w:rsid w:val="00225F59"/>
    <w:rsid w:val="0022661E"/>
    <w:rsid w:val="002270CC"/>
    <w:rsid w:val="002276B3"/>
    <w:rsid w:val="002278AF"/>
    <w:rsid w:val="00227B56"/>
    <w:rsid w:val="00227FD7"/>
    <w:rsid w:val="00230067"/>
    <w:rsid w:val="00230CF5"/>
    <w:rsid w:val="00232F40"/>
    <w:rsid w:val="00233D46"/>
    <w:rsid w:val="00234419"/>
    <w:rsid w:val="00234846"/>
    <w:rsid w:val="00234C29"/>
    <w:rsid w:val="00236B38"/>
    <w:rsid w:val="00240721"/>
    <w:rsid w:val="00240C6E"/>
    <w:rsid w:val="00241149"/>
    <w:rsid w:val="0024125B"/>
    <w:rsid w:val="002429C0"/>
    <w:rsid w:val="00243226"/>
    <w:rsid w:val="00243E3B"/>
    <w:rsid w:val="00244015"/>
    <w:rsid w:val="002450C8"/>
    <w:rsid w:val="002456B5"/>
    <w:rsid w:val="00245746"/>
    <w:rsid w:val="00246417"/>
    <w:rsid w:val="002470FE"/>
    <w:rsid w:val="00247472"/>
    <w:rsid w:val="00247F5B"/>
    <w:rsid w:val="00252747"/>
    <w:rsid w:val="00253685"/>
    <w:rsid w:val="00253B8B"/>
    <w:rsid w:val="00254281"/>
    <w:rsid w:val="00256B33"/>
    <w:rsid w:val="00257095"/>
    <w:rsid w:val="00257760"/>
    <w:rsid w:val="00260159"/>
    <w:rsid w:val="00260704"/>
    <w:rsid w:val="00260957"/>
    <w:rsid w:val="00260C51"/>
    <w:rsid w:val="00261C8F"/>
    <w:rsid w:val="00261E25"/>
    <w:rsid w:val="00262032"/>
    <w:rsid w:val="0026260A"/>
    <w:rsid w:val="002628E8"/>
    <w:rsid w:val="00262B08"/>
    <w:rsid w:val="00263D9B"/>
    <w:rsid w:val="00263DA3"/>
    <w:rsid w:val="00264546"/>
    <w:rsid w:val="00264E74"/>
    <w:rsid w:val="0026501C"/>
    <w:rsid w:val="002652B8"/>
    <w:rsid w:val="00267CCF"/>
    <w:rsid w:val="002705B2"/>
    <w:rsid w:val="00270952"/>
    <w:rsid w:val="00270E14"/>
    <w:rsid w:val="00272784"/>
    <w:rsid w:val="00272B44"/>
    <w:rsid w:val="00272B67"/>
    <w:rsid w:val="00272F06"/>
    <w:rsid w:val="002736A3"/>
    <w:rsid w:val="00273BDE"/>
    <w:rsid w:val="0027403E"/>
    <w:rsid w:val="0027483B"/>
    <w:rsid w:val="00274A9D"/>
    <w:rsid w:val="00274C52"/>
    <w:rsid w:val="002772E2"/>
    <w:rsid w:val="0027745C"/>
    <w:rsid w:val="002777B4"/>
    <w:rsid w:val="00277EF7"/>
    <w:rsid w:val="00280A45"/>
    <w:rsid w:val="00280F75"/>
    <w:rsid w:val="00281300"/>
    <w:rsid w:val="00282327"/>
    <w:rsid w:val="002823F8"/>
    <w:rsid w:val="00283169"/>
    <w:rsid w:val="0028455F"/>
    <w:rsid w:val="00284735"/>
    <w:rsid w:val="00284E09"/>
    <w:rsid w:val="00286951"/>
    <w:rsid w:val="00287389"/>
    <w:rsid w:val="0028779A"/>
    <w:rsid w:val="002877E9"/>
    <w:rsid w:val="00287E90"/>
    <w:rsid w:val="002914EB"/>
    <w:rsid w:val="002931C4"/>
    <w:rsid w:val="00293218"/>
    <w:rsid w:val="00294436"/>
    <w:rsid w:val="002944DE"/>
    <w:rsid w:val="0029476D"/>
    <w:rsid w:val="002947B3"/>
    <w:rsid w:val="0029501A"/>
    <w:rsid w:val="00295CEC"/>
    <w:rsid w:val="00296455"/>
    <w:rsid w:val="0029688E"/>
    <w:rsid w:val="002975FE"/>
    <w:rsid w:val="002A0EE0"/>
    <w:rsid w:val="002A1760"/>
    <w:rsid w:val="002A1A4E"/>
    <w:rsid w:val="002A1A8B"/>
    <w:rsid w:val="002A3156"/>
    <w:rsid w:val="002A3264"/>
    <w:rsid w:val="002A40C1"/>
    <w:rsid w:val="002A45B4"/>
    <w:rsid w:val="002A475B"/>
    <w:rsid w:val="002A4EAB"/>
    <w:rsid w:val="002A559D"/>
    <w:rsid w:val="002A57EE"/>
    <w:rsid w:val="002A5B12"/>
    <w:rsid w:val="002A604D"/>
    <w:rsid w:val="002A726A"/>
    <w:rsid w:val="002B0EEA"/>
    <w:rsid w:val="002B14F2"/>
    <w:rsid w:val="002B1CA5"/>
    <w:rsid w:val="002B2FCD"/>
    <w:rsid w:val="002B3B69"/>
    <w:rsid w:val="002B3FC7"/>
    <w:rsid w:val="002B450F"/>
    <w:rsid w:val="002B5803"/>
    <w:rsid w:val="002B63BC"/>
    <w:rsid w:val="002B664C"/>
    <w:rsid w:val="002B6963"/>
    <w:rsid w:val="002B6BAB"/>
    <w:rsid w:val="002B6F7E"/>
    <w:rsid w:val="002C0100"/>
    <w:rsid w:val="002C0D0C"/>
    <w:rsid w:val="002C1380"/>
    <w:rsid w:val="002C1763"/>
    <w:rsid w:val="002C189C"/>
    <w:rsid w:val="002C1CAD"/>
    <w:rsid w:val="002C2DE3"/>
    <w:rsid w:val="002C3D47"/>
    <w:rsid w:val="002C4D2F"/>
    <w:rsid w:val="002C4EE8"/>
    <w:rsid w:val="002C50D6"/>
    <w:rsid w:val="002C5912"/>
    <w:rsid w:val="002C680B"/>
    <w:rsid w:val="002C71D5"/>
    <w:rsid w:val="002C748A"/>
    <w:rsid w:val="002C786C"/>
    <w:rsid w:val="002D00E7"/>
    <w:rsid w:val="002D016B"/>
    <w:rsid w:val="002D0DE4"/>
    <w:rsid w:val="002D1E65"/>
    <w:rsid w:val="002D3438"/>
    <w:rsid w:val="002D3856"/>
    <w:rsid w:val="002D4736"/>
    <w:rsid w:val="002D48FE"/>
    <w:rsid w:val="002D6554"/>
    <w:rsid w:val="002D6EE6"/>
    <w:rsid w:val="002E3308"/>
    <w:rsid w:val="002E3780"/>
    <w:rsid w:val="002E37F9"/>
    <w:rsid w:val="002E3A2C"/>
    <w:rsid w:val="002E46A0"/>
    <w:rsid w:val="002E5150"/>
    <w:rsid w:val="002E59BA"/>
    <w:rsid w:val="002E6018"/>
    <w:rsid w:val="002E6317"/>
    <w:rsid w:val="002E794C"/>
    <w:rsid w:val="002F066F"/>
    <w:rsid w:val="002F0EDB"/>
    <w:rsid w:val="002F15C9"/>
    <w:rsid w:val="002F15F0"/>
    <w:rsid w:val="002F33F0"/>
    <w:rsid w:val="002F3CAD"/>
    <w:rsid w:val="002F3CD3"/>
    <w:rsid w:val="002F3E49"/>
    <w:rsid w:val="002F4312"/>
    <w:rsid w:val="002F510C"/>
    <w:rsid w:val="002F54EA"/>
    <w:rsid w:val="002F7300"/>
    <w:rsid w:val="0030099A"/>
    <w:rsid w:val="00302FF2"/>
    <w:rsid w:val="003030D5"/>
    <w:rsid w:val="00303A70"/>
    <w:rsid w:val="00304DD9"/>
    <w:rsid w:val="00305320"/>
    <w:rsid w:val="00305731"/>
    <w:rsid w:val="00305852"/>
    <w:rsid w:val="0030795B"/>
    <w:rsid w:val="00307DD5"/>
    <w:rsid w:val="00307FCC"/>
    <w:rsid w:val="003108E7"/>
    <w:rsid w:val="003113B0"/>
    <w:rsid w:val="00311558"/>
    <w:rsid w:val="00311CA1"/>
    <w:rsid w:val="00312514"/>
    <w:rsid w:val="00312FEF"/>
    <w:rsid w:val="00313638"/>
    <w:rsid w:val="0031427C"/>
    <w:rsid w:val="0031429C"/>
    <w:rsid w:val="003151E2"/>
    <w:rsid w:val="003162ED"/>
    <w:rsid w:val="003166AC"/>
    <w:rsid w:val="00317245"/>
    <w:rsid w:val="00320921"/>
    <w:rsid w:val="0032103C"/>
    <w:rsid w:val="0032166B"/>
    <w:rsid w:val="00321DF9"/>
    <w:rsid w:val="0032273E"/>
    <w:rsid w:val="00322DE6"/>
    <w:rsid w:val="00322E23"/>
    <w:rsid w:val="00322E86"/>
    <w:rsid w:val="00324083"/>
    <w:rsid w:val="00325A66"/>
    <w:rsid w:val="0032694E"/>
    <w:rsid w:val="00333093"/>
    <w:rsid w:val="003331AF"/>
    <w:rsid w:val="00333EE5"/>
    <w:rsid w:val="003340FB"/>
    <w:rsid w:val="0033443D"/>
    <w:rsid w:val="003347F7"/>
    <w:rsid w:val="00334896"/>
    <w:rsid w:val="0033557A"/>
    <w:rsid w:val="00335906"/>
    <w:rsid w:val="00335935"/>
    <w:rsid w:val="00336923"/>
    <w:rsid w:val="00340783"/>
    <w:rsid w:val="00340E31"/>
    <w:rsid w:val="0034155B"/>
    <w:rsid w:val="00341770"/>
    <w:rsid w:val="00341E97"/>
    <w:rsid w:val="00342028"/>
    <w:rsid w:val="00342883"/>
    <w:rsid w:val="00342B40"/>
    <w:rsid w:val="00342BF7"/>
    <w:rsid w:val="00342C18"/>
    <w:rsid w:val="00343141"/>
    <w:rsid w:val="0034513B"/>
    <w:rsid w:val="0034561F"/>
    <w:rsid w:val="00345E25"/>
    <w:rsid w:val="00346A78"/>
    <w:rsid w:val="00346BDD"/>
    <w:rsid w:val="003477AB"/>
    <w:rsid w:val="003500EF"/>
    <w:rsid w:val="0035010D"/>
    <w:rsid w:val="00351609"/>
    <w:rsid w:val="003517B6"/>
    <w:rsid w:val="003530B2"/>
    <w:rsid w:val="003538A7"/>
    <w:rsid w:val="00354062"/>
    <w:rsid w:val="00354C2D"/>
    <w:rsid w:val="00354D87"/>
    <w:rsid w:val="003569AA"/>
    <w:rsid w:val="003571B3"/>
    <w:rsid w:val="00357368"/>
    <w:rsid w:val="003575F3"/>
    <w:rsid w:val="003575F6"/>
    <w:rsid w:val="00357A61"/>
    <w:rsid w:val="00357EC3"/>
    <w:rsid w:val="00360951"/>
    <w:rsid w:val="003612A1"/>
    <w:rsid w:val="00361D82"/>
    <w:rsid w:val="00362398"/>
    <w:rsid w:val="003625CB"/>
    <w:rsid w:val="0036328D"/>
    <w:rsid w:val="0036363C"/>
    <w:rsid w:val="0036421F"/>
    <w:rsid w:val="0036467F"/>
    <w:rsid w:val="00364ADA"/>
    <w:rsid w:val="00365852"/>
    <w:rsid w:val="0036745A"/>
    <w:rsid w:val="0037059A"/>
    <w:rsid w:val="00370774"/>
    <w:rsid w:val="00372178"/>
    <w:rsid w:val="00374B5B"/>
    <w:rsid w:val="00376631"/>
    <w:rsid w:val="00376C57"/>
    <w:rsid w:val="00377663"/>
    <w:rsid w:val="00377F10"/>
    <w:rsid w:val="003805DB"/>
    <w:rsid w:val="00380D14"/>
    <w:rsid w:val="00382D7F"/>
    <w:rsid w:val="00383F7A"/>
    <w:rsid w:val="00383F92"/>
    <w:rsid w:val="00384095"/>
    <w:rsid w:val="003842A8"/>
    <w:rsid w:val="00384CD7"/>
    <w:rsid w:val="003851D0"/>
    <w:rsid w:val="0038612C"/>
    <w:rsid w:val="00386190"/>
    <w:rsid w:val="003863BE"/>
    <w:rsid w:val="003864B2"/>
    <w:rsid w:val="00386925"/>
    <w:rsid w:val="00386E6D"/>
    <w:rsid w:val="00387182"/>
    <w:rsid w:val="00387E78"/>
    <w:rsid w:val="00390163"/>
    <w:rsid w:val="00390F68"/>
    <w:rsid w:val="003916CF"/>
    <w:rsid w:val="00393FD7"/>
    <w:rsid w:val="0039407B"/>
    <w:rsid w:val="00394F77"/>
    <w:rsid w:val="003A015C"/>
    <w:rsid w:val="003A0832"/>
    <w:rsid w:val="003A1515"/>
    <w:rsid w:val="003A25A1"/>
    <w:rsid w:val="003A2AAB"/>
    <w:rsid w:val="003A401B"/>
    <w:rsid w:val="003A4ECC"/>
    <w:rsid w:val="003A61F7"/>
    <w:rsid w:val="003A7881"/>
    <w:rsid w:val="003A7B70"/>
    <w:rsid w:val="003B0069"/>
    <w:rsid w:val="003B0507"/>
    <w:rsid w:val="003B06FB"/>
    <w:rsid w:val="003B2174"/>
    <w:rsid w:val="003B26C0"/>
    <w:rsid w:val="003B307D"/>
    <w:rsid w:val="003B405C"/>
    <w:rsid w:val="003B41BC"/>
    <w:rsid w:val="003B4B4C"/>
    <w:rsid w:val="003B4D0D"/>
    <w:rsid w:val="003B502B"/>
    <w:rsid w:val="003B5F93"/>
    <w:rsid w:val="003B63E2"/>
    <w:rsid w:val="003B64DC"/>
    <w:rsid w:val="003B66E6"/>
    <w:rsid w:val="003B69D9"/>
    <w:rsid w:val="003B6ABF"/>
    <w:rsid w:val="003B6B2D"/>
    <w:rsid w:val="003C0366"/>
    <w:rsid w:val="003C0993"/>
    <w:rsid w:val="003C1747"/>
    <w:rsid w:val="003C2567"/>
    <w:rsid w:val="003C35CA"/>
    <w:rsid w:val="003C3FC0"/>
    <w:rsid w:val="003C48E2"/>
    <w:rsid w:val="003C50F4"/>
    <w:rsid w:val="003C697D"/>
    <w:rsid w:val="003C6ED3"/>
    <w:rsid w:val="003C71C2"/>
    <w:rsid w:val="003C7512"/>
    <w:rsid w:val="003C7B88"/>
    <w:rsid w:val="003C7BA4"/>
    <w:rsid w:val="003D060C"/>
    <w:rsid w:val="003D0C17"/>
    <w:rsid w:val="003D2B59"/>
    <w:rsid w:val="003D3515"/>
    <w:rsid w:val="003D36C9"/>
    <w:rsid w:val="003D4419"/>
    <w:rsid w:val="003D47D1"/>
    <w:rsid w:val="003D64CE"/>
    <w:rsid w:val="003D66F2"/>
    <w:rsid w:val="003D6BF8"/>
    <w:rsid w:val="003D7A73"/>
    <w:rsid w:val="003E1487"/>
    <w:rsid w:val="003E202C"/>
    <w:rsid w:val="003E2436"/>
    <w:rsid w:val="003E2560"/>
    <w:rsid w:val="003E26C3"/>
    <w:rsid w:val="003E29C1"/>
    <w:rsid w:val="003E309A"/>
    <w:rsid w:val="003E4281"/>
    <w:rsid w:val="003E5C73"/>
    <w:rsid w:val="003E7F6C"/>
    <w:rsid w:val="003F05B1"/>
    <w:rsid w:val="003F0C87"/>
    <w:rsid w:val="003F13FA"/>
    <w:rsid w:val="003F1DD8"/>
    <w:rsid w:val="003F1EB7"/>
    <w:rsid w:val="003F2054"/>
    <w:rsid w:val="003F2240"/>
    <w:rsid w:val="003F2676"/>
    <w:rsid w:val="003F2D48"/>
    <w:rsid w:val="003F3209"/>
    <w:rsid w:val="003F38E5"/>
    <w:rsid w:val="003F4389"/>
    <w:rsid w:val="003F51FF"/>
    <w:rsid w:val="003F5747"/>
    <w:rsid w:val="003F5D17"/>
    <w:rsid w:val="003F6572"/>
    <w:rsid w:val="003F6697"/>
    <w:rsid w:val="003F6731"/>
    <w:rsid w:val="003F68C8"/>
    <w:rsid w:val="003F773D"/>
    <w:rsid w:val="003F7AE3"/>
    <w:rsid w:val="003F7CB0"/>
    <w:rsid w:val="004003D0"/>
    <w:rsid w:val="004009A9"/>
    <w:rsid w:val="00400ADD"/>
    <w:rsid w:val="00400E86"/>
    <w:rsid w:val="0040163D"/>
    <w:rsid w:val="004016C2"/>
    <w:rsid w:val="00403339"/>
    <w:rsid w:val="00403540"/>
    <w:rsid w:val="00403B14"/>
    <w:rsid w:val="0040484A"/>
    <w:rsid w:val="00404D77"/>
    <w:rsid w:val="00405336"/>
    <w:rsid w:val="0040598F"/>
    <w:rsid w:val="004059A8"/>
    <w:rsid w:val="00406CE4"/>
    <w:rsid w:val="0041059C"/>
    <w:rsid w:val="004119A3"/>
    <w:rsid w:val="00413866"/>
    <w:rsid w:val="004146E3"/>
    <w:rsid w:val="00414873"/>
    <w:rsid w:val="0041547D"/>
    <w:rsid w:val="00415EA6"/>
    <w:rsid w:val="00415FA1"/>
    <w:rsid w:val="0041600E"/>
    <w:rsid w:val="00416EB0"/>
    <w:rsid w:val="00417682"/>
    <w:rsid w:val="00417D98"/>
    <w:rsid w:val="004213DD"/>
    <w:rsid w:val="004217EC"/>
    <w:rsid w:val="00421A5E"/>
    <w:rsid w:val="00422C1C"/>
    <w:rsid w:val="00423113"/>
    <w:rsid w:val="00423B9A"/>
    <w:rsid w:val="00423EE5"/>
    <w:rsid w:val="00424408"/>
    <w:rsid w:val="00424D9C"/>
    <w:rsid w:val="004254BC"/>
    <w:rsid w:val="0042588D"/>
    <w:rsid w:val="00426F6F"/>
    <w:rsid w:val="00427B66"/>
    <w:rsid w:val="00430112"/>
    <w:rsid w:val="00430968"/>
    <w:rsid w:val="0043134D"/>
    <w:rsid w:val="004323D4"/>
    <w:rsid w:val="00432403"/>
    <w:rsid w:val="00433BAE"/>
    <w:rsid w:val="00434959"/>
    <w:rsid w:val="00434A41"/>
    <w:rsid w:val="00435182"/>
    <w:rsid w:val="0043628C"/>
    <w:rsid w:val="0043695F"/>
    <w:rsid w:val="0044142E"/>
    <w:rsid w:val="004419C9"/>
    <w:rsid w:val="00441E31"/>
    <w:rsid w:val="004422C2"/>
    <w:rsid w:val="00442C53"/>
    <w:rsid w:val="0044332D"/>
    <w:rsid w:val="00443B45"/>
    <w:rsid w:val="00443DBB"/>
    <w:rsid w:val="004444C6"/>
    <w:rsid w:val="00444F84"/>
    <w:rsid w:val="0044533E"/>
    <w:rsid w:val="0044591A"/>
    <w:rsid w:val="00445AEE"/>
    <w:rsid w:val="0044671D"/>
    <w:rsid w:val="00446EFE"/>
    <w:rsid w:val="004475AB"/>
    <w:rsid w:val="00447DB9"/>
    <w:rsid w:val="00450077"/>
    <w:rsid w:val="00452027"/>
    <w:rsid w:val="004530E0"/>
    <w:rsid w:val="004532CA"/>
    <w:rsid w:val="004537B3"/>
    <w:rsid w:val="004542BA"/>
    <w:rsid w:val="00454433"/>
    <w:rsid w:val="00454D99"/>
    <w:rsid w:val="004567F7"/>
    <w:rsid w:val="00456C43"/>
    <w:rsid w:val="004572EB"/>
    <w:rsid w:val="0045793D"/>
    <w:rsid w:val="0046076B"/>
    <w:rsid w:val="004611A9"/>
    <w:rsid w:val="004611DA"/>
    <w:rsid w:val="00461224"/>
    <w:rsid w:val="004617A2"/>
    <w:rsid w:val="00462413"/>
    <w:rsid w:val="004625A9"/>
    <w:rsid w:val="0046291A"/>
    <w:rsid w:val="00462BEB"/>
    <w:rsid w:val="00463435"/>
    <w:rsid w:val="00463D6A"/>
    <w:rsid w:val="00464072"/>
    <w:rsid w:val="004655C1"/>
    <w:rsid w:val="00465A4E"/>
    <w:rsid w:val="00465C12"/>
    <w:rsid w:val="00466176"/>
    <w:rsid w:val="0046781D"/>
    <w:rsid w:val="00470419"/>
    <w:rsid w:val="0047088D"/>
    <w:rsid w:val="0047136B"/>
    <w:rsid w:val="004715C6"/>
    <w:rsid w:val="00472773"/>
    <w:rsid w:val="00472F44"/>
    <w:rsid w:val="00473A38"/>
    <w:rsid w:val="0047411B"/>
    <w:rsid w:val="0047438A"/>
    <w:rsid w:val="00475186"/>
    <w:rsid w:val="004755DF"/>
    <w:rsid w:val="00475974"/>
    <w:rsid w:val="00475D38"/>
    <w:rsid w:val="00476185"/>
    <w:rsid w:val="00476303"/>
    <w:rsid w:val="00476877"/>
    <w:rsid w:val="00476CAB"/>
    <w:rsid w:val="0047706A"/>
    <w:rsid w:val="004772D0"/>
    <w:rsid w:val="004802B3"/>
    <w:rsid w:val="0048072D"/>
    <w:rsid w:val="00480910"/>
    <w:rsid w:val="00480F44"/>
    <w:rsid w:val="004817B9"/>
    <w:rsid w:val="004822BE"/>
    <w:rsid w:val="004823A9"/>
    <w:rsid w:val="004825CA"/>
    <w:rsid w:val="00482699"/>
    <w:rsid w:val="00482F30"/>
    <w:rsid w:val="004831BE"/>
    <w:rsid w:val="00484765"/>
    <w:rsid w:val="00484F42"/>
    <w:rsid w:val="00484F4C"/>
    <w:rsid w:val="0048527B"/>
    <w:rsid w:val="00485C8C"/>
    <w:rsid w:val="00486097"/>
    <w:rsid w:val="004864CB"/>
    <w:rsid w:val="0049034E"/>
    <w:rsid w:val="0049052A"/>
    <w:rsid w:val="004912C4"/>
    <w:rsid w:val="00491DD2"/>
    <w:rsid w:val="00492EE6"/>
    <w:rsid w:val="00493050"/>
    <w:rsid w:val="00493345"/>
    <w:rsid w:val="004941B9"/>
    <w:rsid w:val="0049569A"/>
    <w:rsid w:val="00496417"/>
    <w:rsid w:val="004965CB"/>
    <w:rsid w:val="00496D5D"/>
    <w:rsid w:val="00496F46"/>
    <w:rsid w:val="004975E1"/>
    <w:rsid w:val="00497609"/>
    <w:rsid w:val="004978FE"/>
    <w:rsid w:val="00497914"/>
    <w:rsid w:val="00497C9E"/>
    <w:rsid w:val="00497DA3"/>
    <w:rsid w:val="004A0108"/>
    <w:rsid w:val="004A043E"/>
    <w:rsid w:val="004A052A"/>
    <w:rsid w:val="004A163C"/>
    <w:rsid w:val="004A204F"/>
    <w:rsid w:val="004A2206"/>
    <w:rsid w:val="004A2549"/>
    <w:rsid w:val="004A312E"/>
    <w:rsid w:val="004A3475"/>
    <w:rsid w:val="004A3FD9"/>
    <w:rsid w:val="004A4391"/>
    <w:rsid w:val="004A530C"/>
    <w:rsid w:val="004A5350"/>
    <w:rsid w:val="004A65F8"/>
    <w:rsid w:val="004A6853"/>
    <w:rsid w:val="004A6CC8"/>
    <w:rsid w:val="004A703E"/>
    <w:rsid w:val="004A73BD"/>
    <w:rsid w:val="004A79B0"/>
    <w:rsid w:val="004B030A"/>
    <w:rsid w:val="004B3FFD"/>
    <w:rsid w:val="004B4843"/>
    <w:rsid w:val="004B4CAC"/>
    <w:rsid w:val="004B619A"/>
    <w:rsid w:val="004B6E38"/>
    <w:rsid w:val="004B6EB9"/>
    <w:rsid w:val="004B6EFF"/>
    <w:rsid w:val="004B7E31"/>
    <w:rsid w:val="004C0221"/>
    <w:rsid w:val="004C02E4"/>
    <w:rsid w:val="004C0356"/>
    <w:rsid w:val="004C05AD"/>
    <w:rsid w:val="004C07F1"/>
    <w:rsid w:val="004C08E8"/>
    <w:rsid w:val="004C0FA8"/>
    <w:rsid w:val="004C1327"/>
    <w:rsid w:val="004C1995"/>
    <w:rsid w:val="004C2A9D"/>
    <w:rsid w:val="004C3F09"/>
    <w:rsid w:val="004C4248"/>
    <w:rsid w:val="004C49A4"/>
    <w:rsid w:val="004C54FC"/>
    <w:rsid w:val="004C5DA5"/>
    <w:rsid w:val="004C5DFB"/>
    <w:rsid w:val="004C615E"/>
    <w:rsid w:val="004C7BFA"/>
    <w:rsid w:val="004D0166"/>
    <w:rsid w:val="004D03A1"/>
    <w:rsid w:val="004D0A34"/>
    <w:rsid w:val="004D1488"/>
    <w:rsid w:val="004D16B7"/>
    <w:rsid w:val="004D16FB"/>
    <w:rsid w:val="004D2201"/>
    <w:rsid w:val="004D2C1F"/>
    <w:rsid w:val="004D4632"/>
    <w:rsid w:val="004D5B1F"/>
    <w:rsid w:val="004D668E"/>
    <w:rsid w:val="004D6764"/>
    <w:rsid w:val="004D731D"/>
    <w:rsid w:val="004D7DA7"/>
    <w:rsid w:val="004E0252"/>
    <w:rsid w:val="004E169E"/>
    <w:rsid w:val="004E1789"/>
    <w:rsid w:val="004E18D5"/>
    <w:rsid w:val="004E1958"/>
    <w:rsid w:val="004E1FA2"/>
    <w:rsid w:val="004E2717"/>
    <w:rsid w:val="004E4F05"/>
    <w:rsid w:val="004E6012"/>
    <w:rsid w:val="004E6AF0"/>
    <w:rsid w:val="004E70EB"/>
    <w:rsid w:val="004E7866"/>
    <w:rsid w:val="004E7AFD"/>
    <w:rsid w:val="004F0533"/>
    <w:rsid w:val="004F258F"/>
    <w:rsid w:val="004F32D6"/>
    <w:rsid w:val="004F3430"/>
    <w:rsid w:val="004F3BC1"/>
    <w:rsid w:val="004F6422"/>
    <w:rsid w:val="00500451"/>
    <w:rsid w:val="00500C79"/>
    <w:rsid w:val="00500FFB"/>
    <w:rsid w:val="005017EB"/>
    <w:rsid w:val="00501C04"/>
    <w:rsid w:val="00502BCD"/>
    <w:rsid w:val="00503177"/>
    <w:rsid w:val="00503BF7"/>
    <w:rsid w:val="00503F2C"/>
    <w:rsid w:val="005046F6"/>
    <w:rsid w:val="005048F0"/>
    <w:rsid w:val="005057EB"/>
    <w:rsid w:val="00505A4F"/>
    <w:rsid w:val="00506C4A"/>
    <w:rsid w:val="005075AE"/>
    <w:rsid w:val="005112CB"/>
    <w:rsid w:val="00511505"/>
    <w:rsid w:val="00511EA0"/>
    <w:rsid w:val="00512351"/>
    <w:rsid w:val="005126F3"/>
    <w:rsid w:val="005134DF"/>
    <w:rsid w:val="005138FF"/>
    <w:rsid w:val="00513D9D"/>
    <w:rsid w:val="00514F65"/>
    <w:rsid w:val="00515055"/>
    <w:rsid w:val="005156E3"/>
    <w:rsid w:val="00516959"/>
    <w:rsid w:val="00517012"/>
    <w:rsid w:val="005175A3"/>
    <w:rsid w:val="00517DA2"/>
    <w:rsid w:val="00517DA8"/>
    <w:rsid w:val="005214D5"/>
    <w:rsid w:val="00522DB7"/>
    <w:rsid w:val="00523946"/>
    <w:rsid w:val="0052490F"/>
    <w:rsid w:val="00525552"/>
    <w:rsid w:val="00525C42"/>
    <w:rsid w:val="00526080"/>
    <w:rsid w:val="00526D8C"/>
    <w:rsid w:val="00526F9D"/>
    <w:rsid w:val="005272C4"/>
    <w:rsid w:val="005320D4"/>
    <w:rsid w:val="00532601"/>
    <w:rsid w:val="00533022"/>
    <w:rsid w:val="0053390B"/>
    <w:rsid w:val="005347A1"/>
    <w:rsid w:val="00535343"/>
    <w:rsid w:val="00535B8B"/>
    <w:rsid w:val="0053758F"/>
    <w:rsid w:val="005379E4"/>
    <w:rsid w:val="00540332"/>
    <w:rsid w:val="00540489"/>
    <w:rsid w:val="00541013"/>
    <w:rsid w:val="00541150"/>
    <w:rsid w:val="0054160A"/>
    <w:rsid w:val="005416B8"/>
    <w:rsid w:val="005437F2"/>
    <w:rsid w:val="00543C49"/>
    <w:rsid w:val="00543E17"/>
    <w:rsid w:val="0054580F"/>
    <w:rsid w:val="00547743"/>
    <w:rsid w:val="00547BF9"/>
    <w:rsid w:val="005518BF"/>
    <w:rsid w:val="005518C9"/>
    <w:rsid w:val="005519BA"/>
    <w:rsid w:val="00551D14"/>
    <w:rsid w:val="005532F1"/>
    <w:rsid w:val="005556E5"/>
    <w:rsid w:val="0055603C"/>
    <w:rsid w:val="005563E6"/>
    <w:rsid w:val="0055733D"/>
    <w:rsid w:val="00557C11"/>
    <w:rsid w:val="00557F91"/>
    <w:rsid w:val="005607B1"/>
    <w:rsid w:val="00561266"/>
    <w:rsid w:val="00562A1A"/>
    <w:rsid w:val="00562E07"/>
    <w:rsid w:val="005637DE"/>
    <w:rsid w:val="00563969"/>
    <w:rsid w:val="0056402A"/>
    <w:rsid w:val="00565C01"/>
    <w:rsid w:val="00565E3B"/>
    <w:rsid w:val="00566980"/>
    <w:rsid w:val="00570390"/>
    <w:rsid w:val="00570CC5"/>
    <w:rsid w:val="00572098"/>
    <w:rsid w:val="00572614"/>
    <w:rsid w:val="00572FE8"/>
    <w:rsid w:val="00575CE2"/>
    <w:rsid w:val="0057670A"/>
    <w:rsid w:val="00576E7B"/>
    <w:rsid w:val="00577120"/>
    <w:rsid w:val="005805F8"/>
    <w:rsid w:val="00580E8D"/>
    <w:rsid w:val="0058141E"/>
    <w:rsid w:val="00584B6C"/>
    <w:rsid w:val="00584C4D"/>
    <w:rsid w:val="00584D27"/>
    <w:rsid w:val="00584E8E"/>
    <w:rsid w:val="00585846"/>
    <w:rsid w:val="00585CC0"/>
    <w:rsid w:val="005877F2"/>
    <w:rsid w:val="005907A0"/>
    <w:rsid w:val="00590C15"/>
    <w:rsid w:val="00590FAA"/>
    <w:rsid w:val="0059111A"/>
    <w:rsid w:val="00591699"/>
    <w:rsid w:val="005918F9"/>
    <w:rsid w:val="0059239B"/>
    <w:rsid w:val="00593076"/>
    <w:rsid w:val="005936B2"/>
    <w:rsid w:val="005940F1"/>
    <w:rsid w:val="005941B4"/>
    <w:rsid w:val="005A0C9F"/>
    <w:rsid w:val="005A15E4"/>
    <w:rsid w:val="005A23E0"/>
    <w:rsid w:val="005A42DB"/>
    <w:rsid w:val="005A4EE9"/>
    <w:rsid w:val="005A5782"/>
    <w:rsid w:val="005A585E"/>
    <w:rsid w:val="005A58DD"/>
    <w:rsid w:val="005A6349"/>
    <w:rsid w:val="005A6CD7"/>
    <w:rsid w:val="005A7637"/>
    <w:rsid w:val="005B02BA"/>
    <w:rsid w:val="005B1E4A"/>
    <w:rsid w:val="005B20CD"/>
    <w:rsid w:val="005B29D7"/>
    <w:rsid w:val="005B2A8C"/>
    <w:rsid w:val="005B2D71"/>
    <w:rsid w:val="005B3115"/>
    <w:rsid w:val="005B3906"/>
    <w:rsid w:val="005B40B9"/>
    <w:rsid w:val="005B4EA0"/>
    <w:rsid w:val="005B5926"/>
    <w:rsid w:val="005B59C7"/>
    <w:rsid w:val="005B5D38"/>
    <w:rsid w:val="005B6C2F"/>
    <w:rsid w:val="005C04C6"/>
    <w:rsid w:val="005C102A"/>
    <w:rsid w:val="005C1263"/>
    <w:rsid w:val="005C1271"/>
    <w:rsid w:val="005C1BB5"/>
    <w:rsid w:val="005C243F"/>
    <w:rsid w:val="005C246A"/>
    <w:rsid w:val="005C3406"/>
    <w:rsid w:val="005C47A5"/>
    <w:rsid w:val="005C4B8A"/>
    <w:rsid w:val="005C53A9"/>
    <w:rsid w:val="005C54AC"/>
    <w:rsid w:val="005C5609"/>
    <w:rsid w:val="005C5B98"/>
    <w:rsid w:val="005C6D6B"/>
    <w:rsid w:val="005D00C8"/>
    <w:rsid w:val="005D1516"/>
    <w:rsid w:val="005D1AAD"/>
    <w:rsid w:val="005D32CC"/>
    <w:rsid w:val="005D4404"/>
    <w:rsid w:val="005D54D9"/>
    <w:rsid w:val="005D5FB1"/>
    <w:rsid w:val="005D60BD"/>
    <w:rsid w:val="005D6926"/>
    <w:rsid w:val="005D6BA9"/>
    <w:rsid w:val="005D6C6F"/>
    <w:rsid w:val="005D7D9F"/>
    <w:rsid w:val="005E00AB"/>
    <w:rsid w:val="005E03B8"/>
    <w:rsid w:val="005E095B"/>
    <w:rsid w:val="005E0EBA"/>
    <w:rsid w:val="005E1C13"/>
    <w:rsid w:val="005E2187"/>
    <w:rsid w:val="005E2836"/>
    <w:rsid w:val="005E2F63"/>
    <w:rsid w:val="005E3A0A"/>
    <w:rsid w:val="005E4405"/>
    <w:rsid w:val="005E479E"/>
    <w:rsid w:val="005E516A"/>
    <w:rsid w:val="005E5236"/>
    <w:rsid w:val="005E6439"/>
    <w:rsid w:val="005E6C54"/>
    <w:rsid w:val="005E7E37"/>
    <w:rsid w:val="005F04B1"/>
    <w:rsid w:val="005F173A"/>
    <w:rsid w:val="005F1F8C"/>
    <w:rsid w:val="005F207F"/>
    <w:rsid w:val="005F2225"/>
    <w:rsid w:val="005F2635"/>
    <w:rsid w:val="005F26C4"/>
    <w:rsid w:val="005F2AEE"/>
    <w:rsid w:val="005F445E"/>
    <w:rsid w:val="005F4DEF"/>
    <w:rsid w:val="005F692D"/>
    <w:rsid w:val="005F7151"/>
    <w:rsid w:val="005F769E"/>
    <w:rsid w:val="005F7997"/>
    <w:rsid w:val="006007D6"/>
    <w:rsid w:val="00600A52"/>
    <w:rsid w:val="00600CF9"/>
    <w:rsid w:val="00602035"/>
    <w:rsid w:val="00602B69"/>
    <w:rsid w:val="0060308B"/>
    <w:rsid w:val="00603109"/>
    <w:rsid w:val="006039D7"/>
    <w:rsid w:val="00604BCB"/>
    <w:rsid w:val="0060502F"/>
    <w:rsid w:val="00605830"/>
    <w:rsid w:val="006058A8"/>
    <w:rsid w:val="00606660"/>
    <w:rsid w:val="0060666C"/>
    <w:rsid w:val="00606BBD"/>
    <w:rsid w:val="006105CC"/>
    <w:rsid w:val="00610D93"/>
    <w:rsid w:val="00611030"/>
    <w:rsid w:val="006113AF"/>
    <w:rsid w:val="00611EAD"/>
    <w:rsid w:val="00612544"/>
    <w:rsid w:val="00612B08"/>
    <w:rsid w:val="0061354A"/>
    <w:rsid w:val="006137CD"/>
    <w:rsid w:val="006147BD"/>
    <w:rsid w:val="00614971"/>
    <w:rsid w:val="00614AF3"/>
    <w:rsid w:val="006158FA"/>
    <w:rsid w:val="006163ED"/>
    <w:rsid w:val="00617B9F"/>
    <w:rsid w:val="00617D02"/>
    <w:rsid w:val="0062096F"/>
    <w:rsid w:val="00620D91"/>
    <w:rsid w:val="00620FE7"/>
    <w:rsid w:val="0062120D"/>
    <w:rsid w:val="00621648"/>
    <w:rsid w:val="00621678"/>
    <w:rsid w:val="0062183E"/>
    <w:rsid w:val="00622DE4"/>
    <w:rsid w:val="00624027"/>
    <w:rsid w:val="00626766"/>
    <w:rsid w:val="00626A58"/>
    <w:rsid w:val="00626AB8"/>
    <w:rsid w:val="006270F3"/>
    <w:rsid w:val="00630036"/>
    <w:rsid w:val="006307D9"/>
    <w:rsid w:val="00631000"/>
    <w:rsid w:val="0063111B"/>
    <w:rsid w:val="006343A4"/>
    <w:rsid w:val="006345E6"/>
    <w:rsid w:val="006347D4"/>
    <w:rsid w:val="00634A3E"/>
    <w:rsid w:val="006355D6"/>
    <w:rsid w:val="006356DF"/>
    <w:rsid w:val="00636111"/>
    <w:rsid w:val="006400F6"/>
    <w:rsid w:val="00641753"/>
    <w:rsid w:val="00643465"/>
    <w:rsid w:val="00643C61"/>
    <w:rsid w:val="00643FEC"/>
    <w:rsid w:val="0064432E"/>
    <w:rsid w:val="006456F1"/>
    <w:rsid w:val="00645E14"/>
    <w:rsid w:val="006464D1"/>
    <w:rsid w:val="006478C3"/>
    <w:rsid w:val="0064795E"/>
    <w:rsid w:val="0065191C"/>
    <w:rsid w:val="00651992"/>
    <w:rsid w:val="00651A15"/>
    <w:rsid w:val="00651A65"/>
    <w:rsid w:val="00651AEA"/>
    <w:rsid w:val="006533D8"/>
    <w:rsid w:val="0065372A"/>
    <w:rsid w:val="00654965"/>
    <w:rsid w:val="0065569A"/>
    <w:rsid w:val="00656251"/>
    <w:rsid w:val="00656541"/>
    <w:rsid w:val="00657DFB"/>
    <w:rsid w:val="006611B4"/>
    <w:rsid w:val="006615E8"/>
    <w:rsid w:val="006622CC"/>
    <w:rsid w:val="006629C1"/>
    <w:rsid w:val="00664630"/>
    <w:rsid w:val="00664CF6"/>
    <w:rsid w:val="006657BA"/>
    <w:rsid w:val="0066630A"/>
    <w:rsid w:val="006665EC"/>
    <w:rsid w:val="00666B18"/>
    <w:rsid w:val="00670468"/>
    <w:rsid w:val="00670BE9"/>
    <w:rsid w:val="006714DA"/>
    <w:rsid w:val="006716C2"/>
    <w:rsid w:val="006718A2"/>
    <w:rsid w:val="00672BB7"/>
    <w:rsid w:val="00673236"/>
    <w:rsid w:val="006732F7"/>
    <w:rsid w:val="006734AE"/>
    <w:rsid w:val="00676B89"/>
    <w:rsid w:val="00677548"/>
    <w:rsid w:val="00677BD5"/>
    <w:rsid w:val="00681BCC"/>
    <w:rsid w:val="00681D66"/>
    <w:rsid w:val="00682EBA"/>
    <w:rsid w:val="006845EF"/>
    <w:rsid w:val="0068467D"/>
    <w:rsid w:val="006848CB"/>
    <w:rsid w:val="00684FDA"/>
    <w:rsid w:val="00685595"/>
    <w:rsid w:val="0068583E"/>
    <w:rsid w:val="00686599"/>
    <w:rsid w:val="00687A3E"/>
    <w:rsid w:val="00690E10"/>
    <w:rsid w:val="006923DA"/>
    <w:rsid w:val="00692764"/>
    <w:rsid w:val="00692958"/>
    <w:rsid w:val="00693A74"/>
    <w:rsid w:val="0069544A"/>
    <w:rsid w:val="00695C59"/>
    <w:rsid w:val="00696339"/>
    <w:rsid w:val="006966AB"/>
    <w:rsid w:val="006969C7"/>
    <w:rsid w:val="00696A16"/>
    <w:rsid w:val="0069714E"/>
    <w:rsid w:val="006973F5"/>
    <w:rsid w:val="00697788"/>
    <w:rsid w:val="006A052A"/>
    <w:rsid w:val="006A0AFC"/>
    <w:rsid w:val="006A1272"/>
    <w:rsid w:val="006A1A6F"/>
    <w:rsid w:val="006A406E"/>
    <w:rsid w:val="006A4F29"/>
    <w:rsid w:val="006A5853"/>
    <w:rsid w:val="006A5956"/>
    <w:rsid w:val="006A5E5A"/>
    <w:rsid w:val="006A5FCE"/>
    <w:rsid w:val="006A7651"/>
    <w:rsid w:val="006A779B"/>
    <w:rsid w:val="006A7A49"/>
    <w:rsid w:val="006B14B8"/>
    <w:rsid w:val="006B1C18"/>
    <w:rsid w:val="006B2AA6"/>
    <w:rsid w:val="006B4072"/>
    <w:rsid w:val="006B4C7D"/>
    <w:rsid w:val="006B4DCF"/>
    <w:rsid w:val="006B52A0"/>
    <w:rsid w:val="006B5635"/>
    <w:rsid w:val="006B5694"/>
    <w:rsid w:val="006B7515"/>
    <w:rsid w:val="006B7CDD"/>
    <w:rsid w:val="006B7FF0"/>
    <w:rsid w:val="006C00FB"/>
    <w:rsid w:val="006C1B9E"/>
    <w:rsid w:val="006C2EBE"/>
    <w:rsid w:val="006C3485"/>
    <w:rsid w:val="006C36D5"/>
    <w:rsid w:val="006C37B8"/>
    <w:rsid w:val="006C3FF0"/>
    <w:rsid w:val="006C4E9D"/>
    <w:rsid w:val="006C4FFC"/>
    <w:rsid w:val="006C554D"/>
    <w:rsid w:val="006C6668"/>
    <w:rsid w:val="006C6DEA"/>
    <w:rsid w:val="006C6DF6"/>
    <w:rsid w:val="006C6FA7"/>
    <w:rsid w:val="006C7BC5"/>
    <w:rsid w:val="006C7EC3"/>
    <w:rsid w:val="006D0F82"/>
    <w:rsid w:val="006D2CA6"/>
    <w:rsid w:val="006D2E09"/>
    <w:rsid w:val="006D2E89"/>
    <w:rsid w:val="006D2FDE"/>
    <w:rsid w:val="006D343E"/>
    <w:rsid w:val="006D4376"/>
    <w:rsid w:val="006D44C2"/>
    <w:rsid w:val="006D545F"/>
    <w:rsid w:val="006D5E94"/>
    <w:rsid w:val="006D655F"/>
    <w:rsid w:val="006D65F9"/>
    <w:rsid w:val="006D6D67"/>
    <w:rsid w:val="006D6F40"/>
    <w:rsid w:val="006D7094"/>
    <w:rsid w:val="006D7097"/>
    <w:rsid w:val="006D75DF"/>
    <w:rsid w:val="006E0368"/>
    <w:rsid w:val="006E03A2"/>
    <w:rsid w:val="006E06A7"/>
    <w:rsid w:val="006E06F6"/>
    <w:rsid w:val="006E0CC2"/>
    <w:rsid w:val="006E0DE5"/>
    <w:rsid w:val="006E22EE"/>
    <w:rsid w:val="006E22FC"/>
    <w:rsid w:val="006E23E0"/>
    <w:rsid w:val="006E27E5"/>
    <w:rsid w:val="006E48AE"/>
    <w:rsid w:val="006E572E"/>
    <w:rsid w:val="006E65EA"/>
    <w:rsid w:val="006E6918"/>
    <w:rsid w:val="006E6A3E"/>
    <w:rsid w:val="006E6BEF"/>
    <w:rsid w:val="006E6FF3"/>
    <w:rsid w:val="006F0A2F"/>
    <w:rsid w:val="006F0D68"/>
    <w:rsid w:val="006F1533"/>
    <w:rsid w:val="006F154F"/>
    <w:rsid w:val="006F28C9"/>
    <w:rsid w:val="006F2985"/>
    <w:rsid w:val="006F2A87"/>
    <w:rsid w:val="006F3692"/>
    <w:rsid w:val="006F3D09"/>
    <w:rsid w:val="006F4B2A"/>
    <w:rsid w:val="006F52AE"/>
    <w:rsid w:val="006F6481"/>
    <w:rsid w:val="006F6C77"/>
    <w:rsid w:val="006F7254"/>
    <w:rsid w:val="00700EFD"/>
    <w:rsid w:val="007015BD"/>
    <w:rsid w:val="00702849"/>
    <w:rsid w:val="007028DE"/>
    <w:rsid w:val="00703CC9"/>
    <w:rsid w:val="007047E3"/>
    <w:rsid w:val="00704E6A"/>
    <w:rsid w:val="00705557"/>
    <w:rsid w:val="00705A7D"/>
    <w:rsid w:val="007065E2"/>
    <w:rsid w:val="007072F8"/>
    <w:rsid w:val="00707334"/>
    <w:rsid w:val="007075D2"/>
    <w:rsid w:val="007103D8"/>
    <w:rsid w:val="0071125A"/>
    <w:rsid w:val="007114AA"/>
    <w:rsid w:val="00711670"/>
    <w:rsid w:val="00711BB0"/>
    <w:rsid w:val="00711BCA"/>
    <w:rsid w:val="00712282"/>
    <w:rsid w:val="00712D39"/>
    <w:rsid w:val="007131E7"/>
    <w:rsid w:val="00713723"/>
    <w:rsid w:val="00713CA5"/>
    <w:rsid w:val="007144F1"/>
    <w:rsid w:val="0071473D"/>
    <w:rsid w:val="00714A6E"/>
    <w:rsid w:val="00715B33"/>
    <w:rsid w:val="00716736"/>
    <w:rsid w:val="00717CE9"/>
    <w:rsid w:val="0072025F"/>
    <w:rsid w:val="007204F2"/>
    <w:rsid w:val="00720F43"/>
    <w:rsid w:val="00721F6E"/>
    <w:rsid w:val="00722991"/>
    <w:rsid w:val="00722A81"/>
    <w:rsid w:val="00723D44"/>
    <w:rsid w:val="00724CAE"/>
    <w:rsid w:val="00725382"/>
    <w:rsid w:val="007253F3"/>
    <w:rsid w:val="007255CB"/>
    <w:rsid w:val="007257EA"/>
    <w:rsid w:val="0072641A"/>
    <w:rsid w:val="00726EFF"/>
    <w:rsid w:val="00727C7A"/>
    <w:rsid w:val="00727C9B"/>
    <w:rsid w:val="007304EE"/>
    <w:rsid w:val="00730A9B"/>
    <w:rsid w:val="00730F74"/>
    <w:rsid w:val="00732816"/>
    <w:rsid w:val="00732C0F"/>
    <w:rsid w:val="007339AC"/>
    <w:rsid w:val="00733A9D"/>
    <w:rsid w:val="00733FFA"/>
    <w:rsid w:val="0073427D"/>
    <w:rsid w:val="007345FF"/>
    <w:rsid w:val="0073558D"/>
    <w:rsid w:val="00737DF4"/>
    <w:rsid w:val="00740C09"/>
    <w:rsid w:val="00740DE0"/>
    <w:rsid w:val="00741112"/>
    <w:rsid w:val="00741C8F"/>
    <w:rsid w:val="00742EB5"/>
    <w:rsid w:val="0074475A"/>
    <w:rsid w:val="00745B5D"/>
    <w:rsid w:val="00746896"/>
    <w:rsid w:val="00746A44"/>
    <w:rsid w:val="00746E2C"/>
    <w:rsid w:val="007475D9"/>
    <w:rsid w:val="007502DC"/>
    <w:rsid w:val="007514D9"/>
    <w:rsid w:val="00751791"/>
    <w:rsid w:val="00751CCC"/>
    <w:rsid w:val="00751E69"/>
    <w:rsid w:val="00751F7E"/>
    <w:rsid w:val="007528E2"/>
    <w:rsid w:val="00752D72"/>
    <w:rsid w:val="0075355E"/>
    <w:rsid w:val="00753588"/>
    <w:rsid w:val="00756085"/>
    <w:rsid w:val="007563CF"/>
    <w:rsid w:val="0075661D"/>
    <w:rsid w:val="00756794"/>
    <w:rsid w:val="00756935"/>
    <w:rsid w:val="00756BAA"/>
    <w:rsid w:val="0075734D"/>
    <w:rsid w:val="007573B0"/>
    <w:rsid w:val="007579A0"/>
    <w:rsid w:val="00760395"/>
    <w:rsid w:val="007603A3"/>
    <w:rsid w:val="00760A02"/>
    <w:rsid w:val="00761506"/>
    <w:rsid w:val="00761867"/>
    <w:rsid w:val="00761CF1"/>
    <w:rsid w:val="00762F6E"/>
    <w:rsid w:val="00763240"/>
    <w:rsid w:val="00763485"/>
    <w:rsid w:val="00763C59"/>
    <w:rsid w:val="00764DA0"/>
    <w:rsid w:val="00765003"/>
    <w:rsid w:val="0076616D"/>
    <w:rsid w:val="007663E4"/>
    <w:rsid w:val="00766A09"/>
    <w:rsid w:val="00771B76"/>
    <w:rsid w:val="00772603"/>
    <w:rsid w:val="00773A21"/>
    <w:rsid w:val="00773E06"/>
    <w:rsid w:val="007745E3"/>
    <w:rsid w:val="0077492A"/>
    <w:rsid w:val="00774E5E"/>
    <w:rsid w:val="00774F0B"/>
    <w:rsid w:val="007753F2"/>
    <w:rsid w:val="00775A02"/>
    <w:rsid w:val="00775C32"/>
    <w:rsid w:val="00776412"/>
    <w:rsid w:val="007768F1"/>
    <w:rsid w:val="00777445"/>
    <w:rsid w:val="007801FC"/>
    <w:rsid w:val="00780C48"/>
    <w:rsid w:val="00781E13"/>
    <w:rsid w:val="00781EFF"/>
    <w:rsid w:val="007827DF"/>
    <w:rsid w:val="00782C66"/>
    <w:rsid w:val="00783346"/>
    <w:rsid w:val="00783CCD"/>
    <w:rsid w:val="00784DCB"/>
    <w:rsid w:val="007851B0"/>
    <w:rsid w:val="00787981"/>
    <w:rsid w:val="007904E9"/>
    <w:rsid w:val="007907A2"/>
    <w:rsid w:val="00790959"/>
    <w:rsid w:val="007909E2"/>
    <w:rsid w:val="007912F8"/>
    <w:rsid w:val="00791B60"/>
    <w:rsid w:val="00792714"/>
    <w:rsid w:val="007929F4"/>
    <w:rsid w:val="007935C3"/>
    <w:rsid w:val="00793736"/>
    <w:rsid w:val="00794D6B"/>
    <w:rsid w:val="00795E21"/>
    <w:rsid w:val="00796655"/>
    <w:rsid w:val="0079702C"/>
    <w:rsid w:val="00797103"/>
    <w:rsid w:val="007972DC"/>
    <w:rsid w:val="00797527"/>
    <w:rsid w:val="007A1643"/>
    <w:rsid w:val="007A2204"/>
    <w:rsid w:val="007A2733"/>
    <w:rsid w:val="007A3169"/>
    <w:rsid w:val="007A3304"/>
    <w:rsid w:val="007A41D9"/>
    <w:rsid w:val="007A665B"/>
    <w:rsid w:val="007A719D"/>
    <w:rsid w:val="007A757C"/>
    <w:rsid w:val="007A7856"/>
    <w:rsid w:val="007A78F9"/>
    <w:rsid w:val="007A7BE6"/>
    <w:rsid w:val="007B09C8"/>
    <w:rsid w:val="007B0FB5"/>
    <w:rsid w:val="007B11E5"/>
    <w:rsid w:val="007B1307"/>
    <w:rsid w:val="007B2730"/>
    <w:rsid w:val="007B2EEA"/>
    <w:rsid w:val="007B2F54"/>
    <w:rsid w:val="007B3A47"/>
    <w:rsid w:val="007B4095"/>
    <w:rsid w:val="007B64EF"/>
    <w:rsid w:val="007B780F"/>
    <w:rsid w:val="007C0AFD"/>
    <w:rsid w:val="007C257B"/>
    <w:rsid w:val="007C2ACA"/>
    <w:rsid w:val="007C3140"/>
    <w:rsid w:val="007C3321"/>
    <w:rsid w:val="007C339A"/>
    <w:rsid w:val="007C5374"/>
    <w:rsid w:val="007C5F57"/>
    <w:rsid w:val="007C608D"/>
    <w:rsid w:val="007C6358"/>
    <w:rsid w:val="007C68D6"/>
    <w:rsid w:val="007C7073"/>
    <w:rsid w:val="007C7357"/>
    <w:rsid w:val="007C7599"/>
    <w:rsid w:val="007C7658"/>
    <w:rsid w:val="007C7B13"/>
    <w:rsid w:val="007D0323"/>
    <w:rsid w:val="007D0604"/>
    <w:rsid w:val="007D12E4"/>
    <w:rsid w:val="007D1940"/>
    <w:rsid w:val="007D2873"/>
    <w:rsid w:val="007D2EAB"/>
    <w:rsid w:val="007D3ADE"/>
    <w:rsid w:val="007D4191"/>
    <w:rsid w:val="007D4FB0"/>
    <w:rsid w:val="007D5927"/>
    <w:rsid w:val="007D605F"/>
    <w:rsid w:val="007D666C"/>
    <w:rsid w:val="007D7DAF"/>
    <w:rsid w:val="007E0B60"/>
    <w:rsid w:val="007E0B71"/>
    <w:rsid w:val="007E1BE8"/>
    <w:rsid w:val="007E1D23"/>
    <w:rsid w:val="007E223E"/>
    <w:rsid w:val="007E26F5"/>
    <w:rsid w:val="007E2BE1"/>
    <w:rsid w:val="007E2CE0"/>
    <w:rsid w:val="007E33B7"/>
    <w:rsid w:val="007E3B5D"/>
    <w:rsid w:val="007E420B"/>
    <w:rsid w:val="007E4672"/>
    <w:rsid w:val="007E4A2F"/>
    <w:rsid w:val="007E5628"/>
    <w:rsid w:val="007E687D"/>
    <w:rsid w:val="007F0A5A"/>
    <w:rsid w:val="007F1505"/>
    <w:rsid w:val="007F1637"/>
    <w:rsid w:val="007F1A24"/>
    <w:rsid w:val="007F1B4B"/>
    <w:rsid w:val="007F208C"/>
    <w:rsid w:val="007F2EFA"/>
    <w:rsid w:val="007F2FE7"/>
    <w:rsid w:val="007F4312"/>
    <w:rsid w:val="007F4D40"/>
    <w:rsid w:val="007F4F78"/>
    <w:rsid w:val="007F5454"/>
    <w:rsid w:val="007F5FA8"/>
    <w:rsid w:val="007F7072"/>
    <w:rsid w:val="007F78F3"/>
    <w:rsid w:val="00800996"/>
    <w:rsid w:val="0080116F"/>
    <w:rsid w:val="00801AE4"/>
    <w:rsid w:val="00801F95"/>
    <w:rsid w:val="0080212F"/>
    <w:rsid w:val="0080227C"/>
    <w:rsid w:val="00802B73"/>
    <w:rsid w:val="00803482"/>
    <w:rsid w:val="00803FB8"/>
    <w:rsid w:val="008045B7"/>
    <w:rsid w:val="0080474D"/>
    <w:rsid w:val="0080492F"/>
    <w:rsid w:val="008055D9"/>
    <w:rsid w:val="008063D7"/>
    <w:rsid w:val="00806675"/>
    <w:rsid w:val="00806870"/>
    <w:rsid w:val="00807DC2"/>
    <w:rsid w:val="008104C4"/>
    <w:rsid w:val="008106BD"/>
    <w:rsid w:val="00811537"/>
    <w:rsid w:val="008120A6"/>
    <w:rsid w:val="00812677"/>
    <w:rsid w:val="00812F4E"/>
    <w:rsid w:val="008133AD"/>
    <w:rsid w:val="00813637"/>
    <w:rsid w:val="0081479B"/>
    <w:rsid w:val="00814FC9"/>
    <w:rsid w:val="00815E1A"/>
    <w:rsid w:val="0081678D"/>
    <w:rsid w:val="0081766A"/>
    <w:rsid w:val="00817C3E"/>
    <w:rsid w:val="00820124"/>
    <w:rsid w:val="008205B1"/>
    <w:rsid w:val="00820731"/>
    <w:rsid w:val="00821B45"/>
    <w:rsid w:val="008226E6"/>
    <w:rsid w:val="00824AD0"/>
    <w:rsid w:val="0082582D"/>
    <w:rsid w:val="00825BDC"/>
    <w:rsid w:val="00825E4B"/>
    <w:rsid w:val="00826551"/>
    <w:rsid w:val="0082698E"/>
    <w:rsid w:val="00826D69"/>
    <w:rsid w:val="008273F2"/>
    <w:rsid w:val="008278C5"/>
    <w:rsid w:val="00827E80"/>
    <w:rsid w:val="00827EC9"/>
    <w:rsid w:val="0083149D"/>
    <w:rsid w:val="008317C1"/>
    <w:rsid w:val="00831849"/>
    <w:rsid w:val="00833401"/>
    <w:rsid w:val="00833A60"/>
    <w:rsid w:val="00835B52"/>
    <w:rsid w:val="00836E1D"/>
    <w:rsid w:val="00837416"/>
    <w:rsid w:val="008376F5"/>
    <w:rsid w:val="00837970"/>
    <w:rsid w:val="00837C4A"/>
    <w:rsid w:val="0084083B"/>
    <w:rsid w:val="00841630"/>
    <w:rsid w:val="00841BFC"/>
    <w:rsid w:val="00842104"/>
    <w:rsid w:val="0084228B"/>
    <w:rsid w:val="00842724"/>
    <w:rsid w:val="008430E9"/>
    <w:rsid w:val="00843EEB"/>
    <w:rsid w:val="00843FB6"/>
    <w:rsid w:val="008447C7"/>
    <w:rsid w:val="00845063"/>
    <w:rsid w:val="00845215"/>
    <w:rsid w:val="008453F9"/>
    <w:rsid w:val="00845A00"/>
    <w:rsid w:val="00846E4D"/>
    <w:rsid w:val="00847893"/>
    <w:rsid w:val="00847FF8"/>
    <w:rsid w:val="00850067"/>
    <w:rsid w:val="008504BF"/>
    <w:rsid w:val="008508D3"/>
    <w:rsid w:val="00850F5C"/>
    <w:rsid w:val="0085177B"/>
    <w:rsid w:val="00851990"/>
    <w:rsid w:val="00851A5F"/>
    <w:rsid w:val="0085319D"/>
    <w:rsid w:val="00853618"/>
    <w:rsid w:val="0085365F"/>
    <w:rsid w:val="0085520C"/>
    <w:rsid w:val="00855673"/>
    <w:rsid w:val="00856692"/>
    <w:rsid w:val="00856C35"/>
    <w:rsid w:val="00856E5E"/>
    <w:rsid w:val="00857CA1"/>
    <w:rsid w:val="0086046F"/>
    <w:rsid w:val="00860E0F"/>
    <w:rsid w:val="00860F32"/>
    <w:rsid w:val="00861311"/>
    <w:rsid w:val="00861CAC"/>
    <w:rsid w:val="0086253C"/>
    <w:rsid w:val="00862D81"/>
    <w:rsid w:val="00864C2A"/>
    <w:rsid w:val="0086525C"/>
    <w:rsid w:val="00865D64"/>
    <w:rsid w:val="00866BBC"/>
    <w:rsid w:val="00866F0E"/>
    <w:rsid w:val="00870362"/>
    <w:rsid w:val="008703AB"/>
    <w:rsid w:val="008703BC"/>
    <w:rsid w:val="0087057C"/>
    <w:rsid w:val="00870843"/>
    <w:rsid w:val="008727CD"/>
    <w:rsid w:val="00873296"/>
    <w:rsid w:val="0087610A"/>
    <w:rsid w:val="00876723"/>
    <w:rsid w:val="008770C5"/>
    <w:rsid w:val="00880619"/>
    <w:rsid w:val="008807B4"/>
    <w:rsid w:val="008808E8"/>
    <w:rsid w:val="008813B2"/>
    <w:rsid w:val="008816BE"/>
    <w:rsid w:val="00881A12"/>
    <w:rsid w:val="00882569"/>
    <w:rsid w:val="008825B9"/>
    <w:rsid w:val="0088308C"/>
    <w:rsid w:val="00884B8F"/>
    <w:rsid w:val="0088530E"/>
    <w:rsid w:val="0088541F"/>
    <w:rsid w:val="00885723"/>
    <w:rsid w:val="008858D2"/>
    <w:rsid w:val="00886D7E"/>
    <w:rsid w:val="00887EE3"/>
    <w:rsid w:val="00890503"/>
    <w:rsid w:val="00890CBE"/>
    <w:rsid w:val="00891C1C"/>
    <w:rsid w:val="008930C7"/>
    <w:rsid w:val="00893C55"/>
    <w:rsid w:val="00893DA6"/>
    <w:rsid w:val="00893E0F"/>
    <w:rsid w:val="00894DA6"/>
    <w:rsid w:val="0089629A"/>
    <w:rsid w:val="00896700"/>
    <w:rsid w:val="00897B7F"/>
    <w:rsid w:val="00897EAB"/>
    <w:rsid w:val="008A17AD"/>
    <w:rsid w:val="008A1EC1"/>
    <w:rsid w:val="008A1FD2"/>
    <w:rsid w:val="008A224F"/>
    <w:rsid w:val="008A26E4"/>
    <w:rsid w:val="008A3327"/>
    <w:rsid w:val="008A4235"/>
    <w:rsid w:val="008A5A21"/>
    <w:rsid w:val="008A5AFA"/>
    <w:rsid w:val="008A71B9"/>
    <w:rsid w:val="008B06D7"/>
    <w:rsid w:val="008B0F41"/>
    <w:rsid w:val="008B1003"/>
    <w:rsid w:val="008B1E88"/>
    <w:rsid w:val="008B2057"/>
    <w:rsid w:val="008B3423"/>
    <w:rsid w:val="008B3C8E"/>
    <w:rsid w:val="008B3D76"/>
    <w:rsid w:val="008B3F8B"/>
    <w:rsid w:val="008B5285"/>
    <w:rsid w:val="008B5519"/>
    <w:rsid w:val="008B56D7"/>
    <w:rsid w:val="008B5DBD"/>
    <w:rsid w:val="008B77AB"/>
    <w:rsid w:val="008B7F80"/>
    <w:rsid w:val="008C0782"/>
    <w:rsid w:val="008C0E8D"/>
    <w:rsid w:val="008C0EBD"/>
    <w:rsid w:val="008C10AD"/>
    <w:rsid w:val="008C1268"/>
    <w:rsid w:val="008C2934"/>
    <w:rsid w:val="008C29A2"/>
    <w:rsid w:val="008C2E9A"/>
    <w:rsid w:val="008C7039"/>
    <w:rsid w:val="008D0399"/>
    <w:rsid w:val="008D0C46"/>
    <w:rsid w:val="008D0EF7"/>
    <w:rsid w:val="008D1153"/>
    <w:rsid w:val="008D142D"/>
    <w:rsid w:val="008D1E9A"/>
    <w:rsid w:val="008D21C2"/>
    <w:rsid w:val="008D2B45"/>
    <w:rsid w:val="008D3D0A"/>
    <w:rsid w:val="008D4990"/>
    <w:rsid w:val="008D4BFC"/>
    <w:rsid w:val="008D57A4"/>
    <w:rsid w:val="008D59C5"/>
    <w:rsid w:val="008D5DAF"/>
    <w:rsid w:val="008D5EF7"/>
    <w:rsid w:val="008D61D0"/>
    <w:rsid w:val="008E09A8"/>
    <w:rsid w:val="008E141C"/>
    <w:rsid w:val="008E1C8B"/>
    <w:rsid w:val="008E1CF3"/>
    <w:rsid w:val="008E3F6F"/>
    <w:rsid w:val="008E41F3"/>
    <w:rsid w:val="008E44F3"/>
    <w:rsid w:val="008E5607"/>
    <w:rsid w:val="008E66BC"/>
    <w:rsid w:val="008E7C51"/>
    <w:rsid w:val="008F0AF5"/>
    <w:rsid w:val="008F1E07"/>
    <w:rsid w:val="008F25F3"/>
    <w:rsid w:val="008F2A93"/>
    <w:rsid w:val="008F2B0A"/>
    <w:rsid w:val="008F2F75"/>
    <w:rsid w:val="008F4C0C"/>
    <w:rsid w:val="008F599E"/>
    <w:rsid w:val="008F5BF3"/>
    <w:rsid w:val="008F6420"/>
    <w:rsid w:val="008F7782"/>
    <w:rsid w:val="008F794C"/>
    <w:rsid w:val="008F7EFC"/>
    <w:rsid w:val="00900393"/>
    <w:rsid w:val="00900423"/>
    <w:rsid w:val="009009B5"/>
    <w:rsid w:val="00901CA0"/>
    <w:rsid w:val="00902004"/>
    <w:rsid w:val="00902BD8"/>
    <w:rsid w:val="0090369A"/>
    <w:rsid w:val="009041B5"/>
    <w:rsid w:val="00904C3D"/>
    <w:rsid w:val="009053CF"/>
    <w:rsid w:val="00905978"/>
    <w:rsid w:val="00906157"/>
    <w:rsid w:val="009065B5"/>
    <w:rsid w:val="00906A4F"/>
    <w:rsid w:val="00906C84"/>
    <w:rsid w:val="0090705D"/>
    <w:rsid w:val="00907E73"/>
    <w:rsid w:val="009126B0"/>
    <w:rsid w:val="009136BF"/>
    <w:rsid w:val="00913C95"/>
    <w:rsid w:val="00913D25"/>
    <w:rsid w:val="00914284"/>
    <w:rsid w:val="00915187"/>
    <w:rsid w:val="00915F4D"/>
    <w:rsid w:val="00916B30"/>
    <w:rsid w:val="00917BF8"/>
    <w:rsid w:val="00920418"/>
    <w:rsid w:val="009211E2"/>
    <w:rsid w:val="0092158F"/>
    <w:rsid w:val="0092189E"/>
    <w:rsid w:val="00921CEB"/>
    <w:rsid w:val="009221AD"/>
    <w:rsid w:val="0092225F"/>
    <w:rsid w:val="00922341"/>
    <w:rsid w:val="00922953"/>
    <w:rsid w:val="00924542"/>
    <w:rsid w:val="009246DB"/>
    <w:rsid w:val="0092517D"/>
    <w:rsid w:val="00925BF4"/>
    <w:rsid w:val="00925D15"/>
    <w:rsid w:val="00926F23"/>
    <w:rsid w:val="009270AB"/>
    <w:rsid w:val="009275F3"/>
    <w:rsid w:val="0093017B"/>
    <w:rsid w:val="00930625"/>
    <w:rsid w:val="00930F2A"/>
    <w:rsid w:val="00930FAC"/>
    <w:rsid w:val="009315B9"/>
    <w:rsid w:val="0093167B"/>
    <w:rsid w:val="009327C8"/>
    <w:rsid w:val="00932833"/>
    <w:rsid w:val="00932CC6"/>
    <w:rsid w:val="0093345E"/>
    <w:rsid w:val="009337FE"/>
    <w:rsid w:val="0093419F"/>
    <w:rsid w:val="0093472D"/>
    <w:rsid w:val="00934FE6"/>
    <w:rsid w:val="0093570E"/>
    <w:rsid w:val="00935B4D"/>
    <w:rsid w:val="00936091"/>
    <w:rsid w:val="0093610F"/>
    <w:rsid w:val="00936376"/>
    <w:rsid w:val="009363EB"/>
    <w:rsid w:val="00937953"/>
    <w:rsid w:val="00937D83"/>
    <w:rsid w:val="00937FE4"/>
    <w:rsid w:val="009410D6"/>
    <w:rsid w:val="00942223"/>
    <w:rsid w:val="00942656"/>
    <w:rsid w:val="00942860"/>
    <w:rsid w:val="00942943"/>
    <w:rsid w:val="00942E80"/>
    <w:rsid w:val="00942E9C"/>
    <w:rsid w:val="009437EB"/>
    <w:rsid w:val="00943B0A"/>
    <w:rsid w:val="00943FDB"/>
    <w:rsid w:val="00944101"/>
    <w:rsid w:val="00944B8C"/>
    <w:rsid w:val="00945C47"/>
    <w:rsid w:val="00945DED"/>
    <w:rsid w:val="009468A5"/>
    <w:rsid w:val="0094768F"/>
    <w:rsid w:val="0095097A"/>
    <w:rsid w:val="00951356"/>
    <w:rsid w:val="009523E4"/>
    <w:rsid w:val="00952E79"/>
    <w:rsid w:val="009530B2"/>
    <w:rsid w:val="00953620"/>
    <w:rsid w:val="00953799"/>
    <w:rsid w:val="00953FA4"/>
    <w:rsid w:val="0095429D"/>
    <w:rsid w:val="00954FEA"/>
    <w:rsid w:val="0095584F"/>
    <w:rsid w:val="00956101"/>
    <w:rsid w:val="00957BEC"/>
    <w:rsid w:val="009611C3"/>
    <w:rsid w:val="00962FF9"/>
    <w:rsid w:val="009639D6"/>
    <w:rsid w:val="00964F71"/>
    <w:rsid w:val="00964F8E"/>
    <w:rsid w:val="00965F62"/>
    <w:rsid w:val="00965F7F"/>
    <w:rsid w:val="009661C2"/>
    <w:rsid w:val="00966E66"/>
    <w:rsid w:val="0096723F"/>
    <w:rsid w:val="00967D33"/>
    <w:rsid w:val="009704B4"/>
    <w:rsid w:val="0097128A"/>
    <w:rsid w:val="009716A8"/>
    <w:rsid w:val="00971F86"/>
    <w:rsid w:val="00972A29"/>
    <w:rsid w:val="00972B80"/>
    <w:rsid w:val="00973992"/>
    <w:rsid w:val="009746F7"/>
    <w:rsid w:val="00974A34"/>
    <w:rsid w:val="00975A2D"/>
    <w:rsid w:val="00975F3F"/>
    <w:rsid w:val="00975F89"/>
    <w:rsid w:val="009762AE"/>
    <w:rsid w:val="009763A6"/>
    <w:rsid w:val="00976ADF"/>
    <w:rsid w:val="00977363"/>
    <w:rsid w:val="0097771D"/>
    <w:rsid w:val="00977C19"/>
    <w:rsid w:val="00980EA3"/>
    <w:rsid w:val="0098278B"/>
    <w:rsid w:val="009829EE"/>
    <w:rsid w:val="00983375"/>
    <w:rsid w:val="00983991"/>
    <w:rsid w:val="00983B91"/>
    <w:rsid w:val="00985A09"/>
    <w:rsid w:val="00985B6D"/>
    <w:rsid w:val="0098727D"/>
    <w:rsid w:val="00990C4E"/>
    <w:rsid w:val="00991475"/>
    <w:rsid w:val="00991D6E"/>
    <w:rsid w:val="00991FB5"/>
    <w:rsid w:val="00992145"/>
    <w:rsid w:val="00993949"/>
    <w:rsid w:val="0099451C"/>
    <w:rsid w:val="00994D40"/>
    <w:rsid w:val="009958E2"/>
    <w:rsid w:val="00995E87"/>
    <w:rsid w:val="00997606"/>
    <w:rsid w:val="00997C82"/>
    <w:rsid w:val="00997F91"/>
    <w:rsid w:val="009A0B17"/>
    <w:rsid w:val="009A0F31"/>
    <w:rsid w:val="009A1CF7"/>
    <w:rsid w:val="009A2517"/>
    <w:rsid w:val="009A2EDC"/>
    <w:rsid w:val="009A2F80"/>
    <w:rsid w:val="009A3444"/>
    <w:rsid w:val="009A44F4"/>
    <w:rsid w:val="009A4D42"/>
    <w:rsid w:val="009A4FAB"/>
    <w:rsid w:val="009A5471"/>
    <w:rsid w:val="009A55E9"/>
    <w:rsid w:val="009A5632"/>
    <w:rsid w:val="009A6330"/>
    <w:rsid w:val="009A716F"/>
    <w:rsid w:val="009B1625"/>
    <w:rsid w:val="009B1A00"/>
    <w:rsid w:val="009B23D3"/>
    <w:rsid w:val="009B258B"/>
    <w:rsid w:val="009B2AE5"/>
    <w:rsid w:val="009B337F"/>
    <w:rsid w:val="009B34BE"/>
    <w:rsid w:val="009B44AF"/>
    <w:rsid w:val="009B458D"/>
    <w:rsid w:val="009B4830"/>
    <w:rsid w:val="009B53DF"/>
    <w:rsid w:val="009B59A7"/>
    <w:rsid w:val="009B5E16"/>
    <w:rsid w:val="009B6CBB"/>
    <w:rsid w:val="009B74D1"/>
    <w:rsid w:val="009B75B3"/>
    <w:rsid w:val="009B79EB"/>
    <w:rsid w:val="009C0368"/>
    <w:rsid w:val="009C07DC"/>
    <w:rsid w:val="009C0AD3"/>
    <w:rsid w:val="009C1312"/>
    <w:rsid w:val="009C16A4"/>
    <w:rsid w:val="009C58D5"/>
    <w:rsid w:val="009C6D3A"/>
    <w:rsid w:val="009D184A"/>
    <w:rsid w:val="009D1F1E"/>
    <w:rsid w:val="009D1F32"/>
    <w:rsid w:val="009D2164"/>
    <w:rsid w:val="009D2AAC"/>
    <w:rsid w:val="009D2AAF"/>
    <w:rsid w:val="009D2CAE"/>
    <w:rsid w:val="009D2E2C"/>
    <w:rsid w:val="009D67B3"/>
    <w:rsid w:val="009D6B7E"/>
    <w:rsid w:val="009D7A91"/>
    <w:rsid w:val="009E0A3D"/>
    <w:rsid w:val="009E0B00"/>
    <w:rsid w:val="009E1806"/>
    <w:rsid w:val="009E2114"/>
    <w:rsid w:val="009E23AD"/>
    <w:rsid w:val="009E2B62"/>
    <w:rsid w:val="009E335D"/>
    <w:rsid w:val="009E3402"/>
    <w:rsid w:val="009E39A9"/>
    <w:rsid w:val="009E4C2A"/>
    <w:rsid w:val="009E53A4"/>
    <w:rsid w:val="009E652E"/>
    <w:rsid w:val="009E6CE8"/>
    <w:rsid w:val="009F0AD5"/>
    <w:rsid w:val="009F0BF1"/>
    <w:rsid w:val="009F10EB"/>
    <w:rsid w:val="009F19E9"/>
    <w:rsid w:val="009F1A8B"/>
    <w:rsid w:val="009F2D86"/>
    <w:rsid w:val="009F3104"/>
    <w:rsid w:val="009F554D"/>
    <w:rsid w:val="009F56A7"/>
    <w:rsid w:val="009F5B6D"/>
    <w:rsid w:val="009F704A"/>
    <w:rsid w:val="009F7879"/>
    <w:rsid w:val="009F7DE8"/>
    <w:rsid w:val="00A00160"/>
    <w:rsid w:val="00A011AD"/>
    <w:rsid w:val="00A0443D"/>
    <w:rsid w:val="00A04B62"/>
    <w:rsid w:val="00A04D79"/>
    <w:rsid w:val="00A059FD"/>
    <w:rsid w:val="00A05B5E"/>
    <w:rsid w:val="00A0783D"/>
    <w:rsid w:val="00A07C5B"/>
    <w:rsid w:val="00A07FB8"/>
    <w:rsid w:val="00A10044"/>
    <w:rsid w:val="00A10176"/>
    <w:rsid w:val="00A10DAF"/>
    <w:rsid w:val="00A1111D"/>
    <w:rsid w:val="00A11195"/>
    <w:rsid w:val="00A1190A"/>
    <w:rsid w:val="00A1423D"/>
    <w:rsid w:val="00A14C9B"/>
    <w:rsid w:val="00A14F01"/>
    <w:rsid w:val="00A1709A"/>
    <w:rsid w:val="00A173A7"/>
    <w:rsid w:val="00A179D5"/>
    <w:rsid w:val="00A20827"/>
    <w:rsid w:val="00A23463"/>
    <w:rsid w:val="00A23764"/>
    <w:rsid w:val="00A237A3"/>
    <w:rsid w:val="00A24375"/>
    <w:rsid w:val="00A244C4"/>
    <w:rsid w:val="00A25985"/>
    <w:rsid w:val="00A259FB"/>
    <w:rsid w:val="00A2734A"/>
    <w:rsid w:val="00A277B9"/>
    <w:rsid w:val="00A27852"/>
    <w:rsid w:val="00A27978"/>
    <w:rsid w:val="00A30E17"/>
    <w:rsid w:val="00A3134A"/>
    <w:rsid w:val="00A3242C"/>
    <w:rsid w:val="00A325E1"/>
    <w:rsid w:val="00A33517"/>
    <w:rsid w:val="00A34BDC"/>
    <w:rsid w:val="00A34DC4"/>
    <w:rsid w:val="00A3660C"/>
    <w:rsid w:val="00A369AD"/>
    <w:rsid w:val="00A36B78"/>
    <w:rsid w:val="00A36BA0"/>
    <w:rsid w:val="00A37DAD"/>
    <w:rsid w:val="00A37FF9"/>
    <w:rsid w:val="00A410A5"/>
    <w:rsid w:val="00A411CD"/>
    <w:rsid w:val="00A41F79"/>
    <w:rsid w:val="00A43400"/>
    <w:rsid w:val="00A4378E"/>
    <w:rsid w:val="00A44BAE"/>
    <w:rsid w:val="00A4515C"/>
    <w:rsid w:val="00A452BE"/>
    <w:rsid w:val="00A46046"/>
    <w:rsid w:val="00A4623E"/>
    <w:rsid w:val="00A46AE6"/>
    <w:rsid w:val="00A46B2D"/>
    <w:rsid w:val="00A475AE"/>
    <w:rsid w:val="00A47CC4"/>
    <w:rsid w:val="00A5007C"/>
    <w:rsid w:val="00A509C4"/>
    <w:rsid w:val="00A51766"/>
    <w:rsid w:val="00A51A0D"/>
    <w:rsid w:val="00A520D5"/>
    <w:rsid w:val="00A5395A"/>
    <w:rsid w:val="00A53A34"/>
    <w:rsid w:val="00A53FF8"/>
    <w:rsid w:val="00A54DA5"/>
    <w:rsid w:val="00A54E23"/>
    <w:rsid w:val="00A55C91"/>
    <w:rsid w:val="00A55D8B"/>
    <w:rsid w:val="00A56A93"/>
    <w:rsid w:val="00A56E07"/>
    <w:rsid w:val="00A60299"/>
    <w:rsid w:val="00A616F6"/>
    <w:rsid w:val="00A619DE"/>
    <w:rsid w:val="00A61E75"/>
    <w:rsid w:val="00A61FCA"/>
    <w:rsid w:val="00A62696"/>
    <w:rsid w:val="00A62952"/>
    <w:rsid w:val="00A62991"/>
    <w:rsid w:val="00A629E3"/>
    <w:rsid w:val="00A6340B"/>
    <w:rsid w:val="00A6399D"/>
    <w:rsid w:val="00A63EDF"/>
    <w:rsid w:val="00A649B4"/>
    <w:rsid w:val="00A65501"/>
    <w:rsid w:val="00A66440"/>
    <w:rsid w:val="00A66D8B"/>
    <w:rsid w:val="00A66E8D"/>
    <w:rsid w:val="00A67256"/>
    <w:rsid w:val="00A712BB"/>
    <w:rsid w:val="00A71F91"/>
    <w:rsid w:val="00A72CDD"/>
    <w:rsid w:val="00A74428"/>
    <w:rsid w:val="00A74A73"/>
    <w:rsid w:val="00A769E1"/>
    <w:rsid w:val="00A770FA"/>
    <w:rsid w:val="00A77A0E"/>
    <w:rsid w:val="00A77D7E"/>
    <w:rsid w:val="00A80EDF"/>
    <w:rsid w:val="00A81A43"/>
    <w:rsid w:val="00A81BA6"/>
    <w:rsid w:val="00A82A21"/>
    <w:rsid w:val="00A83BA8"/>
    <w:rsid w:val="00A83BD2"/>
    <w:rsid w:val="00A8404D"/>
    <w:rsid w:val="00A8592B"/>
    <w:rsid w:val="00A85E3A"/>
    <w:rsid w:val="00A86521"/>
    <w:rsid w:val="00A86A11"/>
    <w:rsid w:val="00A8726A"/>
    <w:rsid w:val="00A900A1"/>
    <w:rsid w:val="00A901E0"/>
    <w:rsid w:val="00A905B9"/>
    <w:rsid w:val="00A906AD"/>
    <w:rsid w:val="00A90CB2"/>
    <w:rsid w:val="00A9169B"/>
    <w:rsid w:val="00A91CF7"/>
    <w:rsid w:val="00A92594"/>
    <w:rsid w:val="00A92C59"/>
    <w:rsid w:val="00A93DDD"/>
    <w:rsid w:val="00A93E6A"/>
    <w:rsid w:val="00A94D04"/>
    <w:rsid w:val="00A95204"/>
    <w:rsid w:val="00A9527A"/>
    <w:rsid w:val="00A960F7"/>
    <w:rsid w:val="00A96CF4"/>
    <w:rsid w:val="00AA02F1"/>
    <w:rsid w:val="00AA0308"/>
    <w:rsid w:val="00AA087B"/>
    <w:rsid w:val="00AA0E5D"/>
    <w:rsid w:val="00AA18A8"/>
    <w:rsid w:val="00AA1DC1"/>
    <w:rsid w:val="00AA2374"/>
    <w:rsid w:val="00AA2B38"/>
    <w:rsid w:val="00AA4926"/>
    <w:rsid w:val="00AA58B2"/>
    <w:rsid w:val="00AA5BA8"/>
    <w:rsid w:val="00AA6171"/>
    <w:rsid w:val="00AA65DC"/>
    <w:rsid w:val="00AA7601"/>
    <w:rsid w:val="00AB0153"/>
    <w:rsid w:val="00AB252B"/>
    <w:rsid w:val="00AB2842"/>
    <w:rsid w:val="00AB2DC0"/>
    <w:rsid w:val="00AB315A"/>
    <w:rsid w:val="00AB33D3"/>
    <w:rsid w:val="00AB3477"/>
    <w:rsid w:val="00AB422D"/>
    <w:rsid w:val="00AB4838"/>
    <w:rsid w:val="00AB54F1"/>
    <w:rsid w:val="00AB55FD"/>
    <w:rsid w:val="00AB5AC4"/>
    <w:rsid w:val="00AB5B2F"/>
    <w:rsid w:val="00AB5ECA"/>
    <w:rsid w:val="00AB5ECC"/>
    <w:rsid w:val="00AB5F9D"/>
    <w:rsid w:val="00AB6B5C"/>
    <w:rsid w:val="00AB6F3E"/>
    <w:rsid w:val="00AB7B9A"/>
    <w:rsid w:val="00AC04ED"/>
    <w:rsid w:val="00AC16BA"/>
    <w:rsid w:val="00AC1E79"/>
    <w:rsid w:val="00AC1F9B"/>
    <w:rsid w:val="00AC29AA"/>
    <w:rsid w:val="00AC2AE1"/>
    <w:rsid w:val="00AC3733"/>
    <w:rsid w:val="00AC3B80"/>
    <w:rsid w:val="00AC4B3B"/>
    <w:rsid w:val="00AC4FAE"/>
    <w:rsid w:val="00AC5CB9"/>
    <w:rsid w:val="00AC5D1A"/>
    <w:rsid w:val="00AC66A5"/>
    <w:rsid w:val="00AC69C6"/>
    <w:rsid w:val="00AC7356"/>
    <w:rsid w:val="00AC7A23"/>
    <w:rsid w:val="00AD2338"/>
    <w:rsid w:val="00AD34A0"/>
    <w:rsid w:val="00AD3689"/>
    <w:rsid w:val="00AD3AA8"/>
    <w:rsid w:val="00AD3B68"/>
    <w:rsid w:val="00AD404A"/>
    <w:rsid w:val="00AD43A1"/>
    <w:rsid w:val="00AD682C"/>
    <w:rsid w:val="00AD741F"/>
    <w:rsid w:val="00AD7DC0"/>
    <w:rsid w:val="00AE00E6"/>
    <w:rsid w:val="00AE09B3"/>
    <w:rsid w:val="00AE0FAD"/>
    <w:rsid w:val="00AE1CD5"/>
    <w:rsid w:val="00AE3C5C"/>
    <w:rsid w:val="00AE45A9"/>
    <w:rsid w:val="00AE4EF3"/>
    <w:rsid w:val="00AE5009"/>
    <w:rsid w:val="00AE5211"/>
    <w:rsid w:val="00AE5921"/>
    <w:rsid w:val="00AE5E01"/>
    <w:rsid w:val="00AE6764"/>
    <w:rsid w:val="00AE7180"/>
    <w:rsid w:val="00AE7B35"/>
    <w:rsid w:val="00AE7B45"/>
    <w:rsid w:val="00AF0A8D"/>
    <w:rsid w:val="00AF1203"/>
    <w:rsid w:val="00AF1C9A"/>
    <w:rsid w:val="00AF2276"/>
    <w:rsid w:val="00AF250A"/>
    <w:rsid w:val="00AF27C3"/>
    <w:rsid w:val="00AF2CC5"/>
    <w:rsid w:val="00AF3A39"/>
    <w:rsid w:val="00AF4BBF"/>
    <w:rsid w:val="00AF4E98"/>
    <w:rsid w:val="00AF5322"/>
    <w:rsid w:val="00AF5C3B"/>
    <w:rsid w:val="00AF5F42"/>
    <w:rsid w:val="00AF6758"/>
    <w:rsid w:val="00AF6FD4"/>
    <w:rsid w:val="00B0117E"/>
    <w:rsid w:val="00B04060"/>
    <w:rsid w:val="00B041B6"/>
    <w:rsid w:val="00B044AB"/>
    <w:rsid w:val="00B04554"/>
    <w:rsid w:val="00B050E9"/>
    <w:rsid w:val="00B0549E"/>
    <w:rsid w:val="00B05DAD"/>
    <w:rsid w:val="00B05EE1"/>
    <w:rsid w:val="00B0638E"/>
    <w:rsid w:val="00B06679"/>
    <w:rsid w:val="00B06BC2"/>
    <w:rsid w:val="00B0701E"/>
    <w:rsid w:val="00B074CD"/>
    <w:rsid w:val="00B074EE"/>
    <w:rsid w:val="00B076BA"/>
    <w:rsid w:val="00B1004C"/>
    <w:rsid w:val="00B10E07"/>
    <w:rsid w:val="00B12C51"/>
    <w:rsid w:val="00B12D1C"/>
    <w:rsid w:val="00B12EC2"/>
    <w:rsid w:val="00B12F77"/>
    <w:rsid w:val="00B148E9"/>
    <w:rsid w:val="00B1523B"/>
    <w:rsid w:val="00B15A23"/>
    <w:rsid w:val="00B15FD8"/>
    <w:rsid w:val="00B172EF"/>
    <w:rsid w:val="00B20104"/>
    <w:rsid w:val="00B208C1"/>
    <w:rsid w:val="00B20984"/>
    <w:rsid w:val="00B2220B"/>
    <w:rsid w:val="00B2240A"/>
    <w:rsid w:val="00B22588"/>
    <w:rsid w:val="00B22D8B"/>
    <w:rsid w:val="00B23261"/>
    <w:rsid w:val="00B23E3C"/>
    <w:rsid w:val="00B2412F"/>
    <w:rsid w:val="00B2424B"/>
    <w:rsid w:val="00B2429E"/>
    <w:rsid w:val="00B244E1"/>
    <w:rsid w:val="00B24D05"/>
    <w:rsid w:val="00B256CD"/>
    <w:rsid w:val="00B25A91"/>
    <w:rsid w:val="00B266CE"/>
    <w:rsid w:val="00B273D3"/>
    <w:rsid w:val="00B27934"/>
    <w:rsid w:val="00B3181C"/>
    <w:rsid w:val="00B31867"/>
    <w:rsid w:val="00B32C81"/>
    <w:rsid w:val="00B3610B"/>
    <w:rsid w:val="00B36C34"/>
    <w:rsid w:val="00B36E64"/>
    <w:rsid w:val="00B37755"/>
    <w:rsid w:val="00B37FE7"/>
    <w:rsid w:val="00B4098B"/>
    <w:rsid w:val="00B40A07"/>
    <w:rsid w:val="00B40EC6"/>
    <w:rsid w:val="00B40FBA"/>
    <w:rsid w:val="00B4115D"/>
    <w:rsid w:val="00B42FDE"/>
    <w:rsid w:val="00B443C3"/>
    <w:rsid w:val="00B443E5"/>
    <w:rsid w:val="00B446F5"/>
    <w:rsid w:val="00B44DE1"/>
    <w:rsid w:val="00B45190"/>
    <w:rsid w:val="00B4682C"/>
    <w:rsid w:val="00B46E6E"/>
    <w:rsid w:val="00B50681"/>
    <w:rsid w:val="00B5131E"/>
    <w:rsid w:val="00B51853"/>
    <w:rsid w:val="00B52C6C"/>
    <w:rsid w:val="00B53F0F"/>
    <w:rsid w:val="00B55406"/>
    <w:rsid w:val="00B55909"/>
    <w:rsid w:val="00B57722"/>
    <w:rsid w:val="00B57A19"/>
    <w:rsid w:val="00B60032"/>
    <w:rsid w:val="00B60E64"/>
    <w:rsid w:val="00B61072"/>
    <w:rsid w:val="00B6153C"/>
    <w:rsid w:val="00B61E4D"/>
    <w:rsid w:val="00B625A6"/>
    <w:rsid w:val="00B6426F"/>
    <w:rsid w:val="00B6524B"/>
    <w:rsid w:val="00B65A23"/>
    <w:rsid w:val="00B65CD2"/>
    <w:rsid w:val="00B65FF5"/>
    <w:rsid w:val="00B66105"/>
    <w:rsid w:val="00B661D0"/>
    <w:rsid w:val="00B6620E"/>
    <w:rsid w:val="00B66625"/>
    <w:rsid w:val="00B66F4B"/>
    <w:rsid w:val="00B71261"/>
    <w:rsid w:val="00B71AB9"/>
    <w:rsid w:val="00B72619"/>
    <w:rsid w:val="00B74143"/>
    <w:rsid w:val="00B746F9"/>
    <w:rsid w:val="00B74DCF"/>
    <w:rsid w:val="00B751CE"/>
    <w:rsid w:val="00B7666B"/>
    <w:rsid w:val="00B77C9B"/>
    <w:rsid w:val="00B81367"/>
    <w:rsid w:val="00B82643"/>
    <w:rsid w:val="00B82975"/>
    <w:rsid w:val="00B83C03"/>
    <w:rsid w:val="00B843DC"/>
    <w:rsid w:val="00B84B01"/>
    <w:rsid w:val="00B85FA3"/>
    <w:rsid w:val="00B87178"/>
    <w:rsid w:val="00B90339"/>
    <w:rsid w:val="00B90959"/>
    <w:rsid w:val="00B9168A"/>
    <w:rsid w:val="00B92367"/>
    <w:rsid w:val="00B92449"/>
    <w:rsid w:val="00B931FD"/>
    <w:rsid w:val="00B9391D"/>
    <w:rsid w:val="00B93FC0"/>
    <w:rsid w:val="00B9747D"/>
    <w:rsid w:val="00BA0226"/>
    <w:rsid w:val="00BA02C4"/>
    <w:rsid w:val="00BA1FA4"/>
    <w:rsid w:val="00BA2992"/>
    <w:rsid w:val="00BA2CB7"/>
    <w:rsid w:val="00BA6603"/>
    <w:rsid w:val="00BB11F0"/>
    <w:rsid w:val="00BB18F8"/>
    <w:rsid w:val="00BB25DC"/>
    <w:rsid w:val="00BB3128"/>
    <w:rsid w:val="00BB378B"/>
    <w:rsid w:val="00BB37D0"/>
    <w:rsid w:val="00BB3993"/>
    <w:rsid w:val="00BB3D62"/>
    <w:rsid w:val="00BB40F3"/>
    <w:rsid w:val="00BB473B"/>
    <w:rsid w:val="00BB4C2B"/>
    <w:rsid w:val="00BB4E85"/>
    <w:rsid w:val="00BB53B4"/>
    <w:rsid w:val="00BB5D98"/>
    <w:rsid w:val="00BB751A"/>
    <w:rsid w:val="00BB7F01"/>
    <w:rsid w:val="00BB7F97"/>
    <w:rsid w:val="00BC1242"/>
    <w:rsid w:val="00BC18F5"/>
    <w:rsid w:val="00BC2241"/>
    <w:rsid w:val="00BC2C6E"/>
    <w:rsid w:val="00BC2F4D"/>
    <w:rsid w:val="00BC627A"/>
    <w:rsid w:val="00BD00F4"/>
    <w:rsid w:val="00BD0480"/>
    <w:rsid w:val="00BD08A8"/>
    <w:rsid w:val="00BD0CA2"/>
    <w:rsid w:val="00BD14B1"/>
    <w:rsid w:val="00BD14F6"/>
    <w:rsid w:val="00BD2358"/>
    <w:rsid w:val="00BD25FB"/>
    <w:rsid w:val="00BD266C"/>
    <w:rsid w:val="00BD2B0B"/>
    <w:rsid w:val="00BD36B5"/>
    <w:rsid w:val="00BD409C"/>
    <w:rsid w:val="00BD4243"/>
    <w:rsid w:val="00BD4D66"/>
    <w:rsid w:val="00BD4F20"/>
    <w:rsid w:val="00BD520D"/>
    <w:rsid w:val="00BD5A23"/>
    <w:rsid w:val="00BD5A97"/>
    <w:rsid w:val="00BD6B16"/>
    <w:rsid w:val="00BD6E10"/>
    <w:rsid w:val="00BD72D0"/>
    <w:rsid w:val="00BD7B53"/>
    <w:rsid w:val="00BE0183"/>
    <w:rsid w:val="00BE069E"/>
    <w:rsid w:val="00BE252E"/>
    <w:rsid w:val="00BE2948"/>
    <w:rsid w:val="00BE393F"/>
    <w:rsid w:val="00BE3FBE"/>
    <w:rsid w:val="00BE4E74"/>
    <w:rsid w:val="00BE537B"/>
    <w:rsid w:val="00BE5A9F"/>
    <w:rsid w:val="00BE6666"/>
    <w:rsid w:val="00BE66F8"/>
    <w:rsid w:val="00BE6A0B"/>
    <w:rsid w:val="00BE7BE7"/>
    <w:rsid w:val="00BF0460"/>
    <w:rsid w:val="00BF052A"/>
    <w:rsid w:val="00BF06DE"/>
    <w:rsid w:val="00BF09E3"/>
    <w:rsid w:val="00BF198D"/>
    <w:rsid w:val="00BF2344"/>
    <w:rsid w:val="00BF3780"/>
    <w:rsid w:val="00BF3B28"/>
    <w:rsid w:val="00BF40E0"/>
    <w:rsid w:val="00BF42D9"/>
    <w:rsid w:val="00BF4713"/>
    <w:rsid w:val="00BF482F"/>
    <w:rsid w:val="00BF4CCF"/>
    <w:rsid w:val="00BF4F8A"/>
    <w:rsid w:val="00BF50E0"/>
    <w:rsid w:val="00BF5342"/>
    <w:rsid w:val="00BF5E9F"/>
    <w:rsid w:val="00BF606D"/>
    <w:rsid w:val="00BF6764"/>
    <w:rsid w:val="00BF7423"/>
    <w:rsid w:val="00BF75FF"/>
    <w:rsid w:val="00C00112"/>
    <w:rsid w:val="00C007E0"/>
    <w:rsid w:val="00C00C6D"/>
    <w:rsid w:val="00C01BB4"/>
    <w:rsid w:val="00C01DFE"/>
    <w:rsid w:val="00C01F1D"/>
    <w:rsid w:val="00C0231D"/>
    <w:rsid w:val="00C02676"/>
    <w:rsid w:val="00C0344B"/>
    <w:rsid w:val="00C04F27"/>
    <w:rsid w:val="00C051CE"/>
    <w:rsid w:val="00C05636"/>
    <w:rsid w:val="00C05F52"/>
    <w:rsid w:val="00C0621F"/>
    <w:rsid w:val="00C06870"/>
    <w:rsid w:val="00C071C9"/>
    <w:rsid w:val="00C07460"/>
    <w:rsid w:val="00C1008B"/>
    <w:rsid w:val="00C10D99"/>
    <w:rsid w:val="00C11774"/>
    <w:rsid w:val="00C14243"/>
    <w:rsid w:val="00C1468B"/>
    <w:rsid w:val="00C146BC"/>
    <w:rsid w:val="00C15258"/>
    <w:rsid w:val="00C165ED"/>
    <w:rsid w:val="00C16704"/>
    <w:rsid w:val="00C16D11"/>
    <w:rsid w:val="00C20EEF"/>
    <w:rsid w:val="00C212B1"/>
    <w:rsid w:val="00C21A3F"/>
    <w:rsid w:val="00C22656"/>
    <w:rsid w:val="00C22825"/>
    <w:rsid w:val="00C23C19"/>
    <w:rsid w:val="00C24C19"/>
    <w:rsid w:val="00C24E69"/>
    <w:rsid w:val="00C271E2"/>
    <w:rsid w:val="00C2736E"/>
    <w:rsid w:val="00C27D19"/>
    <w:rsid w:val="00C27D58"/>
    <w:rsid w:val="00C27FBD"/>
    <w:rsid w:val="00C3032E"/>
    <w:rsid w:val="00C305F6"/>
    <w:rsid w:val="00C30ED8"/>
    <w:rsid w:val="00C310CE"/>
    <w:rsid w:val="00C33441"/>
    <w:rsid w:val="00C33D71"/>
    <w:rsid w:val="00C350AC"/>
    <w:rsid w:val="00C36671"/>
    <w:rsid w:val="00C3720E"/>
    <w:rsid w:val="00C408DC"/>
    <w:rsid w:val="00C40B79"/>
    <w:rsid w:val="00C41075"/>
    <w:rsid w:val="00C412F1"/>
    <w:rsid w:val="00C4192D"/>
    <w:rsid w:val="00C41BC6"/>
    <w:rsid w:val="00C42F17"/>
    <w:rsid w:val="00C441DE"/>
    <w:rsid w:val="00C44ED8"/>
    <w:rsid w:val="00C45263"/>
    <w:rsid w:val="00C45628"/>
    <w:rsid w:val="00C46420"/>
    <w:rsid w:val="00C4678F"/>
    <w:rsid w:val="00C50FC9"/>
    <w:rsid w:val="00C51F60"/>
    <w:rsid w:val="00C527AA"/>
    <w:rsid w:val="00C52A8F"/>
    <w:rsid w:val="00C52C45"/>
    <w:rsid w:val="00C52C55"/>
    <w:rsid w:val="00C53032"/>
    <w:rsid w:val="00C54594"/>
    <w:rsid w:val="00C54F34"/>
    <w:rsid w:val="00C55310"/>
    <w:rsid w:val="00C55990"/>
    <w:rsid w:val="00C55F78"/>
    <w:rsid w:val="00C564A2"/>
    <w:rsid w:val="00C56EFD"/>
    <w:rsid w:val="00C604DE"/>
    <w:rsid w:val="00C607D4"/>
    <w:rsid w:val="00C60999"/>
    <w:rsid w:val="00C61219"/>
    <w:rsid w:val="00C61CC2"/>
    <w:rsid w:val="00C62536"/>
    <w:rsid w:val="00C62E29"/>
    <w:rsid w:val="00C634D5"/>
    <w:rsid w:val="00C639B6"/>
    <w:rsid w:val="00C63D57"/>
    <w:rsid w:val="00C64B9A"/>
    <w:rsid w:val="00C6525D"/>
    <w:rsid w:val="00C6684B"/>
    <w:rsid w:val="00C706BB"/>
    <w:rsid w:val="00C70A20"/>
    <w:rsid w:val="00C70C1A"/>
    <w:rsid w:val="00C71204"/>
    <w:rsid w:val="00C71355"/>
    <w:rsid w:val="00C71400"/>
    <w:rsid w:val="00C720D3"/>
    <w:rsid w:val="00C72154"/>
    <w:rsid w:val="00C7310A"/>
    <w:rsid w:val="00C73276"/>
    <w:rsid w:val="00C75DF0"/>
    <w:rsid w:val="00C75F1A"/>
    <w:rsid w:val="00C7657A"/>
    <w:rsid w:val="00C779BA"/>
    <w:rsid w:val="00C77C6B"/>
    <w:rsid w:val="00C80FCE"/>
    <w:rsid w:val="00C8177F"/>
    <w:rsid w:val="00C8232F"/>
    <w:rsid w:val="00C83521"/>
    <w:rsid w:val="00C83E5C"/>
    <w:rsid w:val="00C85B46"/>
    <w:rsid w:val="00C85BC1"/>
    <w:rsid w:val="00C864E5"/>
    <w:rsid w:val="00C86D18"/>
    <w:rsid w:val="00C877C2"/>
    <w:rsid w:val="00C909C5"/>
    <w:rsid w:val="00C90EA5"/>
    <w:rsid w:val="00C90EA8"/>
    <w:rsid w:val="00C92A12"/>
    <w:rsid w:val="00C92B0C"/>
    <w:rsid w:val="00C92EC1"/>
    <w:rsid w:val="00C948E6"/>
    <w:rsid w:val="00C952FB"/>
    <w:rsid w:val="00C95BF6"/>
    <w:rsid w:val="00C95D36"/>
    <w:rsid w:val="00C962A7"/>
    <w:rsid w:val="00C9794F"/>
    <w:rsid w:val="00C97A76"/>
    <w:rsid w:val="00CA02D4"/>
    <w:rsid w:val="00CA0AE1"/>
    <w:rsid w:val="00CA15C6"/>
    <w:rsid w:val="00CA29E3"/>
    <w:rsid w:val="00CA2B1E"/>
    <w:rsid w:val="00CA3349"/>
    <w:rsid w:val="00CA3699"/>
    <w:rsid w:val="00CA376F"/>
    <w:rsid w:val="00CA5E82"/>
    <w:rsid w:val="00CA6BF5"/>
    <w:rsid w:val="00CA6F67"/>
    <w:rsid w:val="00CB07D9"/>
    <w:rsid w:val="00CB0F83"/>
    <w:rsid w:val="00CB14F7"/>
    <w:rsid w:val="00CB166B"/>
    <w:rsid w:val="00CB18CD"/>
    <w:rsid w:val="00CB1907"/>
    <w:rsid w:val="00CB1B32"/>
    <w:rsid w:val="00CB1BA9"/>
    <w:rsid w:val="00CB2968"/>
    <w:rsid w:val="00CB4020"/>
    <w:rsid w:val="00CB4E17"/>
    <w:rsid w:val="00CB507D"/>
    <w:rsid w:val="00CB5107"/>
    <w:rsid w:val="00CB5815"/>
    <w:rsid w:val="00CB5E4C"/>
    <w:rsid w:val="00CB6CCB"/>
    <w:rsid w:val="00CB6DD2"/>
    <w:rsid w:val="00CC07A6"/>
    <w:rsid w:val="00CC09BF"/>
    <w:rsid w:val="00CC0EE8"/>
    <w:rsid w:val="00CC0EF2"/>
    <w:rsid w:val="00CC1A0D"/>
    <w:rsid w:val="00CC1BCE"/>
    <w:rsid w:val="00CC1F1D"/>
    <w:rsid w:val="00CC2179"/>
    <w:rsid w:val="00CC2EEC"/>
    <w:rsid w:val="00CC398A"/>
    <w:rsid w:val="00CC3C93"/>
    <w:rsid w:val="00CC49D0"/>
    <w:rsid w:val="00CC4DC6"/>
    <w:rsid w:val="00CC4DEA"/>
    <w:rsid w:val="00CC570C"/>
    <w:rsid w:val="00CC588E"/>
    <w:rsid w:val="00CC58CD"/>
    <w:rsid w:val="00CC5D9B"/>
    <w:rsid w:val="00CC6671"/>
    <w:rsid w:val="00CC6E3C"/>
    <w:rsid w:val="00CC6F1C"/>
    <w:rsid w:val="00CD1584"/>
    <w:rsid w:val="00CD16AD"/>
    <w:rsid w:val="00CD1D16"/>
    <w:rsid w:val="00CD1D7F"/>
    <w:rsid w:val="00CD252A"/>
    <w:rsid w:val="00CD29E3"/>
    <w:rsid w:val="00CD368C"/>
    <w:rsid w:val="00CD396F"/>
    <w:rsid w:val="00CD64A7"/>
    <w:rsid w:val="00CD7E0B"/>
    <w:rsid w:val="00CD7E86"/>
    <w:rsid w:val="00CD7EE3"/>
    <w:rsid w:val="00CE0047"/>
    <w:rsid w:val="00CE01CB"/>
    <w:rsid w:val="00CE04F4"/>
    <w:rsid w:val="00CE0D45"/>
    <w:rsid w:val="00CE1C52"/>
    <w:rsid w:val="00CE2D22"/>
    <w:rsid w:val="00CE355D"/>
    <w:rsid w:val="00CE3618"/>
    <w:rsid w:val="00CE49C9"/>
    <w:rsid w:val="00CE5A23"/>
    <w:rsid w:val="00CE5A2F"/>
    <w:rsid w:val="00CE6C64"/>
    <w:rsid w:val="00CE6CA7"/>
    <w:rsid w:val="00CE7A85"/>
    <w:rsid w:val="00CE7D8B"/>
    <w:rsid w:val="00CF2640"/>
    <w:rsid w:val="00CF2946"/>
    <w:rsid w:val="00CF3D60"/>
    <w:rsid w:val="00CF43D0"/>
    <w:rsid w:val="00CF4569"/>
    <w:rsid w:val="00CF5136"/>
    <w:rsid w:val="00CF5151"/>
    <w:rsid w:val="00CF5317"/>
    <w:rsid w:val="00CF585A"/>
    <w:rsid w:val="00CF5A08"/>
    <w:rsid w:val="00CF64FF"/>
    <w:rsid w:val="00CF66B4"/>
    <w:rsid w:val="00CF68DF"/>
    <w:rsid w:val="00CF7211"/>
    <w:rsid w:val="00D00054"/>
    <w:rsid w:val="00D00360"/>
    <w:rsid w:val="00D00EF7"/>
    <w:rsid w:val="00D01069"/>
    <w:rsid w:val="00D018D7"/>
    <w:rsid w:val="00D01980"/>
    <w:rsid w:val="00D01FA2"/>
    <w:rsid w:val="00D03777"/>
    <w:rsid w:val="00D03D11"/>
    <w:rsid w:val="00D03D76"/>
    <w:rsid w:val="00D03F10"/>
    <w:rsid w:val="00D041CE"/>
    <w:rsid w:val="00D04569"/>
    <w:rsid w:val="00D06273"/>
    <w:rsid w:val="00D0663E"/>
    <w:rsid w:val="00D06FAC"/>
    <w:rsid w:val="00D111AA"/>
    <w:rsid w:val="00D1126F"/>
    <w:rsid w:val="00D11447"/>
    <w:rsid w:val="00D11BB0"/>
    <w:rsid w:val="00D123FA"/>
    <w:rsid w:val="00D12E95"/>
    <w:rsid w:val="00D133CC"/>
    <w:rsid w:val="00D13973"/>
    <w:rsid w:val="00D13D4D"/>
    <w:rsid w:val="00D13F50"/>
    <w:rsid w:val="00D141DB"/>
    <w:rsid w:val="00D146CF"/>
    <w:rsid w:val="00D151CB"/>
    <w:rsid w:val="00D15898"/>
    <w:rsid w:val="00D15D40"/>
    <w:rsid w:val="00D15F69"/>
    <w:rsid w:val="00D172F0"/>
    <w:rsid w:val="00D179A7"/>
    <w:rsid w:val="00D206DF"/>
    <w:rsid w:val="00D216E4"/>
    <w:rsid w:val="00D21862"/>
    <w:rsid w:val="00D24255"/>
    <w:rsid w:val="00D24956"/>
    <w:rsid w:val="00D24AAC"/>
    <w:rsid w:val="00D25887"/>
    <w:rsid w:val="00D258AB"/>
    <w:rsid w:val="00D2592A"/>
    <w:rsid w:val="00D26C63"/>
    <w:rsid w:val="00D3007F"/>
    <w:rsid w:val="00D30789"/>
    <w:rsid w:val="00D30E9D"/>
    <w:rsid w:val="00D30F28"/>
    <w:rsid w:val="00D32953"/>
    <w:rsid w:val="00D32A29"/>
    <w:rsid w:val="00D34022"/>
    <w:rsid w:val="00D3435A"/>
    <w:rsid w:val="00D34771"/>
    <w:rsid w:val="00D356B5"/>
    <w:rsid w:val="00D35FB5"/>
    <w:rsid w:val="00D36D1B"/>
    <w:rsid w:val="00D3752D"/>
    <w:rsid w:val="00D3791E"/>
    <w:rsid w:val="00D40A45"/>
    <w:rsid w:val="00D40D23"/>
    <w:rsid w:val="00D40D95"/>
    <w:rsid w:val="00D40FA4"/>
    <w:rsid w:val="00D4168E"/>
    <w:rsid w:val="00D436D3"/>
    <w:rsid w:val="00D4592B"/>
    <w:rsid w:val="00D45FFD"/>
    <w:rsid w:val="00D467BF"/>
    <w:rsid w:val="00D46B7C"/>
    <w:rsid w:val="00D47232"/>
    <w:rsid w:val="00D47617"/>
    <w:rsid w:val="00D47DCD"/>
    <w:rsid w:val="00D500C0"/>
    <w:rsid w:val="00D50B5D"/>
    <w:rsid w:val="00D510A3"/>
    <w:rsid w:val="00D51B32"/>
    <w:rsid w:val="00D52600"/>
    <w:rsid w:val="00D52606"/>
    <w:rsid w:val="00D52B14"/>
    <w:rsid w:val="00D52BB7"/>
    <w:rsid w:val="00D52DB9"/>
    <w:rsid w:val="00D53671"/>
    <w:rsid w:val="00D54314"/>
    <w:rsid w:val="00D543A2"/>
    <w:rsid w:val="00D5456C"/>
    <w:rsid w:val="00D54E1F"/>
    <w:rsid w:val="00D551E1"/>
    <w:rsid w:val="00D56A09"/>
    <w:rsid w:val="00D5793E"/>
    <w:rsid w:val="00D611B1"/>
    <w:rsid w:val="00D613AA"/>
    <w:rsid w:val="00D6149A"/>
    <w:rsid w:val="00D61528"/>
    <w:rsid w:val="00D61904"/>
    <w:rsid w:val="00D63088"/>
    <w:rsid w:val="00D6308E"/>
    <w:rsid w:val="00D633EC"/>
    <w:rsid w:val="00D6350A"/>
    <w:rsid w:val="00D641BF"/>
    <w:rsid w:val="00D643BA"/>
    <w:rsid w:val="00D64722"/>
    <w:rsid w:val="00D64AEC"/>
    <w:rsid w:val="00D64E22"/>
    <w:rsid w:val="00D64FCF"/>
    <w:rsid w:val="00D65AB3"/>
    <w:rsid w:val="00D66735"/>
    <w:rsid w:val="00D66757"/>
    <w:rsid w:val="00D66767"/>
    <w:rsid w:val="00D66E38"/>
    <w:rsid w:val="00D67136"/>
    <w:rsid w:val="00D708F2"/>
    <w:rsid w:val="00D71879"/>
    <w:rsid w:val="00D7223F"/>
    <w:rsid w:val="00D7245A"/>
    <w:rsid w:val="00D72C2C"/>
    <w:rsid w:val="00D72FCA"/>
    <w:rsid w:val="00D73F08"/>
    <w:rsid w:val="00D74040"/>
    <w:rsid w:val="00D742A5"/>
    <w:rsid w:val="00D74610"/>
    <w:rsid w:val="00D74786"/>
    <w:rsid w:val="00D7488D"/>
    <w:rsid w:val="00D757AD"/>
    <w:rsid w:val="00D75D5F"/>
    <w:rsid w:val="00D7663B"/>
    <w:rsid w:val="00D766D2"/>
    <w:rsid w:val="00D769C6"/>
    <w:rsid w:val="00D77F5A"/>
    <w:rsid w:val="00D80079"/>
    <w:rsid w:val="00D80642"/>
    <w:rsid w:val="00D8068D"/>
    <w:rsid w:val="00D808A5"/>
    <w:rsid w:val="00D80FDA"/>
    <w:rsid w:val="00D810D6"/>
    <w:rsid w:val="00D81FD3"/>
    <w:rsid w:val="00D82A29"/>
    <w:rsid w:val="00D83497"/>
    <w:rsid w:val="00D8355B"/>
    <w:rsid w:val="00D84610"/>
    <w:rsid w:val="00D85338"/>
    <w:rsid w:val="00D858F4"/>
    <w:rsid w:val="00D85C6D"/>
    <w:rsid w:val="00D86CB2"/>
    <w:rsid w:val="00D87186"/>
    <w:rsid w:val="00D8772B"/>
    <w:rsid w:val="00D878D1"/>
    <w:rsid w:val="00D87D1E"/>
    <w:rsid w:val="00D87DD1"/>
    <w:rsid w:val="00D87F72"/>
    <w:rsid w:val="00D90F83"/>
    <w:rsid w:val="00D91454"/>
    <w:rsid w:val="00D915C6"/>
    <w:rsid w:val="00D916E4"/>
    <w:rsid w:val="00D919EA"/>
    <w:rsid w:val="00D9232A"/>
    <w:rsid w:val="00D93041"/>
    <w:rsid w:val="00D930C1"/>
    <w:rsid w:val="00D938C2"/>
    <w:rsid w:val="00D94ADC"/>
    <w:rsid w:val="00D94F14"/>
    <w:rsid w:val="00D96755"/>
    <w:rsid w:val="00D97745"/>
    <w:rsid w:val="00D97A65"/>
    <w:rsid w:val="00D97B47"/>
    <w:rsid w:val="00D97D1D"/>
    <w:rsid w:val="00D97FF8"/>
    <w:rsid w:val="00DA08EE"/>
    <w:rsid w:val="00DA1235"/>
    <w:rsid w:val="00DA1506"/>
    <w:rsid w:val="00DA1938"/>
    <w:rsid w:val="00DA19B0"/>
    <w:rsid w:val="00DA1AC8"/>
    <w:rsid w:val="00DA261F"/>
    <w:rsid w:val="00DA2A0C"/>
    <w:rsid w:val="00DA34AE"/>
    <w:rsid w:val="00DA37EF"/>
    <w:rsid w:val="00DA3E65"/>
    <w:rsid w:val="00DA4500"/>
    <w:rsid w:val="00DA5601"/>
    <w:rsid w:val="00DA5EAE"/>
    <w:rsid w:val="00DA634E"/>
    <w:rsid w:val="00DB01CC"/>
    <w:rsid w:val="00DB0740"/>
    <w:rsid w:val="00DB1519"/>
    <w:rsid w:val="00DB1629"/>
    <w:rsid w:val="00DB2624"/>
    <w:rsid w:val="00DB33A3"/>
    <w:rsid w:val="00DB3C8D"/>
    <w:rsid w:val="00DB41D3"/>
    <w:rsid w:val="00DB490F"/>
    <w:rsid w:val="00DB5628"/>
    <w:rsid w:val="00DB5B62"/>
    <w:rsid w:val="00DB60FF"/>
    <w:rsid w:val="00DB6739"/>
    <w:rsid w:val="00DB6A98"/>
    <w:rsid w:val="00DB6FD1"/>
    <w:rsid w:val="00DB7787"/>
    <w:rsid w:val="00DC02F4"/>
    <w:rsid w:val="00DC040E"/>
    <w:rsid w:val="00DC05E6"/>
    <w:rsid w:val="00DC07DA"/>
    <w:rsid w:val="00DC088C"/>
    <w:rsid w:val="00DC123B"/>
    <w:rsid w:val="00DC265B"/>
    <w:rsid w:val="00DC2CC2"/>
    <w:rsid w:val="00DC4203"/>
    <w:rsid w:val="00DC45D5"/>
    <w:rsid w:val="00DC545E"/>
    <w:rsid w:val="00DC5A7D"/>
    <w:rsid w:val="00DC628E"/>
    <w:rsid w:val="00DC6519"/>
    <w:rsid w:val="00DC703A"/>
    <w:rsid w:val="00DC791A"/>
    <w:rsid w:val="00DC7DE9"/>
    <w:rsid w:val="00DC7DF1"/>
    <w:rsid w:val="00DD0232"/>
    <w:rsid w:val="00DD14A5"/>
    <w:rsid w:val="00DD15F9"/>
    <w:rsid w:val="00DD1B86"/>
    <w:rsid w:val="00DD3E0C"/>
    <w:rsid w:val="00DD47C7"/>
    <w:rsid w:val="00DD56FB"/>
    <w:rsid w:val="00DD5DE7"/>
    <w:rsid w:val="00DD6960"/>
    <w:rsid w:val="00DE063F"/>
    <w:rsid w:val="00DE0B01"/>
    <w:rsid w:val="00DE1DA5"/>
    <w:rsid w:val="00DE1E72"/>
    <w:rsid w:val="00DE1FDE"/>
    <w:rsid w:val="00DE1FF8"/>
    <w:rsid w:val="00DE26B8"/>
    <w:rsid w:val="00DE2CEF"/>
    <w:rsid w:val="00DE3C2E"/>
    <w:rsid w:val="00DE4E29"/>
    <w:rsid w:val="00DE4ED5"/>
    <w:rsid w:val="00DE4EE1"/>
    <w:rsid w:val="00DE5624"/>
    <w:rsid w:val="00DE67C9"/>
    <w:rsid w:val="00DE7D59"/>
    <w:rsid w:val="00DE7DA0"/>
    <w:rsid w:val="00DF098A"/>
    <w:rsid w:val="00DF10D9"/>
    <w:rsid w:val="00DF13F7"/>
    <w:rsid w:val="00DF1509"/>
    <w:rsid w:val="00DF2426"/>
    <w:rsid w:val="00DF2E98"/>
    <w:rsid w:val="00DF30FD"/>
    <w:rsid w:val="00DF3419"/>
    <w:rsid w:val="00DF4373"/>
    <w:rsid w:val="00DF5484"/>
    <w:rsid w:val="00DF5ABB"/>
    <w:rsid w:val="00DF706B"/>
    <w:rsid w:val="00DF70B9"/>
    <w:rsid w:val="00E004A9"/>
    <w:rsid w:val="00E006B5"/>
    <w:rsid w:val="00E0148A"/>
    <w:rsid w:val="00E01D0A"/>
    <w:rsid w:val="00E022A7"/>
    <w:rsid w:val="00E029A4"/>
    <w:rsid w:val="00E034EB"/>
    <w:rsid w:val="00E03EE7"/>
    <w:rsid w:val="00E041FE"/>
    <w:rsid w:val="00E051D1"/>
    <w:rsid w:val="00E051EE"/>
    <w:rsid w:val="00E06C45"/>
    <w:rsid w:val="00E077BC"/>
    <w:rsid w:val="00E07E69"/>
    <w:rsid w:val="00E1072E"/>
    <w:rsid w:val="00E11680"/>
    <w:rsid w:val="00E12EF9"/>
    <w:rsid w:val="00E13C21"/>
    <w:rsid w:val="00E14446"/>
    <w:rsid w:val="00E14F65"/>
    <w:rsid w:val="00E152B8"/>
    <w:rsid w:val="00E154D4"/>
    <w:rsid w:val="00E16D8A"/>
    <w:rsid w:val="00E17911"/>
    <w:rsid w:val="00E17D83"/>
    <w:rsid w:val="00E20512"/>
    <w:rsid w:val="00E205A0"/>
    <w:rsid w:val="00E20A6F"/>
    <w:rsid w:val="00E20FD7"/>
    <w:rsid w:val="00E213CA"/>
    <w:rsid w:val="00E21D97"/>
    <w:rsid w:val="00E229F5"/>
    <w:rsid w:val="00E22F81"/>
    <w:rsid w:val="00E239AE"/>
    <w:rsid w:val="00E244FF"/>
    <w:rsid w:val="00E245B4"/>
    <w:rsid w:val="00E25BBD"/>
    <w:rsid w:val="00E26C6D"/>
    <w:rsid w:val="00E27535"/>
    <w:rsid w:val="00E275E4"/>
    <w:rsid w:val="00E27D88"/>
    <w:rsid w:val="00E303CB"/>
    <w:rsid w:val="00E30AB6"/>
    <w:rsid w:val="00E30B68"/>
    <w:rsid w:val="00E33F2E"/>
    <w:rsid w:val="00E3407D"/>
    <w:rsid w:val="00E34F01"/>
    <w:rsid w:val="00E3585F"/>
    <w:rsid w:val="00E367D4"/>
    <w:rsid w:val="00E36E80"/>
    <w:rsid w:val="00E40CED"/>
    <w:rsid w:val="00E422B0"/>
    <w:rsid w:val="00E42642"/>
    <w:rsid w:val="00E43A6A"/>
    <w:rsid w:val="00E44EDB"/>
    <w:rsid w:val="00E46992"/>
    <w:rsid w:val="00E47751"/>
    <w:rsid w:val="00E507B9"/>
    <w:rsid w:val="00E52325"/>
    <w:rsid w:val="00E53F10"/>
    <w:rsid w:val="00E568C2"/>
    <w:rsid w:val="00E57C66"/>
    <w:rsid w:val="00E605A8"/>
    <w:rsid w:val="00E60D1F"/>
    <w:rsid w:val="00E61C7B"/>
    <w:rsid w:val="00E62502"/>
    <w:rsid w:val="00E63298"/>
    <w:rsid w:val="00E63EF8"/>
    <w:rsid w:val="00E6645C"/>
    <w:rsid w:val="00E66B0E"/>
    <w:rsid w:val="00E66CCC"/>
    <w:rsid w:val="00E6728B"/>
    <w:rsid w:val="00E67B77"/>
    <w:rsid w:val="00E71048"/>
    <w:rsid w:val="00E716BC"/>
    <w:rsid w:val="00E7178A"/>
    <w:rsid w:val="00E7277B"/>
    <w:rsid w:val="00E73F8B"/>
    <w:rsid w:val="00E75547"/>
    <w:rsid w:val="00E75F96"/>
    <w:rsid w:val="00E764B1"/>
    <w:rsid w:val="00E7650D"/>
    <w:rsid w:val="00E76CC4"/>
    <w:rsid w:val="00E7756E"/>
    <w:rsid w:val="00E77AAC"/>
    <w:rsid w:val="00E77C43"/>
    <w:rsid w:val="00E81164"/>
    <w:rsid w:val="00E82108"/>
    <w:rsid w:val="00E822E1"/>
    <w:rsid w:val="00E8283B"/>
    <w:rsid w:val="00E82873"/>
    <w:rsid w:val="00E82B05"/>
    <w:rsid w:val="00E82BCD"/>
    <w:rsid w:val="00E82EA6"/>
    <w:rsid w:val="00E83DED"/>
    <w:rsid w:val="00E8407C"/>
    <w:rsid w:val="00E845E6"/>
    <w:rsid w:val="00E8535B"/>
    <w:rsid w:val="00E8621B"/>
    <w:rsid w:val="00E86876"/>
    <w:rsid w:val="00E8735E"/>
    <w:rsid w:val="00E87402"/>
    <w:rsid w:val="00E87430"/>
    <w:rsid w:val="00E87507"/>
    <w:rsid w:val="00E8780A"/>
    <w:rsid w:val="00E90D27"/>
    <w:rsid w:val="00E913F1"/>
    <w:rsid w:val="00E91C4D"/>
    <w:rsid w:val="00E91D7B"/>
    <w:rsid w:val="00E91EA2"/>
    <w:rsid w:val="00E926DC"/>
    <w:rsid w:val="00E92E9E"/>
    <w:rsid w:val="00E94526"/>
    <w:rsid w:val="00E94A22"/>
    <w:rsid w:val="00E95A00"/>
    <w:rsid w:val="00E961E3"/>
    <w:rsid w:val="00E968E7"/>
    <w:rsid w:val="00E97078"/>
    <w:rsid w:val="00E97803"/>
    <w:rsid w:val="00E97EE6"/>
    <w:rsid w:val="00EA01D6"/>
    <w:rsid w:val="00EA0683"/>
    <w:rsid w:val="00EA0C17"/>
    <w:rsid w:val="00EA1511"/>
    <w:rsid w:val="00EA1EDD"/>
    <w:rsid w:val="00EA26FE"/>
    <w:rsid w:val="00EA3173"/>
    <w:rsid w:val="00EA5496"/>
    <w:rsid w:val="00EA6E17"/>
    <w:rsid w:val="00EA76A9"/>
    <w:rsid w:val="00EA7E7A"/>
    <w:rsid w:val="00EA7F2D"/>
    <w:rsid w:val="00EB0461"/>
    <w:rsid w:val="00EB078F"/>
    <w:rsid w:val="00EB0A67"/>
    <w:rsid w:val="00EB1117"/>
    <w:rsid w:val="00EB12B3"/>
    <w:rsid w:val="00EB2055"/>
    <w:rsid w:val="00EB23DE"/>
    <w:rsid w:val="00EB39BD"/>
    <w:rsid w:val="00EB4A2B"/>
    <w:rsid w:val="00EB4E24"/>
    <w:rsid w:val="00EB4E5B"/>
    <w:rsid w:val="00EB5166"/>
    <w:rsid w:val="00EB5334"/>
    <w:rsid w:val="00EB5857"/>
    <w:rsid w:val="00EB5DC2"/>
    <w:rsid w:val="00EB6458"/>
    <w:rsid w:val="00EB6DD1"/>
    <w:rsid w:val="00EB6FE0"/>
    <w:rsid w:val="00EB71E0"/>
    <w:rsid w:val="00EB779A"/>
    <w:rsid w:val="00EB7A8F"/>
    <w:rsid w:val="00EC0DFD"/>
    <w:rsid w:val="00EC1A6E"/>
    <w:rsid w:val="00EC2728"/>
    <w:rsid w:val="00EC30FD"/>
    <w:rsid w:val="00EC3B46"/>
    <w:rsid w:val="00EC425A"/>
    <w:rsid w:val="00EC4A31"/>
    <w:rsid w:val="00EC532E"/>
    <w:rsid w:val="00EC54D4"/>
    <w:rsid w:val="00EC5793"/>
    <w:rsid w:val="00EC58ED"/>
    <w:rsid w:val="00EC5EEB"/>
    <w:rsid w:val="00EC6103"/>
    <w:rsid w:val="00EC7E31"/>
    <w:rsid w:val="00ED00EA"/>
    <w:rsid w:val="00ED0EA4"/>
    <w:rsid w:val="00ED253E"/>
    <w:rsid w:val="00ED2889"/>
    <w:rsid w:val="00ED293A"/>
    <w:rsid w:val="00ED2D19"/>
    <w:rsid w:val="00ED3B1F"/>
    <w:rsid w:val="00ED47BB"/>
    <w:rsid w:val="00ED53D8"/>
    <w:rsid w:val="00ED5CF3"/>
    <w:rsid w:val="00ED5F64"/>
    <w:rsid w:val="00ED623F"/>
    <w:rsid w:val="00ED781A"/>
    <w:rsid w:val="00ED7859"/>
    <w:rsid w:val="00EE0E28"/>
    <w:rsid w:val="00EE13BA"/>
    <w:rsid w:val="00EE17B3"/>
    <w:rsid w:val="00EE17E0"/>
    <w:rsid w:val="00EE1808"/>
    <w:rsid w:val="00EE2969"/>
    <w:rsid w:val="00EE303C"/>
    <w:rsid w:val="00EE3A5F"/>
    <w:rsid w:val="00EE4349"/>
    <w:rsid w:val="00EE43D5"/>
    <w:rsid w:val="00EE4513"/>
    <w:rsid w:val="00EE64D8"/>
    <w:rsid w:val="00EE7514"/>
    <w:rsid w:val="00EE7C29"/>
    <w:rsid w:val="00EF1BC7"/>
    <w:rsid w:val="00EF2303"/>
    <w:rsid w:val="00EF2A3D"/>
    <w:rsid w:val="00EF2B6A"/>
    <w:rsid w:val="00EF4258"/>
    <w:rsid w:val="00EF44C9"/>
    <w:rsid w:val="00EF45CF"/>
    <w:rsid w:val="00EF47C5"/>
    <w:rsid w:val="00EF5DD2"/>
    <w:rsid w:val="00EF6084"/>
    <w:rsid w:val="00EF6157"/>
    <w:rsid w:val="00EF63FA"/>
    <w:rsid w:val="00EF6CF7"/>
    <w:rsid w:val="00EF773E"/>
    <w:rsid w:val="00EF7808"/>
    <w:rsid w:val="00EF7AAE"/>
    <w:rsid w:val="00F00767"/>
    <w:rsid w:val="00F00A76"/>
    <w:rsid w:val="00F018F5"/>
    <w:rsid w:val="00F019D0"/>
    <w:rsid w:val="00F01A25"/>
    <w:rsid w:val="00F0281B"/>
    <w:rsid w:val="00F02D8B"/>
    <w:rsid w:val="00F030C7"/>
    <w:rsid w:val="00F03AA5"/>
    <w:rsid w:val="00F04B5B"/>
    <w:rsid w:val="00F060CE"/>
    <w:rsid w:val="00F078A5"/>
    <w:rsid w:val="00F10548"/>
    <w:rsid w:val="00F10AA8"/>
    <w:rsid w:val="00F112DC"/>
    <w:rsid w:val="00F11A5C"/>
    <w:rsid w:val="00F11B17"/>
    <w:rsid w:val="00F124C8"/>
    <w:rsid w:val="00F14296"/>
    <w:rsid w:val="00F147BE"/>
    <w:rsid w:val="00F14D41"/>
    <w:rsid w:val="00F158BA"/>
    <w:rsid w:val="00F15C60"/>
    <w:rsid w:val="00F17AAC"/>
    <w:rsid w:val="00F203DF"/>
    <w:rsid w:val="00F21A58"/>
    <w:rsid w:val="00F2210B"/>
    <w:rsid w:val="00F234BF"/>
    <w:rsid w:val="00F24076"/>
    <w:rsid w:val="00F250E8"/>
    <w:rsid w:val="00F2575D"/>
    <w:rsid w:val="00F25A0A"/>
    <w:rsid w:val="00F263C0"/>
    <w:rsid w:val="00F2695B"/>
    <w:rsid w:val="00F26E27"/>
    <w:rsid w:val="00F278D6"/>
    <w:rsid w:val="00F278F2"/>
    <w:rsid w:val="00F27BFA"/>
    <w:rsid w:val="00F30EFC"/>
    <w:rsid w:val="00F31666"/>
    <w:rsid w:val="00F31BEF"/>
    <w:rsid w:val="00F327EB"/>
    <w:rsid w:val="00F32CCC"/>
    <w:rsid w:val="00F3311E"/>
    <w:rsid w:val="00F33ED7"/>
    <w:rsid w:val="00F341D1"/>
    <w:rsid w:val="00F3443F"/>
    <w:rsid w:val="00F34BF0"/>
    <w:rsid w:val="00F34D74"/>
    <w:rsid w:val="00F35CE7"/>
    <w:rsid w:val="00F35FB2"/>
    <w:rsid w:val="00F36584"/>
    <w:rsid w:val="00F367A4"/>
    <w:rsid w:val="00F36ED5"/>
    <w:rsid w:val="00F37F9D"/>
    <w:rsid w:val="00F401B1"/>
    <w:rsid w:val="00F407E4"/>
    <w:rsid w:val="00F429E5"/>
    <w:rsid w:val="00F42B21"/>
    <w:rsid w:val="00F42FBE"/>
    <w:rsid w:val="00F43630"/>
    <w:rsid w:val="00F44236"/>
    <w:rsid w:val="00F44371"/>
    <w:rsid w:val="00F44574"/>
    <w:rsid w:val="00F469F9"/>
    <w:rsid w:val="00F5030C"/>
    <w:rsid w:val="00F50515"/>
    <w:rsid w:val="00F507A2"/>
    <w:rsid w:val="00F51141"/>
    <w:rsid w:val="00F5158F"/>
    <w:rsid w:val="00F519A3"/>
    <w:rsid w:val="00F51FD7"/>
    <w:rsid w:val="00F52C56"/>
    <w:rsid w:val="00F52FF6"/>
    <w:rsid w:val="00F534BB"/>
    <w:rsid w:val="00F53C2D"/>
    <w:rsid w:val="00F54A38"/>
    <w:rsid w:val="00F54C09"/>
    <w:rsid w:val="00F54F42"/>
    <w:rsid w:val="00F54F65"/>
    <w:rsid w:val="00F55A71"/>
    <w:rsid w:val="00F56233"/>
    <w:rsid w:val="00F56B65"/>
    <w:rsid w:val="00F571DE"/>
    <w:rsid w:val="00F5779E"/>
    <w:rsid w:val="00F624A0"/>
    <w:rsid w:val="00F633EA"/>
    <w:rsid w:val="00F635E9"/>
    <w:rsid w:val="00F6364D"/>
    <w:rsid w:val="00F63A0F"/>
    <w:rsid w:val="00F63F8E"/>
    <w:rsid w:val="00F64D00"/>
    <w:rsid w:val="00F6564F"/>
    <w:rsid w:val="00F6699D"/>
    <w:rsid w:val="00F66DF1"/>
    <w:rsid w:val="00F67038"/>
    <w:rsid w:val="00F703FD"/>
    <w:rsid w:val="00F70B6B"/>
    <w:rsid w:val="00F70CAD"/>
    <w:rsid w:val="00F710EA"/>
    <w:rsid w:val="00F71726"/>
    <w:rsid w:val="00F71E83"/>
    <w:rsid w:val="00F72231"/>
    <w:rsid w:val="00F73D61"/>
    <w:rsid w:val="00F74079"/>
    <w:rsid w:val="00F76085"/>
    <w:rsid w:val="00F766DD"/>
    <w:rsid w:val="00F77AAA"/>
    <w:rsid w:val="00F803FE"/>
    <w:rsid w:val="00F80B56"/>
    <w:rsid w:val="00F80F5F"/>
    <w:rsid w:val="00F82447"/>
    <w:rsid w:val="00F82C27"/>
    <w:rsid w:val="00F82EAF"/>
    <w:rsid w:val="00F82FCA"/>
    <w:rsid w:val="00F8453C"/>
    <w:rsid w:val="00F8515A"/>
    <w:rsid w:val="00F8535D"/>
    <w:rsid w:val="00F8540A"/>
    <w:rsid w:val="00F860A7"/>
    <w:rsid w:val="00F86FA4"/>
    <w:rsid w:val="00F87E80"/>
    <w:rsid w:val="00F91032"/>
    <w:rsid w:val="00F9112A"/>
    <w:rsid w:val="00F913C0"/>
    <w:rsid w:val="00F91A08"/>
    <w:rsid w:val="00F92C04"/>
    <w:rsid w:val="00F94A5E"/>
    <w:rsid w:val="00F95148"/>
    <w:rsid w:val="00F95947"/>
    <w:rsid w:val="00F95AA7"/>
    <w:rsid w:val="00F95FF5"/>
    <w:rsid w:val="00F9601A"/>
    <w:rsid w:val="00F97F54"/>
    <w:rsid w:val="00FA0747"/>
    <w:rsid w:val="00FA3014"/>
    <w:rsid w:val="00FA3319"/>
    <w:rsid w:val="00FA3A32"/>
    <w:rsid w:val="00FA469A"/>
    <w:rsid w:val="00FA46EA"/>
    <w:rsid w:val="00FA50CD"/>
    <w:rsid w:val="00FA51FF"/>
    <w:rsid w:val="00FA60F4"/>
    <w:rsid w:val="00FA6136"/>
    <w:rsid w:val="00FA6339"/>
    <w:rsid w:val="00FA6914"/>
    <w:rsid w:val="00FA785D"/>
    <w:rsid w:val="00FB1059"/>
    <w:rsid w:val="00FB172C"/>
    <w:rsid w:val="00FB1893"/>
    <w:rsid w:val="00FB279B"/>
    <w:rsid w:val="00FB31C3"/>
    <w:rsid w:val="00FB33F5"/>
    <w:rsid w:val="00FB3436"/>
    <w:rsid w:val="00FB35F0"/>
    <w:rsid w:val="00FB3D85"/>
    <w:rsid w:val="00FB4A16"/>
    <w:rsid w:val="00FB5322"/>
    <w:rsid w:val="00FB57E7"/>
    <w:rsid w:val="00FB6445"/>
    <w:rsid w:val="00FB71BA"/>
    <w:rsid w:val="00FB756B"/>
    <w:rsid w:val="00FC039D"/>
    <w:rsid w:val="00FC0BBF"/>
    <w:rsid w:val="00FC1F15"/>
    <w:rsid w:val="00FC24ED"/>
    <w:rsid w:val="00FC3438"/>
    <w:rsid w:val="00FC3F7E"/>
    <w:rsid w:val="00FC42AE"/>
    <w:rsid w:val="00FC466A"/>
    <w:rsid w:val="00FC4E94"/>
    <w:rsid w:val="00FC5262"/>
    <w:rsid w:val="00FC64A6"/>
    <w:rsid w:val="00FC67EC"/>
    <w:rsid w:val="00FC6841"/>
    <w:rsid w:val="00FD03B0"/>
    <w:rsid w:val="00FD0D22"/>
    <w:rsid w:val="00FD18C0"/>
    <w:rsid w:val="00FD254D"/>
    <w:rsid w:val="00FD354C"/>
    <w:rsid w:val="00FD6052"/>
    <w:rsid w:val="00FD72D2"/>
    <w:rsid w:val="00FD7929"/>
    <w:rsid w:val="00FE0A8D"/>
    <w:rsid w:val="00FE1119"/>
    <w:rsid w:val="00FE18E5"/>
    <w:rsid w:val="00FE2419"/>
    <w:rsid w:val="00FE256B"/>
    <w:rsid w:val="00FE4ECA"/>
    <w:rsid w:val="00FE5823"/>
    <w:rsid w:val="00FE5F20"/>
    <w:rsid w:val="00FE6BBD"/>
    <w:rsid w:val="00FE703A"/>
    <w:rsid w:val="00FF0371"/>
    <w:rsid w:val="00FF038B"/>
    <w:rsid w:val="00FF19C5"/>
    <w:rsid w:val="00FF24A1"/>
    <w:rsid w:val="00FF27E8"/>
    <w:rsid w:val="00FF28A6"/>
    <w:rsid w:val="00FF2C03"/>
    <w:rsid w:val="00FF2DD9"/>
    <w:rsid w:val="00FF57B0"/>
    <w:rsid w:val="00FF636E"/>
    <w:rsid w:val="00FF75CD"/>
    <w:rsid w:val="00FF7F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F0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1FA4"/>
    <w:rPr>
      <w:rFonts w:ascii="Arial" w:hAnsi="Arial"/>
      <w:sz w:val="20"/>
    </w:rPr>
  </w:style>
  <w:style w:type="paragraph" w:styleId="Heading1">
    <w:name w:val="heading 1"/>
    <w:aliases w:val="Cover Page"/>
    <w:basedOn w:val="Normal"/>
    <w:next w:val="Normal"/>
    <w:link w:val="Heading1Char"/>
    <w:uiPriority w:val="9"/>
    <w:qFormat/>
    <w:rsid w:val="00484765"/>
    <w:pPr>
      <w:keepNext/>
      <w:keepLines/>
      <w:numPr>
        <w:numId w:val="1"/>
      </w:numPr>
      <w:spacing w:line="269" w:lineRule="auto"/>
      <w:jc w:val="both"/>
      <w:outlineLvl w:val="0"/>
    </w:pPr>
    <w:rPr>
      <w:rFonts w:eastAsiaTheme="majorEastAsia" w:cs="Arial"/>
      <w:bCs/>
      <w:color w:val="002D62"/>
      <w:sz w:val="60"/>
      <w:szCs w:val="60"/>
    </w:rPr>
  </w:style>
  <w:style w:type="paragraph" w:styleId="Heading2">
    <w:name w:val="heading 2"/>
    <w:aliases w:val="Cover Page Subtitle"/>
    <w:basedOn w:val="Normal"/>
    <w:next w:val="Normal"/>
    <w:link w:val="Heading2Char"/>
    <w:uiPriority w:val="9"/>
    <w:unhideWhenUsed/>
    <w:qFormat/>
    <w:rsid w:val="00484765"/>
    <w:pPr>
      <w:numPr>
        <w:ilvl w:val="1"/>
        <w:numId w:val="1"/>
      </w:numPr>
      <w:spacing w:line="269" w:lineRule="auto"/>
      <w:outlineLvl w:val="1"/>
    </w:pPr>
    <w:rPr>
      <w:color w:val="B2BB1E"/>
      <w:sz w:val="30"/>
      <w:szCs w:val="30"/>
    </w:rPr>
  </w:style>
  <w:style w:type="paragraph" w:styleId="Heading3">
    <w:name w:val="heading 3"/>
    <w:aliases w:val="Document Heading"/>
    <w:basedOn w:val="Heading5"/>
    <w:next w:val="Normal"/>
    <w:link w:val="Heading3Char"/>
    <w:autoRedefine/>
    <w:uiPriority w:val="9"/>
    <w:unhideWhenUsed/>
    <w:qFormat/>
    <w:rsid w:val="00CD1D16"/>
    <w:pPr>
      <w:numPr>
        <w:ilvl w:val="2"/>
      </w:numPr>
      <w:outlineLvl w:val="2"/>
    </w:pPr>
    <w:rPr>
      <w:color w:val="auto"/>
      <w:sz w:val="28"/>
      <w:szCs w:val="28"/>
    </w:rPr>
  </w:style>
  <w:style w:type="paragraph" w:styleId="Heading4">
    <w:name w:val="heading 4"/>
    <w:aliases w:val="Document Heading 2"/>
    <w:basedOn w:val="Heading3"/>
    <w:next w:val="Normal"/>
    <w:link w:val="Heading4Char"/>
    <w:autoRedefine/>
    <w:uiPriority w:val="9"/>
    <w:unhideWhenUsed/>
    <w:qFormat/>
    <w:rsid w:val="006113AF"/>
    <w:pPr>
      <w:numPr>
        <w:ilvl w:val="0"/>
        <w:numId w:val="0"/>
      </w:numPr>
      <w:outlineLvl w:val="3"/>
    </w:pPr>
  </w:style>
  <w:style w:type="paragraph" w:styleId="Heading5">
    <w:name w:val="heading 5"/>
    <w:aliases w:val="subtext"/>
    <w:basedOn w:val="NoSpacing"/>
    <w:next w:val="Normal"/>
    <w:link w:val="Heading5Char"/>
    <w:uiPriority w:val="9"/>
    <w:unhideWhenUsed/>
    <w:qFormat/>
    <w:rsid w:val="00BF4CCF"/>
    <w:pPr>
      <w:numPr>
        <w:ilvl w:val="4"/>
        <w:numId w:val="1"/>
      </w:numPr>
      <w:outlineLvl w:val="4"/>
    </w:pPr>
    <w:rPr>
      <w:b/>
      <w:color w:val="002D62"/>
      <w:sz w:val="12"/>
      <w:szCs w:val="12"/>
    </w:rPr>
  </w:style>
  <w:style w:type="paragraph" w:styleId="Heading6">
    <w:name w:val="heading 6"/>
    <w:aliases w:val="Table Bullets"/>
    <w:basedOn w:val="ListParagraph"/>
    <w:next w:val="Normal"/>
    <w:link w:val="Heading6Char"/>
    <w:uiPriority w:val="9"/>
    <w:unhideWhenUsed/>
    <w:qFormat/>
    <w:rsid w:val="00C44ED8"/>
    <w:pPr>
      <w:numPr>
        <w:ilvl w:val="5"/>
        <w:numId w:val="1"/>
      </w:numPr>
      <w:spacing w:after="0" w:line="269" w:lineRule="auto"/>
      <w:contextualSpacing w:val="0"/>
      <w:outlineLvl w:val="5"/>
    </w:pPr>
    <w:rPr>
      <w:rFonts w:ascii="Arial" w:hAnsi="Arial" w:cs="Arial"/>
      <w:sz w:val="18"/>
      <w:szCs w:val="18"/>
    </w:rPr>
  </w:style>
  <w:style w:type="paragraph" w:styleId="Heading7">
    <w:name w:val="heading 7"/>
    <w:aliases w:val="Table Text"/>
    <w:basedOn w:val="Normal"/>
    <w:next w:val="Normal"/>
    <w:link w:val="Heading7Char"/>
    <w:uiPriority w:val="9"/>
    <w:unhideWhenUsed/>
    <w:qFormat/>
    <w:rsid w:val="00900393"/>
    <w:pPr>
      <w:numPr>
        <w:ilvl w:val="6"/>
        <w:numId w:val="1"/>
      </w:numPr>
      <w:spacing w:before="120" w:after="120" w:line="240" w:lineRule="auto"/>
      <w:outlineLvl w:val="6"/>
    </w:pPr>
    <w:rPr>
      <w:rFonts w:cs="Arial"/>
      <w:sz w:val="18"/>
      <w:szCs w:val="18"/>
    </w:rPr>
  </w:style>
  <w:style w:type="paragraph" w:styleId="Heading8">
    <w:name w:val="heading 8"/>
    <w:aliases w:val="Table heading"/>
    <w:basedOn w:val="Normal"/>
    <w:next w:val="Normal"/>
    <w:link w:val="Heading8Char"/>
    <w:uiPriority w:val="9"/>
    <w:unhideWhenUsed/>
    <w:qFormat/>
    <w:rsid w:val="00900393"/>
    <w:pPr>
      <w:numPr>
        <w:ilvl w:val="7"/>
        <w:numId w:val="1"/>
      </w:numPr>
      <w:spacing w:before="120" w:after="120" w:line="240" w:lineRule="auto"/>
      <w:outlineLvl w:val="7"/>
    </w:pPr>
    <w:rPr>
      <w:rFonts w:cs="Arial"/>
      <w:b/>
      <w:color w:val="FFFFFF" w:themeColor="background1"/>
      <w:sz w:val="18"/>
      <w:szCs w:val="18"/>
    </w:rPr>
  </w:style>
  <w:style w:type="paragraph" w:styleId="Heading9">
    <w:name w:val="heading 9"/>
    <w:aliases w:val="Table italics"/>
    <w:basedOn w:val="Normal"/>
    <w:next w:val="Normal"/>
    <w:link w:val="Heading9Char"/>
    <w:uiPriority w:val="9"/>
    <w:unhideWhenUsed/>
    <w:qFormat/>
    <w:rsid w:val="0088308C"/>
    <w:pPr>
      <w:numPr>
        <w:ilvl w:val="8"/>
        <w:numId w:val="1"/>
      </w:numPr>
      <w:spacing w:before="120"/>
      <w:jc w:val="center"/>
      <w:outlineLvl w:val="8"/>
    </w:pPr>
    <w:rPr>
      <w:rFonts w:cs="Arial"/>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text"/>
    <w:basedOn w:val="Normal"/>
    <w:link w:val="NoSpacingChar"/>
    <w:uiPriority w:val="1"/>
    <w:qFormat/>
    <w:rsid w:val="000A6274"/>
    <w:pPr>
      <w:spacing w:line="269" w:lineRule="auto"/>
    </w:pPr>
    <w:rPr>
      <w:rFonts w:cs="Arial"/>
    </w:rPr>
  </w:style>
  <w:style w:type="character" w:customStyle="1" w:styleId="NoSpacingChar">
    <w:name w:val="No Spacing Char"/>
    <w:aliases w:val="Body text Char"/>
    <w:basedOn w:val="DefaultParagraphFont"/>
    <w:link w:val="NoSpacing"/>
    <w:uiPriority w:val="1"/>
    <w:rsid w:val="000A6274"/>
    <w:rPr>
      <w:rFonts w:ascii="Arial" w:hAnsi="Arial" w:cs="Arial"/>
      <w:sz w:val="20"/>
    </w:rPr>
  </w:style>
  <w:style w:type="paragraph" w:styleId="BalloonText">
    <w:name w:val="Balloon Text"/>
    <w:basedOn w:val="Normal"/>
    <w:link w:val="BalloonTextChar"/>
    <w:uiPriority w:val="99"/>
    <w:semiHidden/>
    <w:unhideWhenUsed/>
    <w:rsid w:val="00CB4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E17"/>
    <w:rPr>
      <w:rFonts w:ascii="Tahoma" w:hAnsi="Tahoma" w:cs="Tahoma"/>
      <w:sz w:val="16"/>
      <w:szCs w:val="16"/>
    </w:rPr>
  </w:style>
  <w:style w:type="paragraph" w:styleId="Header">
    <w:name w:val="header"/>
    <w:basedOn w:val="Normal"/>
    <w:link w:val="HeaderChar"/>
    <w:uiPriority w:val="99"/>
    <w:unhideWhenUsed/>
    <w:rsid w:val="001D1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5F7"/>
    <w:rPr>
      <w:rFonts w:ascii="Arial" w:hAnsi="Arial"/>
      <w:sz w:val="20"/>
    </w:rPr>
  </w:style>
  <w:style w:type="paragraph" w:styleId="Footer">
    <w:name w:val="footer"/>
    <w:basedOn w:val="Normal"/>
    <w:link w:val="FooterChar"/>
    <w:uiPriority w:val="9"/>
    <w:unhideWhenUsed/>
    <w:rsid w:val="001D1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5F7"/>
    <w:rPr>
      <w:rFonts w:ascii="Arial" w:hAnsi="Arial"/>
      <w:sz w:val="20"/>
    </w:rPr>
  </w:style>
  <w:style w:type="character" w:customStyle="1" w:styleId="Heading1Char">
    <w:name w:val="Heading 1 Char"/>
    <w:aliases w:val="Cover Page Char"/>
    <w:basedOn w:val="DefaultParagraphFont"/>
    <w:link w:val="Heading1"/>
    <w:uiPriority w:val="9"/>
    <w:rsid w:val="00484765"/>
    <w:rPr>
      <w:rFonts w:ascii="Arial" w:eastAsiaTheme="majorEastAsia" w:hAnsi="Arial" w:cs="Arial"/>
      <w:bCs/>
      <w:color w:val="002D62"/>
      <w:sz w:val="60"/>
      <w:szCs w:val="60"/>
    </w:rPr>
  </w:style>
  <w:style w:type="character" w:customStyle="1" w:styleId="Heading2Char">
    <w:name w:val="Heading 2 Char"/>
    <w:aliases w:val="Cover Page Subtitle Char"/>
    <w:basedOn w:val="DefaultParagraphFont"/>
    <w:link w:val="Heading2"/>
    <w:uiPriority w:val="9"/>
    <w:rsid w:val="00484765"/>
    <w:rPr>
      <w:rFonts w:ascii="Arial" w:hAnsi="Arial"/>
      <w:color w:val="B2BB1E"/>
      <w:sz w:val="30"/>
      <w:szCs w:val="30"/>
    </w:rPr>
  </w:style>
  <w:style w:type="character" w:customStyle="1" w:styleId="Heading3Char">
    <w:name w:val="Heading 3 Char"/>
    <w:aliases w:val="Document Heading Char"/>
    <w:basedOn w:val="DefaultParagraphFont"/>
    <w:link w:val="Heading3"/>
    <w:uiPriority w:val="9"/>
    <w:rsid w:val="00CD1D16"/>
    <w:rPr>
      <w:rFonts w:ascii="Arial" w:hAnsi="Arial" w:cs="Arial"/>
      <w:b/>
      <w:sz w:val="28"/>
      <w:szCs w:val="28"/>
    </w:rPr>
  </w:style>
  <w:style w:type="character" w:customStyle="1" w:styleId="Heading4Char">
    <w:name w:val="Heading 4 Char"/>
    <w:aliases w:val="Document Heading 2 Char"/>
    <w:basedOn w:val="DefaultParagraphFont"/>
    <w:link w:val="Heading4"/>
    <w:uiPriority w:val="9"/>
    <w:rsid w:val="006113AF"/>
    <w:rPr>
      <w:rFonts w:ascii="Arial" w:hAnsi="Arial" w:cs="Arial"/>
      <w:b/>
      <w:sz w:val="28"/>
      <w:szCs w:val="28"/>
    </w:rPr>
  </w:style>
  <w:style w:type="paragraph" w:customStyle="1" w:styleId="SVAletter">
    <w:name w:val="SVA letter"/>
    <w:basedOn w:val="Normal"/>
    <w:uiPriority w:val="99"/>
    <w:rsid w:val="00991D6E"/>
    <w:pPr>
      <w:widowControl w:val="0"/>
      <w:tabs>
        <w:tab w:val="left" w:pos="720"/>
        <w:tab w:val="left" w:pos="1440"/>
        <w:tab w:val="left" w:pos="2160"/>
        <w:tab w:val="left" w:pos="2880"/>
        <w:tab w:val="left" w:pos="3601"/>
        <w:tab w:val="left" w:pos="6577"/>
      </w:tabs>
      <w:suppressAutoHyphens/>
      <w:autoSpaceDE w:val="0"/>
      <w:autoSpaceDN w:val="0"/>
      <w:adjustRightInd w:val="0"/>
      <w:spacing w:after="0" w:line="288" w:lineRule="auto"/>
      <w:textAlignment w:val="center"/>
    </w:pPr>
    <w:rPr>
      <w:rFonts w:eastAsia="Times New Roman" w:cs="Times New Roman"/>
      <w:color w:val="000000"/>
      <w:spacing w:val="2"/>
      <w:szCs w:val="21"/>
      <w:lang w:val="en-GB"/>
    </w:rPr>
  </w:style>
  <w:style w:type="paragraph" w:styleId="ListParagraph">
    <w:name w:val="List Paragraph"/>
    <w:basedOn w:val="Normal"/>
    <w:link w:val="ListParagraphChar"/>
    <w:uiPriority w:val="34"/>
    <w:qFormat/>
    <w:rsid w:val="00991D6E"/>
    <w:pPr>
      <w:ind w:left="720"/>
      <w:contextualSpacing/>
    </w:pPr>
    <w:rPr>
      <w:rFonts w:asciiTheme="minorHAnsi" w:eastAsiaTheme="minorEastAsia" w:hAnsiTheme="minorHAnsi"/>
      <w:sz w:val="22"/>
      <w:lang w:eastAsia="en-AU"/>
    </w:rPr>
  </w:style>
  <w:style w:type="character" w:styleId="Hyperlink">
    <w:name w:val="Hyperlink"/>
    <w:uiPriority w:val="99"/>
    <w:rsid w:val="00991D6E"/>
    <w:rPr>
      <w:color w:val="0000FF"/>
      <w:u w:val="single"/>
    </w:rPr>
  </w:style>
  <w:style w:type="character" w:customStyle="1" w:styleId="Heading5Char">
    <w:name w:val="Heading 5 Char"/>
    <w:aliases w:val="subtext Char"/>
    <w:basedOn w:val="DefaultParagraphFont"/>
    <w:link w:val="Heading5"/>
    <w:uiPriority w:val="9"/>
    <w:rsid w:val="00BF4CCF"/>
    <w:rPr>
      <w:rFonts w:ascii="Arial" w:hAnsi="Arial" w:cs="Arial"/>
      <w:b/>
      <w:color w:val="002D62"/>
      <w:sz w:val="12"/>
      <w:szCs w:val="12"/>
    </w:rPr>
  </w:style>
  <w:style w:type="table" w:styleId="TableGrid">
    <w:name w:val="Table Grid"/>
    <w:basedOn w:val="TableNormal"/>
    <w:uiPriority w:val="39"/>
    <w:rsid w:val="00DE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32A2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basedOn w:val="DefaultParagraphFont"/>
    <w:link w:val="ListParagraph"/>
    <w:uiPriority w:val="34"/>
    <w:locked/>
    <w:rsid w:val="00D32A29"/>
    <w:rPr>
      <w:rFonts w:eastAsiaTheme="minorEastAsia"/>
      <w:lang w:eastAsia="en-AU"/>
    </w:rPr>
  </w:style>
  <w:style w:type="character" w:customStyle="1" w:styleId="Heading6Char">
    <w:name w:val="Heading 6 Char"/>
    <w:aliases w:val="Table Bullets Char"/>
    <w:basedOn w:val="DefaultParagraphFont"/>
    <w:link w:val="Heading6"/>
    <w:uiPriority w:val="9"/>
    <w:rsid w:val="00C44ED8"/>
    <w:rPr>
      <w:rFonts w:ascii="Arial" w:eastAsiaTheme="minorEastAsia" w:hAnsi="Arial" w:cs="Arial"/>
      <w:sz w:val="18"/>
      <w:szCs w:val="18"/>
      <w:lang w:eastAsia="en-AU"/>
    </w:rPr>
  </w:style>
  <w:style w:type="character" w:customStyle="1" w:styleId="Heading7Char">
    <w:name w:val="Heading 7 Char"/>
    <w:aliases w:val="Table Text Char"/>
    <w:basedOn w:val="DefaultParagraphFont"/>
    <w:link w:val="Heading7"/>
    <w:uiPriority w:val="9"/>
    <w:rsid w:val="00900393"/>
    <w:rPr>
      <w:rFonts w:ascii="Arial" w:hAnsi="Arial" w:cs="Arial"/>
      <w:sz w:val="18"/>
      <w:szCs w:val="18"/>
    </w:rPr>
  </w:style>
  <w:style w:type="character" w:customStyle="1" w:styleId="Heading8Char">
    <w:name w:val="Heading 8 Char"/>
    <w:aliases w:val="Table heading Char"/>
    <w:basedOn w:val="DefaultParagraphFont"/>
    <w:link w:val="Heading8"/>
    <w:uiPriority w:val="9"/>
    <w:rsid w:val="00900393"/>
    <w:rPr>
      <w:rFonts w:ascii="Arial" w:hAnsi="Arial" w:cs="Arial"/>
      <w:b/>
      <w:color w:val="FFFFFF" w:themeColor="background1"/>
      <w:sz w:val="18"/>
      <w:szCs w:val="18"/>
    </w:rPr>
  </w:style>
  <w:style w:type="character" w:customStyle="1" w:styleId="Heading9Char">
    <w:name w:val="Heading 9 Char"/>
    <w:aliases w:val="Table italics Char"/>
    <w:basedOn w:val="DefaultParagraphFont"/>
    <w:link w:val="Heading9"/>
    <w:uiPriority w:val="9"/>
    <w:rsid w:val="0088308C"/>
    <w:rPr>
      <w:rFonts w:ascii="Arial" w:hAnsi="Arial" w:cs="Arial"/>
      <w:i/>
      <w:sz w:val="18"/>
      <w:szCs w:val="18"/>
    </w:rPr>
  </w:style>
  <w:style w:type="paragraph" w:customStyle="1" w:styleId="Default">
    <w:name w:val="Default"/>
    <w:rsid w:val="00475D38"/>
    <w:pPr>
      <w:autoSpaceDE w:val="0"/>
      <w:autoSpaceDN w:val="0"/>
      <w:adjustRightInd w:val="0"/>
    </w:pPr>
    <w:rPr>
      <w:rFonts w:ascii="Arial" w:eastAsiaTheme="minorEastAsia" w:hAnsi="Arial" w:cs="Arial"/>
      <w:color w:val="000000"/>
      <w:sz w:val="24"/>
      <w:szCs w:val="24"/>
      <w:lang w:eastAsia="en-AU"/>
    </w:rPr>
  </w:style>
  <w:style w:type="paragraph" w:customStyle="1" w:styleId="Tablebullets">
    <w:name w:val="Table bullets"/>
    <w:basedOn w:val="Heading6"/>
    <w:link w:val="TablebulletsChar"/>
    <w:qFormat/>
    <w:rsid w:val="00A36B78"/>
    <w:pPr>
      <w:numPr>
        <w:ilvl w:val="0"/>
        <w:numId w:val="3"/>
      </w:numPr>
    </w:pPr>
  </w:style>
  <w:style w:type="paragraph" w:customStyle="1" w:styleId="Bulletedlist">
    <w:name w:val="Bulleted list"/>
    <w:basedOn w:val="NoSpacing"/>
    <w:link w:val="BulletedlistChar"/>
    <w:autoRedefine/>
    <w:qFormat/>
    <w:rsid w:val="00855673"/>
    <w:pPr>
      <w:spacing w:after="0"/>
      <w:jc w:val="center"/>
    </w:pPr>
    <w:rPr>
      <w:b/>
      <w:sz w:val="24"/>
      <w:szCs w:val="24"/>
    </w:rPr>
  </w:style>
  <w:style w:type="character" w:customStyle="1" w:styleId="TablebulletsChar">
    <w:name w:val="Table bullets Char"/>
    <w:basedOn w:val="Heading6Char"/>
    <w:link w:val="Tablebullets"/>
    <w:rsid w:val="00A36B78"/>
    <w:rPr>
      <w:rFonts w:ascii="Arial" w:eastAsiaTheme="minorEastAsia" w:hAnsi="Arial" w:cs="Arial"/>
      <w:sz w:val="18"/>
      <w:szCs w:val="18"/>
      <w:lang w:eastAsia="en-AU"/>
    </w:rPr>
  </w:style>
  <w:style w:type="character" w:customStyle="1" w:styleId="BulletedlistChar">
    <w:name w:val="Bulleted list Char"/>
    <w:basedOn w:val="NoSpacingChar"/>
    <w:link w:val="Bulletedlist"/>
    <w:rsid w:val="00855673"/>
    <w:rPr>
      <w:rFonts w:ascii="Arial" w:hAnsi="Arial" w:cs="Arial"/>
      <w:b/>
      <w:sz w:val="24"/>
      <w:szCs w:val="24"/>
    </w:rPr>
  </w:style>
  <w:style w:type="character" w:customStyle="1" w:styleId="apple-converted-space">
    <w:name w:val="apple-converted-space"/>
    <w:basedOn w:val="DefaultParagraphFont"/>
    <w:rsid w:val="00EF1BC7"/>
  </w:style>
  <w:style w:type="character" w:styleId="Strong">
    <w:name w:val="Strong"/>
    <w:basedOn w:val="DefaultParagraphFont"/>
    <w:uiPriority w:val="22"/>
    <w:qFormat/>
    <w:rsid w:val="007B64EF"/>
    <w:rPr>
      <w:b/>
      <w:bCs/>
    </w:rPr>
  </w:style>
  <w:style w:type="paragraph" w:styleId="Caption">
    <w:name w:val="caption"/>
    <w:basedOn w:val="Normal"/>
    <w:next w:val="Normal"/>
    <w:uiPriority w:val="35"/>
    <w:unhideWhenUsed/>
    <w:qFormat/>
    <w:rsid w:val="004C05AD"/>
    <w:pPr>
      <w:spacing w:line="240" w:lineRule="auto"/>
    </w:pPr>
    <w:rPr>
      <w:i/>
      <w:iCs/>
      <w:color w:val="002D62" w:themeColor="text2"/>
      <w:sz w:val="18"/>
      <w:szCs w:val="18"/>
    </w:rPr>
  </w:style>
  <w:style w:type="character" w:customStyle="1" w:styleId="UnresolvedMention1">
    <w:name w:val="Unresolved Mention1"/>
    <w:basedOn w:val="DefaultParagraphFont"/>
    <w:uiPriority w:val="99"/>
    <w:semiHidden/>
    <w:unhideWhenUsed/>
    <w:rsid w:val="0026501C"/>
    <w:rPr>
      <w:color w:val="605E5C"/>
      <w:shd w:val="clear" w:color="auto" w:fill="E1DFDD"/>
    </w:rPr>
  </w:style>
  <w:style w:type="character" w:styleId="CommentReference">
    <w:name w:val="annotation reference"/>
    <w:basedOn w:val="DefaultParagraphFont"/>
    <w:uiPriority w:val="99"/>
    <w:semiHidden/>
    <w:unhideWhenUsed/>
    <w:rsid w:val="00B65FF5"/>
    <w:rPr>
      <w:sz w:val="16"/>
      <w:szCs w:val="16"/>
    </w:rPr>
  </w:style>
  <w:style w:type="paragraph" w:styleId="CommentText">
    <w:name w:val="annotation text"/>
    <w:basedOn w:val="Normal"/>
    <w:link w:val="CommentTextChar"/>
    <w:uiPriority w:val="99"/>
    <w:semiHidden/>
    <w:unhideWhenUsed/>
    <w:rsid w:val="00B65FF5"/>
    <w:pPr>
      <w:spacing w:line="240" w:lineRule="auto"/>
    </w:pPr>
    <w:rPr>
      <w:szCs w:val="20"/>
    </w:rPr>
  </w:style>
  <w:style w:type="character" w:customStyle="1" w:styleId="CommentTextChar">
    <w:name w:val="Comment Text Char"/>
    <w:basedOn w:val="DefaultParagraphFont"/>
    <w:link w:val="CommentText"/>
    <w:uiPriority w:val="99"/>
    <w:semiHidden/>
    <w:rsid w:val="00B65FF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5FF5"/>
    <w:rPr>
      <w:b/>
      <w:bCs/>
    </w:rPr>
  </w:style>
  <w:style w:type="character" w:customStyle="1" w:styleId="CommentSubjectChar">
    <w:name w:val="Comment Subject Char"/>
    <w:basedOn w:val="CommentTextChar"/>
    <w:link w:val="CommentSubject"/>
    <w:uiPriority w:val="99"/>
    <w:semiHidden/>
    <w:rsid w:val="00B65FF5"/>
    <w:rPr>
      <w:rFonts w:ascii="Arial" w:hAnsi="Arial"/>
      <w:b/>
      <w:bCs/>
      <w:sz w:val="20"/>
      <w:szCs w:val="20"/>
    </w:rPr>
  </w:style>
  <w:style w:type="paragraph" w:styleId="FootnoteText">
    <w:name w:val="footnote text"/>
    <w:basedOn w:val="Normal"/>
    <w:link w:val="FootnoteTextChar"/>
    <w:uiPriority w:val="99"/>
    <w:semiHidden/>
    <w:unhideWhenUsed/>
    <w:rsid w:val="007F4312"/>
    <w:pPr>
      <w:spacing w:after="0" w:line="240" w:lineRule="auto"/>
    </w:pPr>
    <w:rPr>
      <w:szCs w:val="20"/>
    </w:rPr>
  </w:style>
  <w:style w:type="character" w:customStyle="1" w:styleId="FootnoteTextChar">
    <w:name w:val="Footnote Text Char"/>
    <w:basedOn w:val="DefaultParagraphFont"/>
    <w:link w:val="FootnoteText"/>
    <w:uiPriority w:val="99"/>
    <w:semiHidden/>
    <w:rsid w:val="007F4312"/>
    <w:rPr>
      <w:rFonts w:ascii="Arial" w:hAnsi="Arial"/>
      <w:sz w:val="20"/>
      <w:szCs w:val="20"/>
    </w:rPr>
  </w:style>
  <w:style w:type="character" w:styleId="FootnoteReference">
    <w:name w:val="footnote reference"/>
    <w:basedOn w:val="DefaultParagraphFont"/>
    <w:uiPriority w:val="99"/>
    <w:semiHidden/>
    <w:unhideWhenUsed/>
    <w:rsid w:val="007F4312"/>
    <w:rPr>
      <w:vertAlign w:val="superscript"/>
    </w:rPr>
  </w:style>
  <w:style w:type="character" w:styleId="FollowedHyperlink">
    <w:name w:val="FollowedHyperlink"/>
    <w:basedOn w:val="DefaultParagraphFont"/>
    <w:uiPriority w:val="99"/>
    <w:semiHidden/>
    <w:unhideWhenUsed/>
    <w:rsid w:val="00C779BA"/>
    <w:rPr>
      <w:color w:val="800080" w:themeColor="followedHyperlink"/>
      <w:u w:val="single"/>
    </w:rPr>
  </w:style>
  <w:style w:type="paragraph" w:styleId="TOCHeading">
    <w:name w:val="TOC Heading"/>
    <w:basedOn w:val="Heading1"/>
    <w:next w:val="Normal"/>
    <w:uiPriority w:val="39"/>
    <w:unhideWhenUsed/>
    <w:qFormat/>
    <w:rsid w:val="004016C2"/>
    <w:pPr>
      <w:numPr>
        <w:numId w:val="0"/>
      </w:numPr>
      <w:spacing w:before="240" w:after="0" w:line="259" w:lineRule="auto"/>
      <w:jc w:val="left"/>
      <w:outlineLvl w:val="9"/>
    </w:pPr>
    <w:rPr>
      <w:rFonts w:asciiTheme="majorHAnsi" w:hAnsiTheme="majorHAnsi" w:cstheme="majorBidi"/>
      <w:bCs w:val="0"/>
      <w:color w:val="C5BC9E" w:themeColor="accent1" w:themeShade="BF"/>
      <w:sz w:val="32"/>
      <w:szCs w:val="32"/>
      <w:lang w:val="en-US"/>
    </w:rPr>
  </w:style>
  <w:style w:type="paragraph" w:styleId="TOC1">
    <w:name w:val="toc 1"/>
    <w:basedOn w:val="Normal"/>
    <w:next w:val="Normal"/>
    <w:autoRedefine/>
    <w:uiPriority w:val="39"/>
    <w:unhideWhenUsed/>
    <w:rsid w:val="004016C2"/>
    <w:pPr>
      <w:spacing w:after="100"/>
    </w:pPr>
  </w:style>
  <w:style w:type="paragraph" w:styleId="TOC2">
    <w:name w:val="toc 2"/>
    <w:basedOn w:val="Normal"/>
    <w:next w:val="Normal"/>
    <w:autoRedefine/>
    <w:uiPriority w:val="39"/>
    <w:unhideWhenUsed/>
    <w:rsid w:val="004016C2"/>
    <w:pPr>
      <w:spacing w:after="100"/>
      <w:ind w:left="200"/>
    </w:pPr>
  </w:style>
  <w:style w:type="paragraph" w:styleId="TOC3">
    <w:name w:val="toc 3"/>
    <w:basedOn w:val="Normal"/>
    <w:next w:val="Normal"/>
    <w:autoRedefine/>
    <w:uiPriority w:val="39"/>
    <w:unhideWhenUsed/>
    <w:rsid w:val="004016C2"/>
    <w:pPr>
      <w:spacing w:after="100"/>
      <w:ind w:left="400"/>
    </w:pPr>
  </w:style>
  <w:style w:type="paragraph" w:styleId="Bibliography">
    <w:name w:val="Bibliography"/>
    <w:basedOn w:val="Normal"/>
    <w:next w:val="Normal"/>
    <w:uiPriority w:val="37"/>
    <w:unhideWhenUsed/>
    <w:rsid w:val="00321DF9"/>
    <w:pPr>
      <w:spacing w:after="0" w:line="240" w:lineRule="auto"/>
      <w:ind w:left="720" w:hanging="720"/>
    </w:pPr>
  </w:style>
  <w:style w:type="table" w:styleId="GridTable5Dark-Accent6">
    <w:name w:val="Grid Table 5 Dark Accent 6"/>
    <w:basedOn w:val="TableNormal"/>
    <w:uiPriority w:val="50"/>
    <w:rsid w:val="001E03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E2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657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657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657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657F" w:themeFill="accent6"/>
      </w:tcPr>
    </w:tblStylePr>
    <w:tblStylePr w:type="band1Vert">
      <w:tblPr/>
      <w:tcPr>
        <w:shd w:val="clear" w:color="auto" w:fill="A0C5D8" w:themeFill="accent6" w:themeFillTint="66"/>
      </w:tcPr>
    </w:tblStylePr>
    <w:tblStylePr w:type="band1Horz">
      <w:tblPr/>
      <w:tcPr>
        <w:shd w:val="clear" w:color="auto" w:fill="A0C5D8" w:themeFill="accent6" w:themeFillTint="66"/>
      </w:tcPr>
    </w:tblStylePr>
  </w:style>
  <w:style w:type="paragraph" w:customStyle="1" w:styleId="Bulletlist">
    <w:name w:val="Bullet list"/>
    <w:basedOn w:val="NoSpacing"/>
    <w:link w:val="BulletlistChar"/>
    <w:qFormat/>
    <w:rsid w:val="00ED293A"/>
    <w:pPr>
      <w:numPr>
        <w:numId w:val="11"/>
      </w:numPr>
      <w:spacing w:after="120"/>
    </w:pPr>
  </w:style>
  <w:style w:type="character" w:customStyle="1" w:styleId="BulletlistChar">
    <w:name w:val="Bullet list Char"/>
    <w:basedOn w:val="NoSpacingChar"/>
    <w:link w:val="Bulletlist"/>
    <w:rsid w:val="00A85E3A"/>
    <w:rPr>
      <w:rFonts w:ascii="Arial" w:hAnsi="Arial" w:cs="Arial"/>
      <w:sz w:val="20"/>
    </w:rPr>
  </w:style>
  <w:style w:type="table" w:styleId="GridTable5Dark-Accent5">
    <w:name w:val="Grid Table 5 Dark Accent 5"/>
    <w:basedOn w:val="TableNormal"/>
    <w:uiPriority w:val="50"/>
    <w:rsid w:val="00F007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F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3E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3E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3E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3E7" w:themeFill="accent5"/>
      </w:tcPr>
    </w:tblStylePr>
    <w:tblStylePr w:type="band1Vert">
      <w:tblPr/>
      <w:tcPr>
        <w:shd w:val="clear" w:color="auto" w:fill="C2E0F5" w:themeFill="accent5" w:themeFillTint="66"/>
      </w:tcPr>
    </w:tblStylePr>
    <w:tblStylePr w:type="band1Horz">
      <w:tblPr/>
      <w:tcPr>
        <w:shd w:val="clear" w:color="auto" w:fill="C2E0F5" w:themeFill="accent5" w:themeFillTint="66"/>
      </w:tcPr>
    </w:tblStylePr>
  </w:style>
  <w:style w:type="table" w:styleId="ListTable3-Accent2">
    <w:name w:val="List Table 3 Accent 2"/>
    <w:basedOn w:val="TableNormal"/>
    <w:uiPriority w:val="48"/>
    <w:rsid w:val="00E213CA"/>
    <w:pPr>
      <w:spacing w:after="0" w:line="240" w:lineRule="auto"/>
    </w:pPr>
    <w:tblPr>
      <w:tblStyleRowBandSize w:val="1"/>
      <w:tblStyleColBandSize w:val="1"/>
      <w:tblBorders>
        <w:top w:val="single" w:sz="4" w:space="0" w:color="696158" w:themeColor="accent2"/>
        <w:left w:val="single" w:sz="4" w:space="0" w:color="696158" w:themeColor="accent2"/>
        <w:bottom w:val="single" w:sz="4" w:space="0" w:color="696158" w:themeColor="accent2"/>
        <w:right w:val="single" w:sz="4" w:space="0" w:color="696158" w:themeColor="accent2"/>
      </w:tblBorders>
    </w:tblPr>
    <w:tblStylePr w:type="firstRow">
      <w:rPr>
        <w:b/>
        <w:bCs/>
        <w:color w:val="FFFFFF" w:themeColor="background1"/>
      </w:rPr>
      <w:tblPr/>
      <w:tcPr>
        <w:shd w:val="clear" w:color="auto" w:fill="696158" w:themeFill="accent2"/>
      </w:tcPr>
    </w:tblStylePr>
    <w:tblStylePr w:type="lastRow">
      <w:rPr>
        <w:b/>
        <w:bCs/>
      </w:rPr>
      <w:tblPr/>
      <w:tcPr>
        <w:tcBorders>
          <w:top w:val="double" w:sz="4" w:space="0" w:color="69615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6158" w:themeColor="accent2"/>
          <w:right w:val="single" w:sz="4" w:space="0" w:color="696158" w:themeColor="accent2"/>
        </w:tcBorders>
      </w:tcPr>
    </w:tblStylePr>
    <w:tblStylePr w:type="band1Horz">
      <w:tblPr/>
      <w:tcPr>
        <w:tcBorders>
          <w:top w:val="single" w:sz="4" w:space="0" w:color="696158" w:themeColor="accent2"/>
          <w:bottom w:val="single" w:sz="4" w:space="0" w:color="69615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6158" w:themeColor="accent2"/>
          <w:left w:val="nil"/>
        </w:tcBorders>
      </w:tcPr>
    </w:tblStylePr>
    <w:tblStylePr w:type="swCell">
      <w:tblPr/>
      <w:tcPr>
        <w:tcBorders>
          <w:top w:val="double" w:sz="4" w:space="0" w:color="696158" w:themeColor="accent2"/>
          <w:right w:val="nil"/>
        </w:tcBorders>
      </w:tcPr>
    </w:tblStylePr>
  </w:style>
  <w:style w:type="table" w:styleId="GridTable1Light-Accent2">
    <w:name w:val="Grid Table 1 Light Accent 2"/>
    <w:basedOn w:val="TableNormal"/>
    <w:uiPriority w:val="46"/>
    <w:rsid w:val="003D66F2"/>
    <w:pPr>
      <w:spacing w:after="0" w:line="240" w:lineRule="auto"/>
    </w:pPr>
    <w:tblPr>
      <w:tblStyleRowBandSize w:val="1"/>
      <w:tblStyleColBandSize w:val="1"/>
      <w:tblBorders>
        <w:top w:val="single" w:sz="4" w:space="0" w:color="C5BFB9" w:themeColor="accent2" w:themeTint="66"/>
        <w:left w:val="single" w:sz="4" w:space="0" w:color="C5BFB9" w:themeColor="accent2" w:themeTint="66"/>
        <w:bottom w:val="single" w:sz="4" w:space="0" w:color="C5BFB9" w:themeColor="accent2" w:themeTint="66"/>
        <w:right w:val="single" w:sz="4" w:space="0" w:color="C5BFB9" w:themeColor="accent2" w:themeTint="66"/>
        <w:insideH w:val="single" w:sz="4" w:space="0" w:color="C5BFB9" w:themeColor="accent2" w:themeTint="66"/>
        <w:insideV w:val="single" w:sz="4" w:space="0" w:color="C5BFB9" w:themeColor="accent2" w:themeTint="66"/>
      </w:tblBorders>
    </w:tblPr>
    <w:tblStylePr w:type="firstRow">
      <w:rPr>
        <w:b/>
        <w:bCs/>
      </w:rPr>
      <w:tblPr/>
      <w:tcPr>
        <w:tcBorders>
          <w:bottom w:val="single" w:sz="12" w:space="0" w:color="A8A097" w:themeColor="accent2" w:themeTint="99"/>
        </w:tcBorders>
      </w:tcPr>
    </w:tblStylePr>
    <w:tblStylePr w:type="lastRow">
      <w:rPr>
        <w:b/>
        <w:bCs/>
      </w:rPr>
      <w:tblPr/>
      <w:tcPr>
        <w:tcBorders>
          <w:top w:val="double" w:sz="2" w:space="0" w:color="A8A097" w:themeColor="accent2"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3B5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6E06F6"/>
    <w:pPr>
      <w:spacing w:after="0" w:line="240" w:lineRule="auto"/>
    </w:pPr>
    <w:tblPr>
      <w:tblStyleRowBandSize w:val="1"/>
      <w:tblStyleColBandSize w:val="1"/>
      <w:tblBorders>
        <w:top w:val="single" w:sz="4" w:space="0" w:color="A8A097" w:themeColor="accent2" w:themeTint="99"/>
        <w:left w:val="single" w:sz="4" w:space="0" w:color="A8A097" w:themeColor="accent2" w:themeTint="99"/>
        <w:bottom w:val="single" w:sz="4" w:space="0" w:color="A8A097" w:themeColor="accent2" w:themeTint="99"/>
        <w:right w:val="single" w:sz="4" w:space="0" w:color="A8A097" w:themeColor="accent2" w:themeTint="99"/>
        <w:insideH w:val="single" w:sz="4" w:space="0" w:color="A8A097" w:themeColor="accent2" w:themeTint="99"/>
        <w:insideV w:val="single" w:sz="4" w:space="0" w:color="A8A097" w:themeColor="accent2" w:themeTint="99"/>
      </w:tblBorders>
    </w:tblPr>
    <w:tblStylePr w:type="firstRow">
      <w:rPr>
        <w:b/>
        <w:bCs/>
        <w:color w:val="FFFFFF" w:themeColor="background1"/>
      </w:rPr>
      <w:tblPr/>
      <w:tcPr>
        <w:tcBorders>
          <w:top w:val="single" w:sz="4" w:space="0" w:color="696158" w:themeColor="accent2"/>
          <w:left w:val="single" w:sz="4" w:space="0" w:color="696158" w:themeColor="accent2"/>
          <w:bottom w:val="single" w:sz="4" w:space="0" w:color="696158" w:themeColor="accent2"/>
          <w:right w:val="single" w:sz="4" w:space="0" w:color="696158" w:themeColor="accent2"/>
          <w:insideH w:val="nil"/>
          <w:insideV w:val="nil"/>
        </w:tcBorders>
        <w:shd w:val="clear" w:color="auto" w:fill="696158" w:themeFill="accent2"/>
      </w:tcPr>
    </w:tblStylePr>
    <w:tblStylePr w:type="lastRow">
      <w:rPr>
        <w:b/>
        <w:bCs/>
      </w:rPr>
      <w:tblPr/>
      <w:tcPr>
        <w:tcBorders>
          <w:top w:val="double" w:sz="4" w:space="0" w:color="696158" w:themeColor="accent2"/>
        </w:tcBorders>
      </w:tcPr>
    </w:tblStylePr>
    <w:tblStylePr w:type="firstCol">
      <w:rPr>
        <w:b/>
        <w:bCs/>
      </w:rPr>
    </w:tblStylePr>
    <w:tblStylePr w:type="lastCol">
      <w:rPr>
        <w:b/>
        <w:bCs/>
      </w:rPr>
    </w:tblStylePr>
    <w:tblStylePr w:type="band1Vert">
      <w:tblPr/>
      <w:tcPr>
        <w:shd w:val="clear" w:color="auto" w:fill="E2DFDC" w:themeFill="accent2" w:themeFillTint="33"/>
      </w:tcPr>
    </w:tblStylePr>
    <w:tblStylePr w:type="band1Horz">
      <w:tblPr/>
      <w:tcPr>
        <w:shd w:val="clear" w:color="auto" w:fill="E2DFDC" w:themeFill="accent2" w:themeFillTint="33"/>
      </w:tcPr>
    </w:tblStylePr>
  </w:style>
  <w:style w:type="character" w:customStyle="1" w:styleId="UnresolvedMention2">
    <w:name w:val="Unresolved Mention2"/>
    <w:basedOn w:val="DefaultParagraphFont"/>
    <w:uiPriority w:val="99"/>
    <w:semiHidden/>
    <w:unhideWhenUsed/>
    <w:rsid w:val="00590FAA"/>
    <w:rPr>
      <w:color w:val="605E5C"/>
      <w:shd w:val="clear" w:color="auto" w:fill="E1DFDD"/>
    </w:rPr>
  </w:style>
  <w:style w:type="paragraph" w:styleId="Revision">
    <w:name w:val="Revision"/>
    <w:hidden/>
    <w:uiPriority w:val="99"/>
    <w:semiHidden/>
    <w:rsid w:val="0022005F"/>
    <w:pPr>
      <w:spacing w:after="0" w:line="240" w:lineRule="auto"/>
    </w:pPr>
    <w:rPr>
      <w:rFonts w:ascii="Arial" w:hAnsi="Arial"/>
      <w:sz w:val="20"/>
    </w:rPr>
  </w:style>
  <w:style w:type="character" w:customStyle="1" w:styleId="UnresolvedMention">
    <w:name w:val="Unresolved Mention"/>
    <w:basedOn w:val="DefaultParagraphFont"/>
    <w:uiPriority w:val="99"/>
    <w:semiHidden/>
    <w:unhideWhenUsed/>
    <w:rsid w:val="00CD7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7299">
      <w:bodyDiv w:val="1"/>
      <w:marLeft w:val="0"/>
      <w:marRight w:val="0"/>
      <w:marTop w:val="0"/>
      <w:marBottom w:val="0"/>
      <w:divBdr>
        <w:top w:val="none" w:sz="0" w:space="0" w:color="auto"/>
        <w:left w:val="none" w:sz="0" w:space="0" w:color="auto"/>
        <w:bottom w:val="none" w:sz="0" w:space="0" w:color="auto"/>
        <w:right w:val="none" w:sz="0" w:space="0" w:color="auto"/>
      </w:divBdr>
    </w:div>
    <w:div w:id="37049376">
      <w:bodyDiv w:val="1"/>
      <w:marLeft w:val="0"/>
      <w:marRight w:val="0"/>
      <w:marTop w:val="0"/>
      <w:marBottom w:val="0"/>
      <w:divBdr>
        <w:top w:val="none" w:sz="0" w:space="0" w:color="auto"/>
        <w:left w:val="none" w:sz="0" w:space="0" w:color="auto"/>
        <w:bottom w:val="none" w:sz="0" w:space="0" w:color="auto"/>
        <w:right w:val="none" w:sz="0" w:space="0" w:color="auto"/>
      </w:divBdr>
    </w:div>
    <w:div w:id="38358919">
      <w:bodyDiv w:val="1"/>
      <w:marLeft w:val="0"/>
      <w:marRight w:val="0"/>
      <w:marTop w:val="0"/>
      <w:marBottom w:val="0"/>
      <w:divBdr>
        <w:top w:val="none" w:sz="0" w:space="0" w:color="auto"/>
        <w:left w:val="none" w:sz="0" w:space="0" w:color="auto"/>
        <w:bottom w:val="none" w:sz="0" w:space="0" w:color="auto"/>
        <w:right w:val="none" w:sz="0" w:space="0" w:color="auto"/>
      </w:divBdr>
    </w:div>
    <w:div w:id="40525301">
      <w:bodyDiv w:val="1"/>
      <w:marLeft w:val="0"/>
      <w:marRight w:val="0"/>
      <w:marTop w:val="0"/>
      <w:marBottom w:val="0"/>
      <w:divBdr>
        <w:top w:val="none" w:sz="0" w:space="0" w:color="auto"/>
        <w:left w:val="none" w:sz="0" w:space="0" w:color="auto"/>
        <w:bottom w:val="none" w:sz="0" w:space="0" w:color="auto"/>
        <w:right w:val="none" w:sz="0" w:space="0" w:color="auto"/>
      </w:divBdr>
    </w:div>
    <w:div w:id="92482762">
      <w:bodyDiv w:val="1"/>
      <w:marLeft w:val="0"/>
      <w:marRight w:val="0"/>
      <w:marTop w:val="0"/>
      <w:marBottom w:val="0"/>
      <w:divBdr>
        <w:top w:val="none" w:sz="0" w:space="0" w:color="auto"/>
        <w:left w:val="none" w:sz="0" w:space="0" w:color="auto"/>
        <w:bottom w:val="none" w:sz="0" w:space="0" w:color="auto"/>
        <w:right w:val="none" w:sz="0" w:space="0" w:color="auto"/>
      </w:divBdr>
    </w:div>
    <w:div w:id="221335824">
      <w:bodyDiv w:val="1"/>
      <w:marLeft w:val="0"/>
      <w:marRight w:val="0"/>
      <w:marTop w:val="0"/>
      <w:marBottom w:val="0"/>
      <w:divBdr>
        <w:top w:val="none" w:sz="0" w:space="0" w:color="auto"/>
        <w:left w:val="none" w:sz="0" w:space="0" w:color="auto"/>
        <w:bottom w:val="none" w:sz="0" w:space="0" w:color="auto"/>
        <w:right w:val="none" w:sz="0" w:space="0" w:color="auto"/>
      </w:divBdr>
    </w:div>
    <w:div w:id="229771403">
      <w:bodyDiv w:val="1"/>
      <w:marLeft w:val="0"/>
      <w:marRight w:val="0"/>
      <w:marTop w:val="0"/>
      <w:marBottom w:val="0"/>
      <w:divBdr>
        <w:top w:val="none" w:sz="0" w:space="0" w:color="auto"/>
        <w:left w:val="none" w:sz="0" w:space="0" w:color="auto"/>
        <w:bottom w:val="none" w:sz="0" w:space="0" w:color="auto"/>
        <w:right w:val="none" w:sz="0" w:space="0" w:color="auto"/>
      </w:divBdr>
    </w:div>
    <w:div w:id="260113584">
      <w:bodyDiv w:val="1"/>
      <w:marLeft w:val="0"/>
      <w:marRight w:val="0"/>
      <w:marTop w:val="0"/>
      <w:marBottom w:val="0"/>
      <w:divBdr>
        <w:top w:val="none" w:sz="0" w:space="0" w:color="auto"/>
        <w:left w:val="none" w:sz="0" w:space="0" w:color="auto"/>
        <w:bottom w:val="none" w:sz="0" w:space="0" w:color="auto"/>
        <w:right w:val="none" w:sz="0" w:space="0" w:color="auto"/>
      </w:divBdr>
    </w:div>
    <w:div w:id="267932511">
      <w:bodyDiv w:val="1"/>
      <w:marLeft w:val="0"/>
      <w:marRight w:val="0"/>
      <w:marTop w:val="0"/>
      <w:marBottom w:val="0"/>
      <w:divBdr>
        <w:top w:val="none" w:sz="0" w:space="0" w:color="auto"/>
        <w:left w:val="none" w:sz="0" w:space="0" w:color="auto"/>
        <w:bottom w:val="none" w:sz="0" w:space="0" w:color="auto"/>
        <w:right w:val="none" w:sz="0" w:space="0" w:color="auto"/>
      </w:divBdr>
    </w:div>
    <w:div w:id="268046585">
      <w:bodyDiv w:val="1"/>
      <w:marLeft w:val="0"/>
      <w:marRight w:val="0"/>
      <w:marTop w:val="0"/>
      <w:marBottom w:val="0"/>
      <w:divBdr>
        <w:top w:val="none" w:sz="0" w:space="0" w:color="auto"/>
        <w:left w:val="none" w:sz="0" w:space="0" w:color="auto"/>
        <w:bottom w:val="none" w:sz="0" w:space="0" w:color="auto"/>
        <w:right w:val="none" w:sz="0" w:space="0" w:color="auto"/>
      </w:divBdr>
    </w:div>
    <w:div w:id="284779506">
      <w:bodyDiv w:val="1"/>
      <w:marLeft w:val="0"/>
      <w:marRight w:val="0"/>
      <w:marTop w:val="0"/>
      <w:marBottom w:val="0"/>
      <w:divBdr>
        <w:top w:val="none" w:sz="0" w:space="0" w:color="auto"/>
        <w:left w:val="none" w:sz="0" w:space="0" w:color="auto"/>
        <w:bottom w:val="none" w:sz="0" w:space="0" w:color="auto"/>
        <w:right w:val="none" w:sz="0" w:space="0" w:color="auto"/>
      </w:divBdr>
    </w:div>
    <w:div w:id="322003302">
      <w:bodyDiv w:val="1"/>
      <w:marLeft w:val="0"/>
      <w:marRight w:val="0"/>
      <w:marTop w:val="0"/>
      <w:marBottom w:val="0"/>
      <w:divBdr>
        <w:top w:val="none" w:sz="0" w:space="0" w:color="auto"/>
        <w:left w:val="none" w:sz="0" w:space="0" w:color="auto"/>
        <w:bottom w:val="none" w:sz="0" w:space="0" w:color="auto"/>
        <w:right w:val="none" w:sz="0" w:space="0" w:color="auto"/>
      </w:divBdr>
    </w:div>
    <w:div w:id="334575143">
      <w:bodyDiv w:val="1"/>
      <w:marLeft w:val="0"/>
      <w:marRight w:val="0"/>
      <w:marTop w:val="0"/>
      <w:marBottom w:val="0"/>
      <w:divBdr>
        <w:top w:val="none" w:sz="0" w:space="0" w:color="auto"/>
        <w:left w:val="none" w:sz="0" w:space="0" w:color="auto"/>
        <w:bottom w:val="none" w:sz="0" w:space="0" w:color="auto"/>
        <w:right w:val="none" w:sz="0" w:space="0" w:color="auto"/>
      </w:divBdr>
    </w:div>
    <w:div w:id="346755516">
      <w:bodyDiv w:val="1"/>
      <w:marLeft w:val="0"/>
      <w:marRight w:val="0"/>
      <w:marTop w:val="0"/>
      <w:marBottom w:val="0"/>
      <w:divBdr>
        <w:top w:val="none" w:sz="0" w:space="0" w:color="auto"/>
        <w:left w:val="none" w:sz="0" w:space="0" w:color="auto"/>
        <w:bottom w:val="none" w:sz="0" w:space="0" w:color="auto"/>
        <w:right w:val="none" w:sz="0" w:space="0" w:color="auto"/>
      </w:divBdr>
    </w:div>
    <w:div w:id="360666630">
      <w:bodyDiv w:val="1"/>
      <w:marLeft w:val="0"/>
      <w:marRight w:val="0"/>
      <w:marTop w:val="0"/>
      <w:marBottom w:val="0"/>
      <w:divBdr>
        <w:top w:val="none" w:sz="0" w:space="0" w:color="auto"/>
        <w:left w:val="none" w:sz="0" w:space="0" w:color="auto"/>
        <w:bottom w:val="none" w:sz="0" w:space="0" w:color="auto"/>
        <w:right w:val="none" w:sz="0" w:space="0" w:color="auto"/>
      </w:divBdr>
    </w:div>
    <w:div w:id="377826115">
      <w:bodyDiv w:val="1"/>
      <w:marLeft w:val="0"/>
      <w:marRight w:val="0"/>
      <w:marTop w:val="0"/>
      <w:marBottom w:val="0"/>
      <w:divBdr>
        <w:top w:val="none" w:sz="0" w:space="0" w:color="auto"/>
        <w:left w:val="none" w:sz="0" w:space="0" w:color="auto"/>
        <w:bottom w:val="none" w:sz="0" w:space="0" w:color="auto"/>
        <w:right w:val="none" w:sz="0" w:space="0" w:color="auto"/>
      </w:divBdr>
    </w:div>
    <w:div w:id="406347765">
      <w:bodyDiv w:val="1"/>
      <w:marLeft w:val="0"/>
      <w:marRight w:val="0"/>
      <w:marTop w:val="0"/>
      <w:marBottom w:val="0"/>
      <w:divBdr>
        <w:top w:val="none" w:sz="0" w:space="0" w:color="auto"/>
        <w:left w:val="none" w:sz="0" w:space="0" w:color="auto"/>
        <w:bottom w:val="none" w:sz="0" w:space="0" w:color="auto"/>
        <w:right w:val="none" w:sz="0" w:space="0" w:color="auto"/>
      </w:divBdr>
    </w:div>
    <w:div w:id="411778276">
      <w:bodyDiv w:val="1"/>
      <w:marLeft w:val="0"/>
      <w:marRight w:val="0"/>
      <w:marTop w:val="0"/>
      <w:marBottom w:val="0"/>
      <w:divBdr>
        <w:top w:val="none" w:sz="0" w:space="0" w:color="auto"/>
        <w:left w:val="none" w:sz="0" w:space="0" w:color="auto"/>
        <w:bottom w:val="none" w:sz="0" w:space="0" w:color="auto"/>
        <w:right w:val="none" w:sz="0" w:space="0" w:color="auto"/>
      </w:divBdr>
    </w:div>
    <w:div w:id="450825263">
      <w:bodyDiv w:val="1"/>
      <w:marLeft w:val="0"/>
      <w:marRight w:val="0"/>
      <w:marTop w:val="0"/>
      <w:marBottom w:val="0"/>
      <w:divBdr>
        <w:top w:val="none" w:sz="0" w:space="0" w:color="auto"/>
        <w:left w:val="none" w:sz="0" w:space="0" w:color="auto"/>
        <w:bottom w:val="none" w:sz="0" w:space="0" w:color="auto"/>
        <w:right w:val="none" w:sz="0" w:space="0" w:color="auto"/>
      </w:divBdr>
    </w:div>
    <w:div w:id="483087885">
      <w:bodyDiv w:val="1"/>
      <w:marLeft w:val="0"/>
      <w:marRight w:val="0"/>
      <w:marTop w:val="0"/>
      <w:marBottom w:val="0"/>
      <w:divBdr>
        <w:top w:val="none" w:sz="0" w:space="0" w:color="auto"/>
        <w:left w:val="none" w:sz="0" w:space="0" w:color="auto"/>
        <w:bottom w:val="none" w:sz="0" w:space="0" w:color="auto"/>
        <w:right w:val="none" w:sz="0" w:space="0" w:color="auto"/>
      </w:divBdr>
    </w:div>
    <w:div w:id="490145820">
      <w:bodyDiv w:val="1"/>
      <w:marLeft w:val="0"/>
      <w:marRight w:val="0"/>
      <w:marTop w:val="0"/>
      <w:marBottom w:val="0"/>
      <w:divBdr>
        <w:top w:val="none" w:sz="0" w:space="0" w:color="auto"/>
        <w:left w:val="none" w:sz="0" w:space="0" w:color="auto"/>
        <w:bottom w:val="none" w:sz="0" w:space="0" w:color="auto"/>
        <w:right w:val="none" w:sz="0" w:space="0" w:color="auto"/>
      </w:divBdr>
    </w:div>
    <w:div w:id="541864731">
      <w:bodyDiv w:val="1"/>
      <w:marLeft w:val="0"/>
      <w:marRight w:val="0"/>
      <w:marTop w:val="0"/>
      <w:marBottom w:val="0"/>
      <w:divBdr>
        <w:top w:val="none" w:sz="0" w:space="0" w:color="auto"/>
        <w:left w:val="none" w:sz="0" w:space="0" w:color="auto"/>
        <w:bottom w:val="none" w:sz="0" w:space="0" w:color="auto"/>
        <w:right w:val="none" w:sz="0" w:space="0" w:color="auto"/>
      </w:divBdr>
    </w:div>
    <w:div w:id="629364780">
      <w:bodyDiv w:val="1"/>
      <w:marLeft w:val="0"/>
      <w:marRight w:val="0"/>
      <w:marTop w:val="0"/>
      <w:marBottom w:val="0"/>
      <w:divBdr>
        <w:top w:val="none" w:sz="0" w:space="0" w:color="auto"/>
        <w:left w:val="none" w:sz="0" w:space="0" w:color="auto"/>
        <w:bottom w:val="none" w:sz="0" w:space="0" w:color="auto"/>
        <w:right w:val="none" w:sz="0" w:space="0" w:color="auto"/>
      </w:divBdr>
    </w:div>
    <w:div w:id="629478722">
      <w:bodyDiv w:val="1"/>
      <w:marLeft w:val="0"/>
      <w:marRight w:val="0"/>
      <w:marTop w:val="0"/>
      <w:marBottom w:val="0"/>
      <w:divBdr>
        <w:top w:val="none" w:sz="0" w:space="0" w:color="auto"/>
        <w:left w:val="none" w:sz="0" w:space="0" w:color="auto"/>
        <w:bottom w:val="none" w:sz="0" w:space="0" w:color="auto"/>
        <w:right w:val="none" w:sz="0" w:space="0" w:color="auto"/>
      </w:divBdr>
    </w:div>
    <w:div w:id="652805049">
      <w:bodyDiv w:val="1"/>
      <w:marLeft w:val="0"/>
      <w:marRight w:val="0"/>
      <w:marTop w:val="0"/>
      <w:marBottom w:val="0"/>
      <w:divBdr>
        <w:top w:val="none" w:sz="0" w:space="0" w:color="auto"/>
        <w:left w:val="none" w:sz="0" w:space="0" w:color="auto"/>
        <w:bottom w:val="none" w:sz="0" w:space="0" w:color="auto"/>
        <w:right w:val="none" w:sz="0" w:space="0" w:color="auto"/>
      </w:divBdr>
    </w:div>
    <w:div w:id="690691028">
      <w:bodyDiv w:val="1"/>
      <w:marLeft w:val="0"/>
      <w:marRight w:val="0"/>
      <w:marTop w:val="0"/>
      <w:marBottom w:val="0"/>
      <w:divBdr>
        <w:top w:val="none" w:sz="0" w:space="0" w:color="auto"/>
        <w:left w:val="none" w:sz="0" w:space="0" w:color="auto"/>
        <w:bottom w:val="none" w:sz="0" w:space="0" w:color="auto"/>
        <w:right w:val="none" w:sz="0" w:space="0" w:color="auto"/>
      </w:divBdr>
    </w:div>
    <w:div w:id="745610660">
      <w:bodyDiv w:val="1"/>
      <w:marLeft w:val="0"/>
      <w:marRight w:val="0"/>
      <w:marTop w:val="0"/>
      <w:marBottom w:val="0"/>
      <w:divBdr>
        <w:top w:val="none" w:sz="0" w:space="0" w:color="auto"/>
        <w:left w:val="none" w:sz="0" w:space="0" w:color="auto"/>
        <w:bottom w:val="none" w:sz="0" w:space="0" w:color="auto"/>
        <w:right w:val="none" w:sz="0" w:space="0" w:color="auto"/>
      </w:divBdr>
    </w:div>
    <w:div w:id="786433189">
      <w:bodyDiv w:val="1"/>
      <w:marLeft w:val="0"/>
      <w:marRight w:val="0"/>
      <w:marTop w:val="0"/>
      <w:marBottom w:val="0"/>
      <w:divBdr>
        <w:top w:val="none" w:sz="0" w:space="0" w:color="auto"/>
        <w:left w:val="none" w:sz="0" w:space="0" w:color="auto"/>
        <w:bottom w:val="none" w:sz="0" w:space="0" w:color="auto"/>
        <w:right w:val="none" w:sz="0" w:space="0" w:color="auto"/>
      </w:divBdr>
    </w:div>
    <w:div w:id="801578806">
      <w:bodyDiv w:val="1"/>
      <w:marLeft w:val="0"/>
      <w:marRight w:val="0"/>
      <w:marTop w:val="0"/>
      <w:marBottom w:val="0"/>
      <w:divBdr>
        <w:top w:val="none" w:sz="0" w:space="0" w:color="auto"/>
        <w:left w:val="none" w:sz="0" w:space="0" w:color="auto"/>
        <w:bottom w:val="none" w:sz="0" w:space="0" w:color="auto"/>
        <w:right w:val="none" w:sz="0" w:space="0" w:color="auto"/>
      </w:divBdr>
      <w:divsChild>
        <w:div w:id="474876580">
          <w:marLeft w:val="0"/>
          <w:marRight w:val="0"/>
          <w:marTop w:val="0"/>
          <w:marBottom w:val="0"/>
          <w:divBdr>
            <w:top w:val="none" w:sz="0" w:space="0" w:color="auto"/>
            <w:left w:val="none" w:sz="0" w:space="0" w:color="auto"/>
            <w:bottom w:val="none" w:sz="0" w:space="0" w:color="auto"/>
            <w:right w:val="none" w:sz="0" w:space="0" w:color="auto"/>
          </w:divBdr>
        </w:div>
        <w:div w:id="808397351">
          <w:marLeft w:val="0"/>
          <w:marRight w:val="0"/>
          <w:marTop w:val="0"/>
          <w:marBottom w:val="0"/>
          <w:divBdr>
            <w:top w:val="none" w:sz="0" w:space="0" w:color="auto"/>
            <w:left w:val="none" w:sz="0" w:space="0" w:color="auto"/>
            <w:bottom w:val="none" w:sz="0" w:space="0" w:color="auto"/>
            <w:right w:val="none" w:sz="0" w:space="0" w:color="auto"/>
          </w:divBdr>
        </w:div>
        <w:div w:id="915360918">
          <w:marLeft w:val="0"/>
          <w:marRight w:val="0"/>
          <w:marTop w:val="0"/>
          <w:marBottom w:val="0"/>
          <w:divBdr>
            <w:top w:val="none" w:sz="0" w:space="0" w:color="auto"/>
            <w:left w:val="none" w:sz="0" w:space="0" w:color="auto"/>
            <w:bottom w:val="none" w:sz="0" w:space="0" w:color="auto"/>
            <w:right w:val="none" w:sz="0" w:space="0" w:color="auto"/>
          </w:divBdr>
        </w:div>
      </w:divsChild>
    </w:div>
    <w:div w:id="835457174">
      <w:bodyDiv w:val="1"/>
      <w:marLeft w:val="0"/>
      <w:marRight w:val="0"/>
      <w:marTop w:val="0"/>
      <w:marBottom w:val="0"/>
      <w:divBdr>
        <w:top w:val="none" w:sz="0" w:space="0" w:color="auto"/>
        <w:left w:val="none" w:sz="0" w:space="0" w:color="auto"/>
        <w:bottom w:val="none" w:sz="0" w:space="0" w:color="auto"/>
        <w:right w:val="none" w:sz="0" w:space="0" w:color="auto"/>
      </w:divBdr>
    </w:div>
    <w:div w:id="853156838">
      <w:bodyDiv w:val="1"/>
      <w:marLeft w:val="0"/>
      <w:marRight w:val="0"/>
      <w:marTop w:val="0"/>
      <w:marBottom w:val="0"/>
      <w:divBdr>
        <w:top w:val="none" w:sz="0" w:space="0" w:color="auto"/>
        <w:left w:val="none" w:sz="0" w:space="0" w:color="auto"/>
        <w:bottom w:val="none" w:sz="0" w:space="0" w:color="auto"/>
        <w:right w:val="none" w:sz="0" w:space="0" w:color="auto"/>
      </w:divBdr>
    </w:div>
    <w:div w:id="855583602">
      <w:bodyDiv w:val="1"/>
      <w:marLeft w:val="0"/>
      <w:marRight w:val="0"/>
      <w:marTop w:val="0"/>
      <w:marBottom w:val="0"/>
      <w:divBdr>
        <w:top w:val="none" w:sz="0" w:space="0" w:color="auto"/>
        <w:left w:val="none" w:sz="0" w:space="0" w:color="auto"/>
        <w:bottom w:val="none" w:sz="0" w:space="0" w:color="auto"/>
        <w:right w:val="none" w:sz="0" w:space="0" w:color="auto"/>
      </w:divBdr>
    </w:div>
    <w:div w:id="877666616">
      <w:bodyDiv w:val="1"/>
      <w:marLeft w:val="0"/>
      <w:marRight w:val="0"/>
      <w:marTop w:val="0"/>
      <w:marBottom w:val="0"/>
      <w:divBdr>
        <w:top w:val="none" w:sz="0" w:space="0" w:color="auto"/>
        <w:left w:val="none" w:sz="0" w:space="0" w:color="auto"/>
        <w:bottom w:val="none" w:sz="0" w:space="0" w:color="auto"/>
        <w:right w:val="none" w:sz="0" w:space="0" w:color="auto"/>
      </w:divBdr>
    </w:div>
    <w:div w:id="909969482">
      <w:bodyDiv w:val="1"/>
      <w:marLeft w:val="0"/>
      <w:marRight w:val="0"/>
      <w:marTop w:val="0"/>
      <w:marBottom w:val="0"/>
      <w:divBdr>
        <w:top w:val="none" w:sz="0" w:space="0" w:color="auto"/>
        <w:left w:val="none" w:sz="0" w:space="0" w:color="auto"/>
        <w:bottom w:val="none" w:sz="0" w:space="0" w:color="auto"/>
        <w:right w:val="none" w:sz="0" w:space="0" w:color="auto"/>
      </w:divBdr>
    </w:div>
    <w:div w:id="925766533">
      <w:bodyDiv w:val="1"/>
      <w:marLeft w:val="0"/>
      <w:marRight w:val="0"/>
      <w:marTop w:val="0"/>
      <w:marBottom w:val="0"/>
      <w:divBdr>
        <w:top w:val="none" w:sz="0" w:space="0" w:color="auto"/>
        <w:left w:val="none" w:sz="0" w:space="0" w:color="auto"/>
        <w:bottom w:val="none" w:sz="0" w:space="0" w:color="auto"/>
        <w:right w:val="none" w:sz="0" w:space="0" w:color="auto"/>
      </w:divBdr>
    </w:div>
    <w:div w:id="938872818">
      <w:bodyDiv w:val="1"/>
      <w:marLeft w:val="0"/>
      <w:marRight w:val="0"/>
      <w:marTop w:val="0"/>
      <w:marBottom w:val="0"/>
      <w:divBdr>
        <w:top w:val="none" w:sz="0" w:space="0" w:color="auto"/>
        <w:left w:val="none" w:sz="0" w:space="0" w:color="auto"/>
        <w:bottom w:val="none" w:sz="0" w:space="0" w:color="auto"/>
        <w:right w:val="none" w:sz="0" w:space="0" w:color="auto"/>
      </w:divBdr>
    </w:div>
    <w:div w:id="939993139">
      <w:bodyDiv w:val="1"/>
      <w:marLeft w:val="0"/>
      <w:marRight w:val="0"/>
      <w:marTop w:val="0"/>
      <w:marBottom w:val="0"/>
      <w:divBdr>
        <w:top w:val="none" w:sz="0" w:space="0" w:color="auto"/>
        <w:left w:val="none" w:sz="0" w:space="0" w:color="auto"/>
        <w:bottom w:val="none" w:sz="0" w:space="0" w:color="auto"/>
        <w:right w:val="none" w:sz="0" w:space="0" w:color="auto"/>
      </w:divBdr>
    </w:div>
    <w:div w:id="976448961">
      <w:bodyDiv w:val="1"/>
      <w:marLeft w:val="0"/>
      <w:marRight w:val="0"/>
      <w:marTop w:val="0"/>
      <w:marBottom w:val="0"/>
      <w:divBdr>
        <w:top w:val="none" w:sz="0" w:space="0" w:color="auto"/>
        <w:left w:val="none" w:sz="0" w:space="0" w:color="auto"/>
        <w:bottom w:val="none" w:sz="0" w:space="0" w:color="auto"/>
        <w:right w:val="none" w:sz="0" w:space="0" w:color="auto"/>
      </w:divBdr>
    </w:div>
    <w:div w:id="984896749">
      <w:bodyDiv w:val="1"/>
      <w:marLeft w:val="0"/>
      <w:marRight w:val="0"/>
      <w:marTop w:val="0"/>
      <w:marBottom w:val="0"/>
      <w:divBdr>
        <w:top w:val="none" w:sz="0" w:space="0" w:color="auto"/>
        <w:left w:val="none" w:sz="0" w:space="0" w:color="auto"/>
        <w:bottom w:val="none" w:sz="0" w:space="0" w:color="auto"/>
        <w:right w:val="none" w:sz="0" w:space="0" w:color="auto"/>
      </w:divBdr>
    </w:div>
    <w:div w:id="1049722775">
      <w:bodyDiv w:val="1"/>
      <w:marLeft w:val="0"/>
      <w:marRight w:val="0"/>
      <w:marTop w:val="0"/>
      <w:marBottom w:val="0"/>
      <w:divBdr>
        <w:top w:val="none" w:sz="0" w:space="0" w:color="auto"/>
        <w:left w:val="none" w:sz="0" w:space="0" w:color="auto"/>
        <w:bottom w:val="none" w:sz="0" w:space="0" w:color="auto"/>
        <w:right w:val="none" w:sz="0" w:space="0" w:color="auto"/>
      </w:divBdr>
    </w:div>
    <w:div w:id="1062678324">
      <w:bodyDiv w:val="1"/>
      <w:marLeft w:val="0"/>
      <w:marRight w:val="0"/>
      <w:marTop w:val="0"/>
      <w:marBottom w:val="0"/>
      <w:divBdr>
        <w:top w:val="none" w:sz="0" w:space="0" w:color="auto"/>
        <w:left w:val="none" w:sz="0" w:space="0" w:color="auto"/>
        <w:bottom w:val="none" w:sz="0" w:space="0" w:color="auto"/>
        <w:right w:val="none" w:sz="0" w:space="0" w:color="auto"/>
      </w:divBdr>
    </w:div>
    <w:div w:id="1062749658">
      <w:bodyDiv w:val="1"/>
      <w:marLeft w:val="0"/>
      <w:marRight w:val="0"/>
      <w:marTop w:val="0"/>
      <w:marBottom w:val="0"/>
      <w:divBdr>
        <w:top w:val="none" w:sz="0" w:space="0" w:color="auto"/>
        <w:left w:val="none" w:sz="0" w:space="0" w:color="auto"/>
        <w:bottom w:val="none" w:sz="0" w:space="0" w:color="auto"/>
        <w:right w:val="none" w:sz="0" w:space="0" w:color="auto"/>
      </w:divBdr>
    </w:div>
    <w:div w:id="1165050622">
      <w:bodyDiv w:val="1"/>
      <w:marLeft w:val="0"/>
      <w:marRight w:val="0"/>
      <w:marTop w:val="0"/>
      <w:marBottom w:val="0"/>
      <w:divBdr>
        <w:top w:val="none" w:sz="0" w:space="0" w:color="auto"/>
        <w:left w:val="none" w:sz="0" w:space="0" w:color="auto"/>
        <w:bottom w:val="none" w:sz="0" w:space="0" w:color="auto"/>
        <w:right w:val="none" w:sz="0" w:space="0" w:color="auto"/>
      </w:divBdr>
    </w:div>
    <w:div w:id="1186596071">
      <w:bodyDiv w:val="1"/>
      <w:marLeft w:val="0"/>
      <w:marRight w:val="0"/>
      <w:marTop w:val="0"/>
      <w:marBottom w:val="0"/>
      <w:divBdr>
        <w:top w:val="none" w:sz="0" w:space="0" w:color="auto"/>
        <w:left w:val="none" w:sz="0" w:space="0" w:color="auto"/>
        <w:bottom w:val="none" w:sz="0" w:space="0" w:color="auto"/>
        <w:right w:val="none" w:sz="0" w:space="0" w:color="auto"/>
      </w:divBdr>
    </w:div>
    <w:div w:id="1196693939">
      <w:bodyDiv w:val="1"/>
      <w:marLeft w:val="0"/>
      <w:marRight w:val="0"/>
      <w:marTop w:val="0"/>
      <w:marBottom w:val="0"/>
      <w:divBdr>
        <w:top w:val="none" w:sz="0" w:space="0" w:color="auto"/>
        <w:left w:val="none" w:sz="0" w:space="0" w:color="auto"/>
        <w:bottom w:val="none" w:sz="0" w:space="0" w:color="auto"/>
        <w:right w:val="none" w:sz="0" w:space="0" w:color="auto"/>
      </w:divBdr>
    </w:div>
    <w:div w:id="1253969559">
      <w:bodyDiv w:val="1"/>
      <w:marLeft w:val="0"/>
      <w:marRight w:val="0"/>
      <w:marTop w:val="0"/>
      <w:marBottom w:val="0"/>
      <w:divBdr>
        <w:top w:val="none" w:sz="0" w:space="0" w:color="auto"/>
        <w:left w:val="none" w:sz="0" w:space="0" w:color="auto"/>
        <w:bottom w:val="none" w:sz="0" w:space="0" w:color="auto"/>
        <w:right w:val="none" w:sz="0" w:space="0" w:color="auto"/>
      </w:divBdr>
    </w:div>
    <w:div w:id="1286352564">
      <w:bodyDiv w:val="1"/>
      <w:marLeft w:val="0"/>
      <w:marRight w:val="0"/>
      <w:marTop w:val="0"/>
      <w:marBottom w:val="0"/>
      <w:divBdr>
        <w:top w:val="none" w:sz="0" w:space="0" w:color="auto"/>
        <w:left w:val="none" w:sz="0" w:space="0" w:color="auto"/>
        <w:bottom w:val="none" w:sz="0" w:space="0" w:color="auto"/>
        <w:right w:val="none" w:sz="0" w:space="0" w:color="auto"/>
      </w:divBdr>
    </w:div>
    <w:div w:id="1325932215">
      <w:bodyDiv w:val="1"/>
      <w:marLeft w:val="0"/>
      <w:marRight w:val="0"/>
      <w:marTop w:val="0"/>
      <w:marBottom w:val="0"/>
      <w:divBdr>
        <w:top w:val="none" w:sz="0" w:space="0" w:color="auto"/>
        <w:left w:val="none" w:sz="0" w:space="0" w:color="auto"/>
        <w:bottom w:val="none" w:sz="0" w:space="0" w:color="auto"/>
        <w:right w:val="none" w:sz="0" w:space="0" w:color="auto"/>
      </w:divBdr>
    </w:div>
    <w:div w:id="1344432155">
      <w:bodyDiv w:val="1"/>
      <w:marLeft w:val="0"/>
      <w:marRight w:val="0"/>
      <w:marTop w:val="0"/>
      <w:marBottom w:val="0"/>
      <w:divBdr>
        <w:top w:val="none" w:sz="0" w:space="0" w:color="auto"/>
        <w:left w:val="none" w:sz="0" w:space="0" w:color="auto"/>
        <w:bottom w:val="none" w:sz="0" w:space="0" w:color="auto"/>
        <w:right w:val="none" w:sz="0" w:space="0" w:color="auto"/>
      </w:divBdr>
    </w:div>
    <w:div w:id="1358577438">
      <w:bodyDiv w:val="1"/>
      <w:marLeft w:val="0"/>
      <w:marRight w:val="0"/>
      <w:marTop w:val="0"/>
      <w:marBottom w:val="0"/>
      <w:divBdr>
        <w:top w:val="none" w:sz="0" w:space="0" w:color="auto"/>
        <w:left w:val="none" w:sz="0" w:space="0" w:color="auto"/>
        <w:bottom w:val="none" w:sz="0" w:space="0" w:color="auto"/>
        <w:right w:val="none" w:sz="0" w:space="0" w:color="auto"/>
      </w:divBdr>
    </w:div>
    <w:div w:id="1401757979">
      <w:bodyDiv w:val="1"/>
      <w:marLeft w:val="0"/>
      <w:marRight w:val="0"/>
      <w:marTop w:val="0"/>
      <w:marBottom w:val="0"/>
      <w:divBdr>
        <w:top w:val="none" w:sz="0" w:space="0" w:color="auto"/>
        <w:left w:val="none" w:sz="0" w:space="0" w:color="auto"/>
        <w:bottom w:val="none" w:sz="0" w:space="0" w:color="auto"/>
        <w:right w:val="none" w:sz="0" w:space="0" w:color="auto"/>
      </w:divBdr>
    </w:div>
    <w:div w:id="1423799599">
      <w:bodyDiv w:val="1"/>
      <w:marLeft w:val="0"/>
      <w:marRight w:val="0"/>
      <w:marTop w:val="0"/>
      <w:marBottom w:val="0"/>
      <w:divBdr>
        <w:top w:val="none" w:sz="0" w:space="0" w:color="auto"/>
        <w:left w:val="none" w:sz="0" w:space="0" w:color="auto"/>
        <w:bottom w:val="none" w:sz="0" w:space="0" w:color="auto"/>
        <w:right w:val="none" w:sz="0" w:space="0" w:color="auto"/>
      </w:divBdr>
    </w:div>
    <w:div w:id="1425568788">
      <w:bodyDiv w:val="1"/>
      <w:marLeft w:val="0"/>
      <w:marRight w:val="0"/>
      <w:marTop w:val="0"/>
      <w:marBottom w:val="0"/>
      <w:divBdr>
        <w:top w:val="none" w:sz="0" w:space="0" w:color="auto"/>
        <w:left w:val="none" w:sz="0" w:space="0" w:color="auto"/>
        <w:bottom w:val="none" w:sz="0" w:space="0" w:color="auto"/>
        <w:right w:val="none" w:sz="0" w:space="0" w:color="auto"/>
      </w:divBdr>
    </w:div>
    <w:div w:id="1431778604">
      <w:bodyDiv w:val="1"/>
      <w:marLeft w:val="0"/>
      <w:marRight w:val="0"/>
      <w:marTop w:val="0"/>
      <w:marBottom w:val="0"/>
      <w:divBdr>
        <w:top w:val="none" w:sz="0" w:space="0" w:color="auto"/>
        <w:left w:val="none" w:sz="0" w:space="0" w:color="auto"/>
        <w:bottom w:val="none" w:sz="0" w:space="0" w:color="auto"/>
        <w:right w:val="none" w:sz="0" w:space="0" w:color="auto"/>
      </w:divBdr>
    </w:div>
    <w:div w:id="1446463471">
      <w:bodyDiv w:val="1"/>
      <w:marLeft w:val="0"/>
      <w:marRight w:val="0"/>
      <w:marTop w:val="0"/>
      <w:marBottom w:val="0"/>
      <w:divBdr>
        <w:top w:val="none" w:sz="0" w:space="0" w:color="auto"/>
        <w:left w:val="none" w:sz="0" w:space="0" w:color="auto"/>
        <w:bottom w:val="none" w:sz="0" w:space="0" w:color="auto"/>
        <w:right w:val="none" w:sz="0" w:space="0" w:color="auto"/>
      </w:divBdr>
    </w:div>
    <w:div w:id="1448504964">
      <w:bodyDiv w:val="1"/>
      <w:marLeft w:val="0"/>
      <w:marRight w:val="0"/>
      <w:marTop w:val="0"/>
      <w:marBottom w:val="0"/>
      <w:divBdr>
        <w:top w:val="none" w:sz="0" w:space="0" w:color="auto"/>
        <w:left w:val="none" w:sz="0" w:space="0" w:color="auto"/>
        <w:bottom w:val="none" w:sz="0" w:space="0" w:color="auto"/>
        <w:right w:val="none" w:sz="0" w:space="0" w:color="auto"/>
      </w:divBdr>
    </w:div>
    <w:div w:id="1466970453">
      <w:bodyDiv w:val="1"/>
      <w:marLeft w:val="0"/>
      <w:marRight w:val="0"/>
      <w:marTop w:val="0"/>
      <w:marBottom w:val="0"/>
      <w:divBdr>
        <w:top w:val="none" w:sz="0" w:space="0" w:color="auto"/>
        <w:left w:val="none" w:sz="0" w:space="0" w:color="auto"/>
        <w:bottom w:val="none" w:sz="0" w:space="0" w:color="auto"/>
        <w:right w:val="none" w:sz="0" w:space="0" w:color="auto"/>
      </w:divBdr>
    </w:div>
    <w:div w:id="1485662634">
      <w:bodyDiv w:val="1"/>
      <w:marLeft w:val="0"/>
      <w:marRight w:val="0"/>
      <w:marTop w:val="0"/>
      <w:marBottom w:val="0"/>
      <w:divBdr>
        <w:top w:val="none" w:sz="0" w:space="0" w:color="auto"/>
        <w:left w:val="none" w:sz="0" w:space="0" w:color="auto"/>
        <w:bottom w:val="none" w:sz="0" w:space="0" w:color="auto"/>
        <w:right w:val="none" w:sz="0" w:space="0" w:color="auto"/>
      </w:divBdr>
    </w:div>
    <w:div w:id="1488782777">
      <w:bodyDiv w:val="1"/>
      <w:marLeft w:val="0"/>
      <w:marRight w:val="0"/>
      <w:marTop w:val="0"/>
      <w:marBottom w:val="0"/>
      <w:divBdr>
        <w:top w:val="none" w:sz="0" w:space="0" w:color="auto"/>
        <w:left w:val="none" w:sz="0" w:space="0" w:color="auto"/>
        <w:bottom w:val="none" w:sz="0" w:space="0" w:color="auto"/>
        <w:right w:val="none" w:sz="0" w:space="0" w:color="auto"/>
      </w:divBdr>
    </w:div>
    <w:div w:id="1497530310">
      <w:bodyDiv w:val="1"/>
      <w:marLeft w:val="0"/>
      <w:marRight w:val="0"/>
      <w:marTop w:val="0"/>
      <w:marBottom w:val="0"/>
      <w:divBdr>
        <w:top w:val="none" w:sz="0" w:space="0" w:color="auto"/>
        <w:left w:val="none" w:sz="0" w:space="0" w:color="auto"/>
        <w:bottom w:val="none" w:sz="0" w:space="0" w:color="auto"/>
        <w:right w:val="none" w:sz="0" w:space="0" w:color="auto"/>
      </w:divBdr>
    </w:div>
    <w:div w:id="1544442188">
      <w:bodyDiv w:val="1"/>
      <w:marLeft w:val="0"/>
      <w:marRight w:val="0"/>
      <w:marTop w:val="0"/>
      <w:marBottom w:val="0"/>
      <w:divBdr>
        <w:top w:val="none" w:sz="0" w:space="0" w:color="auto"/>
        <w:left w:val="none" w:sz="0" w:space="0" w:color="auto"/>
        <w:bottom w:val="none" w:sz="0" w:space="0" w:color="auto"/>
        <w:right w:val="none" w:sz="0" w:space="0" w:color="auto"/>
      </w:divBdr>
    </w:div>
    <w:div w:id="1576671231">
      <w:bodyDiv w:val="1"/>
      <w:marLeft w:val="0"/>
      <w:marRight w:val="0"/>
      <w:marTop w:val="0"/>
      <w:marBottom w:val="0"/>
      <w:divBdr>
        <w:top w:val="none" w:sz="0" w:space="0" w:color="auto"/>
        <w:left w:val="none" w:sz="0" w:space="0" w:color="auto"/>
        <w:bottom w:val="none" w:sz="0" w:space="0" w:color="auto"/>
        <w:right w:val="none" w:sz="0" w:space="0" w:color="auto"/>
      </w:divBdr>
    </w:div>
    <w:div w:id="1631864516">
      <w:bodyDiv w:val="1"/>
      <w:marLeft w:val="0"/>
      <w:marRight w:val="0"/>
      <w:marTop w:val="0"/>
      <w:marBottom w:val="0"/>
      <w:divBdr>
        <w:top w:val="none" w:sz="0" w:space="0" w:color="auto"/>
        <w:left w:val="none" w:sz="0" w:space="0" w:color="auto"/>
        <w:bottom w:val="none" w:sz="0" w:space="0" w:color="auto"/>
        <w:right w:val="none" w:sz="0" w:space="0" w:color="auto"/>
      </w:divBdr>
    </w:div>
    <w:div w:id="1641808934">
      <w:bodyDiv w:val="1"/>
      <w:marLeft w:val="0"/>
      <w:marRight w:val="0"/>
      <w:marTop w:val="0"/>
      <w:marBottom w:val="0"/>
      <w:divBdr>
        <w:top w:val="none" w:sz="0" w:space="0" w:color="auto"/>
        <w:left w:val="none" w:sz="0" w:space="0" w:color="auto"/>
        <w:bottom w:val="none" w:sz="0" w:space="0" w:color="auto"/>
        <w:right w:val="none" w:sz="0" w:space="0" w:color="auto"/>
      </w:divBdr>
    </w:div>
    <w:div w:id="1666738132">
      <w:bodyDiv w:val="1"/>
      <w:marLeft w:val="0"/>
      <w:marRight w:val="0"/>
      <w:marTop w:val="0"/>
      <w:marBottom w:val="0"/>
      <w:divBdr>
        <w:top w:val="none" w:sz="0" w:space="0" w:color="auto"/>
        <w:left w:val="none" w:sz="0" w:space="0" w:color="auto"/>
        <w:bottom w:val="none" w:sz="0" w:space="0" w:color="auto"/>
        <w:right w:val="none" w:sz="0" w:space="0" w:color="auto"/>
      </w:divBdr>
    </w:div>
    <w:div w:id="1682662073">
      <w:bodyDiv w:val="1"/>
      <w:marLeft w:val="0"/>
      <w:marRight w:val="0"/>
      <w:marTop w:val="0"/>
      <w:marBottom w:val="0"/>
      <w:divBdr>
        <w:top w:val="none" w:sz="0" w:space="0" w:color="auto"/>
        <w:left w:val="none" w:sz="0" w:space="0" w:color="auto"/>
        <w:bottom w:val="none" w:sz="0" w:space="0" w:color="auto"/>
        <w:right w:val="none" w:sz="0" w:space="0" w:color="auto"/>
      </w:divBdr>
    </w:div>
    <w:div w:id="1725981715">
      <w:bodyDiv w:val="1"/>
      <w:marLeft w:val="0"/>
      <w:marRight w:val="0"/>
      <w:marTop w:val="0"/>
      <w:marBottom w:val="0"/>
      <w:divBdr>
        <w:top w:val="none" w:sz="0" w:space="0" w:color="auto"/>
        <w:left w:val="none" w:sz="0" w:space="0" w:color="auto"/>
        <w:bottom w:val="none" w:sz="0" w:space="0" w:color="auto"/>
        <w:right w:val="none" w:sz="0" w:space="0" w:color="auto"/>
      </w:divBdr>
    </w:div>
    <w:div w:id="1730764497">
      <w:bodyDiv w:val="1"/>
      <w:marLeft w:val="0"/>
      <w:marRight w:val="0"/>
      <w:marTop w:val="0"/>
      <w:marBottom w:val="0"/>
      <w:divBdr>
        <w:top w:val="none" w:sz="0" w:space="0" w:color="auto"/>
        <w:left w:val="none" w:sz="0" w:space="0" w:color="auto"/>
        <w:bottom w:val="none" w:sz="0" w:space="0" w:color="auto"/>
        <w:right w:val="none" w:sz="0" w:space="0" w:color="auto"/>
      </w:divBdr>
    </w:div>
    <w:div w:id="1751151858">
      <w:bodyDiv w:val="1"/>
      <w:marLeft w:val="0"/>
      <w:marRight w:val="0"/>
      <w:marTop w:val="0"/>
      <w:marBottom w:val="0"/>
      <w:divBdr>
        <w:top w:val="none" w:sz="0" w:space="0" w:color="auto"/>
        <w:left w:val="none" w:sz="0" w:space="0" w:color="auto"/>
        <w:bottom w:val="none" w:sz="0" w:space="0" w:color="auto"/>
        <w:right w:val="none" w:sz="0" w:space="0" w:color="auto"/>
      </w:divBdr>
    </w:div>
    <w:div w:id="1771391988">
      <w:bodyDiv w:val="1"/>
      <w:marLeft w:val="0"/>
      <w:marRight w:val="0"/>
      <w:marTop w:val="0"/>
      <w:marBottom w:val="0"/>
      <w:divBdr>
        <w:top w:val="none" w:sz="0" w:space="0" w:color="auto"/>
        <w:left w:val="none" w:sz="0" w:space="0" w:color="auto"/>
        <w:bottom w:val="none" w:sz="0" w:space="0" w:color="auto"/>
        <w:right w:val="none" w:sz="0" w:space="0" w:color="auto"/>
      </w:divBdr>
    </w:div>
    <w:div w:id="1774861830">
      <w:bodyDiv w:val="1"/>
      <w:marLeft w:val="0"/>
      <w:marRight w:val="0"/>
      <w:marTop w:val="0"/>
      <w:marBottom w:val="0"/>
      <w:divBdr>
        <w:top w:val="none" w:sz="0" w:space="0" w:color="auto"/>
        <w:left w:val="none" w:sz="0" w:space="0" w:color="auto"/>
        <w:bottom w:val="none" w:sz="0" w:space="0" w:color="auto"/>
        <w:right w:val="none" w:sz="0" w:space="0" w:color="auto"/>
      </w:divBdr>
    </w:div>
    <w:div w:id="1781103859">
      <w:bodyDiv w:val="1"/>
      <w:marLeft w:val="0"/>
      <w:marRight w:val="0"/>
      <w:marTop w:val="0"/>
      <w:marBottom w:val="0"/>
      <w:divBdr>
        <w:top w:val="none" w:sz="0" w:space="0" w:color="auto"/>
        <w:left w:val="none" w:sz="0" w:space="0" w:color="auto"/>
        <w:bottom w:val="none" w:sz="0" w:space="0" w:color="auto"/>
        <w:right w:val="none" w:sz="0" w:space="0" w:color="auto"/>
      </w:divBdr>
    </w:div>
    <w:div w:id="1799909750">
      <w:bodyDiv w:val="1"/>
      <w:marLeft w:val="0"/>
      <w:marRight w:val="0"/>
      <w:marTop w:val="0"/>
      <w:marBottom w:val="0"/>
      <w:divBdr>
        <w:top w:val="none" w:sz="0" w:space="0" w:color="auto"/>
        <w:left w:val="none" w:sz="0" w:space="0" w:color="auto"/>
        <w:bottom w:val="none" w:sz="0" w:space="0" w:color="auto"/>
        <w:right w:val="none" w:sz="0" w:space="0" w:color="auto"/>
      </w:divBdr>
    </w:div>
    <w:div w:id="1800682512">
      <w:bodyDiv w:val="1"/>
      <w:marLeft w:val="0"/>
      <w:marRight w:val="0"/>
      <w:marTop w:val="0"/>
      <w:marBottom w:val="0"/>
      <w:divBdr>
        <w:top w:val="none" w:sz="0" w:space="0" w:color="auto"/>
        <w:left w:val="none" w:sz="0" w:space="0" w:color="auto"/>
        <w:bottom w:val="none" w:sz="0" w:space="0" w:color="auto"/>
        <w:right w:val="none" w:sz="0" w:space="0" w:color="auto"/>
      </w:divBdr>
    </w:div>
    <w:div w:id="1810395391">
      <w:bodyDiv w:val="1"/>
      <w:marLeft w:val="0"/>
      <w:marRight w:val="0"/>
      <w:marTop w:val="0"/>
      <w:marBottom w:val="0"/>
      <w:divBdr>
        <w:top w:val="none" w:sz="0" w:space="0" w:color="auto"/>
        <w:left w:val="none" w:sz="0" w:space="0" w:color="auto"/>
        <w:bottom w:val="none" w:sz="0" w:space="0" w:color="auto"/>
        <w:right w:val="none" w:sz="0" w:space="0" w:color="auto"/>
      </w:divBdr>
    </w:div>
    <w:div w:id="1818497063">
      <w:bodyDiv w:val="1"/>
      <w:marLeft w:val="0"/>
      <w:marRight w:val="0"/>
      <w:marTop w:val="0"/>
      <w:marBottom w:val="0"/>
      <w:divBdr>
        <w:top w:val="none" w:sz="0" w:space="0" w:color="auto"/>
        <w:left w:val="none" w:sz="0" w:space="0" w:color="auto"/>
        <w:bottom w:val="none" w:sz="0" w:space="0" w:color="auto"/>
        <w:right w:val="none" w:sz="0" w:space="0" w:color="auto"/>
      </w:divBdr>
    </w:div>
    <w:div w:id="1831939449">
      <w:bodyDiv w:val="1"/>
      <w:marLeft w:val="0"/>
      <w:marRight w:val="0"/>
      <w:marTop w:val="0"/>
      <w:marBottom w:val="0"/>
      <w:divBdr>
        <w:top w:val="none" w:sz="0" w:space="0" w:color="auto"/>
        <w:left w:val="none" w:sz="0" w:space="0" w:color="auto"/>
        <w:bottom w:val="none" w:sz="0" w:space="0" w:color="auto"/>
        <w:right w:val="none" w:sz="0" w:space="0" w:color="auto"/>
      </w:divBdr>
    </w:div>
    <w:div w:id="1849979795">
      <w:bodyDiv w:val="1"/>
      <w:marLeft w:val="0"/>
      <w:marRight w:val="0"/>
      <w:marTop w:val="0"/>
      <w:marBottom w:val="0"/>
      <w:divBdr>
        <w:top w:val="none" w:sz="0" w:space="0" w:color="auto"/>
        <w:left w:val="none" w:sz="0" w:space="0" w:color="auto"/>
        <w:bottom w:val="none" w:sz="0" w:space="0" w:color="auto"/>
        <w:right w:val="none" w:sz="0" w:space="0" w:color="auto"/>
      </w:divBdr>
    </w:div>
    <w:div w:id="1855264485">
      <w:bodyDiv w:val="1"/>
      <w:marLeft w:val="0"/>
      <w:marRight w:val="0"/>
      <w:marTop w:val="0"/>
      <w:marBottom w:val="0"/>
      <w:divBdr>
        <w:top w:val="none" w:sz="0" w:space="0" w:color="auto"/>
        <w:left w:val="none" w:sz="0" w:space="0" w:color="auto"/>
        <w:bottom w:val="none" w:sz="0" w:space="0" w:color="auto"/>
        <w:right w:val="none" w:sz="0" w:space="0" w:color="auto"/>
      </w:divBdr>
    </w:div>
    <w:div w:id="1879387782">
      <w:bodyDiv w:val="1"/>
      <w:marLeft w:val="0"/>
      <w:marRight w:val="0"/>
      <w:marTop w:val="0"/>
      <w:marBottom w:val="0"/>
      <w:divBdr>
        <w:top w:val="none" w:sz="0" w:space="0" w:color="auto"/>
        <w:left w:val="none" w:sz="0" w:space="0" w:color="auto"/>
        <w:bottom w:val="none" w:sz="0" w:space="0" w:color="auto"/>
        <w:right w:val="none" w:sz="0" w:space="0" w:color="auto"/>
      </w:divBdr>
    </w:div>
    <w:div w:id="1895694932">
      <w:bodyDiv w:val="1"/>
      <w:marLeft w:val="0"/>
      <w:marRight w:val="0"/>
      <w:marTop w:val="0"/>
      <w:marBottom w:val="0"/>
      <w:divBdr>
        <w:top w:val="none" w:sz="0" w:space="0" w:color="auto"/>
        <w:left w:val="none" w:sz="0" w:space="0" w:color="auto"/>
        <w:bottom w:val="none" w:sz="0" w:space="0" w:color="auto"/>
        <w:right w:val="none" w:sz="0" w:space="0" w:color="auto"/>
      </w:divBdr>
    </w:div>
    <w:div w:id="1909221806">
      <w:bodyDiv w:val="1"/>
      <w:marLeft w:val="0"/>
      <w:marRight w:val="0"/>
      <w:marTop w:val="0"/>
      <w:marBottom w:val="0"/>
      <w:divBdr>
        <w:top w:val="none" w:sz="0" w:space="0" w:color="auto"/>
        <w:left w:val="none" w:sz="0" w:space="0" w:color="auto"/>
        <w:bottom w:val="none" w:sz="0" w:space="0" w:color="auto"/>
        <w:right w:val="none" w:sz="0" w:space="0" w:color="auto"/>
      </w:divBdr>
    </w:div>
    <w:div w:id="1921788514">
      <w:bodyDiv w:val="1"/>
      <w:marLeft w:val="0"/>
      <w:marRight w:val="0"/>
      <w:marTop w:val="0"/>
      <w:marBottom w:val="0"/>
      <w:divBdr>
        <w:top w:val="none" w:sz="0" w:space="0" w:color="auto"/>
        <w:left w:val="none" w:sz="0" w:space="0" w:color="auto"/>
        <w:bottom w:val="none" w:sz="0" w:space="0" w:color="auto"/>
        <w:right w:val="none" w:sz="0" w:space="0" w:color="auto"/>
      </w:divBdr>
    </w:div>
    <w:div w:id="1922135146">
      <w:bodyDiv w:val="1"/>
      <w:marLeft w:val="0"/>
      <w:marRight w:val="0"/>
      <w:marTop w:val="0"/>
      <w:marBottom w:val="0"/>
      <w:divBdr>
        <w:top w:val="none" w:sz="0" w:space="0" w:color="auto"/>
        <w:left w:val="none" w:sz="0" w:space="0" w:color="auto"/>
        <w:bottom w:val="none" w:sz="0" w:space="0" w:color="auto"/>
        <w:right w:val="none" w:sz="0" w:space="0" w:color="auto"/>
      </w:divBdr>
    </w:div>
    <w:div w:id="1922640476">
      <w:bodyDiv w:val="1"/>
      <w:marLeft w:val="0"/>
      <w:marRight w:val="0"/>
      <w:marTop w:val="0"/>
      <w:marBottom w:val="0"/>
      <w:divBdr>
        <w:top w:val="none" w:sz="0" w:space="0" w:color="auto"/>
        <w:left w:val="none" w:sz="0" w:space="0" w:color="auto"/>
        <w:bottom w:val="none" w:sz="0" w:space="0" w:color="auto"/>
        <w:right w:val="none" w:sz="0" w:space="0" w:color="auto"/>
      </w:divBdr>
    </w:div>
    <w:div w:id="1966229953">
      <w:bodyDiv w:val="1"/>
      <w:marLeft w:val="0"/>
      <w:marRight w:val="0"/>
      <w:marTop w:val="0"/>
      <w:marBottom w:val="0"/>
      <w:divBdr>
        <w:top w:val="none" w:sz="0" w:space="0" w:color="auto"/>
        <w:left w:val="none" w:sz="0" w:space="0" w:color="auto"/>
        <w:bottom w:val="none" w:sz="0" w:space="0" w:color="auto"/>
        <w:right w:val="none" w:sz="0" w:space="0" w:color="auto"/>
      </w:divBdr>
    </w:div>
    <w:div w:id="1967924771">
      <w:bodyDiv w:val="1"/>
      <w:marLeft w:val="0"/>
      <w:marRight w:val="0"/>
      <w:marTop w:val="0"/>
      <w:marBottom w:val="0"/>
      <w:divBdr>
        <w:top w:val="none" w:sz="0" w:space="0" w:color="auto"/>
        <w:left w:val="none" w:sz="0" w:space="0" w:color="auto"/>
        <w:bottom w:val="none" w:sz="0" w:space="0" w:color="auto"/>
        <w:right w:val="none" w:sz="0" w:space="0" w:color="auto"/>
      </w:divBdr>
    </w:div>
    <w:div w:id="1975519525">
      <w:bodyDiv w:val="1"/>
      <w:marLeft w:val="0"/>
      <w:marRight w:val="0"/>
      <w:marTop w:val="0"/>
      <w:marBottom w:val="0"/>
      <w:divBdr>
        <w:top w:val="none" w:sz="0" w:space="0" w:color="auto"/>
        <w:left w:val="none" w:sz="0" w:space="0" w:color="auto"/>
        <w:bottom w:val="none" w:sz="0" w:space="0" w:color="auto"/>
        <w:right w:val="none" w:sz="0" w:space="0" w:color="auto"/>
      </w:divBdr>
    </w:div>
    <w:div w:id="1985500778">
      <w:bodyDiv w:val="1"/>
      <w:marLeft w:val="0"/>
      <w:marRight w:val="0"/>
      <w:marTop w:val="0"/>
      <w:marBottom w:val="0"/>
      <w:divBdr>
        <w:top w:val="none" w:sz="0" w:space="0" w:color="auto"/>
        <w:left w:val="none" w:sz="0" w:space="0" w:color="auto"/>
        <w:bottom w:val="none" w:sz="0" w:space="0" w:color="auto"/>
        <w:right w:val="none" w:sz="0" w:space="0" w:color="auto"/>
      </w:divBdr>
    </w:div>
    <w:div w:id="2018801818">
      <w:bodyDiv w:val="1"/>
      <w:marLeft w:val="0"/>
      <w:marRight w:val="0"/>
      <w:marTop w:val="0"/>
      <w:marBottom w:val="0"/>
      <w:divBdr>
        <w:top w:val="none" w:sz="0" w:space="0" w:color="auto"/>
        <w:left w:val="none" w:sz="0" w:space="0" w:color="auto"/>
        <w:bottom w:val="none" w:sz="0" w:space="0" w:color="auto"/>
        <w:right w:val="none" w:sz="0" w:space="0" w:color="auto"/>
      </w:divBdr>
    </w:div>
    <w:div w:id="2025862414">
      <w:bodyDiv w:val="1"/>
      <w:marLeft w:val="0"/>
      <w:marRight w:val="0"/>
      <w:marTop w:val="0"/>
      <w:marBottom w:val="0"/>
      <w:divBdr>
        <w:top w:val="none" w:sz="0" w:space="0" w:color="auto"/>
        <w:left w:val="none" w:sz="0" w:space="0" w:color="auto"/>
        <w:bottom w:val="none" w:sz="0" w:space="0" w:color="auto"/>
        <w:right w:val="none" w:sz="0" w:space="0" w:color="auto"/>
      </w:divBdr>
    </w:div>
    <w:div w:id="2060207660">
      <w:bodyDiv w:val="1"/>
      <w:marLeft w:val="0"/>
      <w:marRight w:val="0"/>
      <w:marTop w:val="0"/>
      <w:marBottom w:val="0"/>
      <w:divBdr>
        <w:top w:val="none" w:sz="0" w:space="0" w:color="auto"/>
        <w:left w:val="none" w:sz="0" w:space="0" w:color="auto"/>
        <w:bottom w:val="none" w:sz="0" w:space="0" w:color="auto"/>
        <w:right w:val="none" w:sz="0" w:space="0" w:color="auto"/>
      </w:divBdr>
    </w:div>
    <w:div w:id="2063476883">
      <w:bodyDiv w:val="1"/>
      <w:marLeft w:val="0"/>
      <w:marRight w:val="0"/>
      <w:marTop w:val="0"/>
      <w:marBottom w:val="0"/>
      <w:divBdr>
        <w:top w:val="none" w:sz="0" w:space="0" w:color="auto"/>
        <w:left w:val="none" w:sz="0" w:space="0" w:color="auto"/>
        <w:bottom w:val="none" w:sz="0" w:space="0" w:color="auto"/>
        <w:right w:val="none" w:sz="0" w:space="0" w:color="auto"/>
      </w:divBdr>
    </w:div>
    <w:div w:id="2072800411">
      <w:bodyDiv w:val="1"/>
      <w:marLeft w:val="0"/>
      <w:marRight w:val="0"/>
      <w:marTop w:val="0"/>
      <w:marBottom w:val="0"/>
      <w:divBdr>
        <w:top w:val="none" w:sz="0" w:space="0" w:color="auto"/>
        <w:left w:val="none" w:sz="0" w:space="0" w:color="auto"/>
        <w:bottom w:val="none" w:sz="0" w:space="0" w:color="auto"/>
        <w:right w:val="none" w:sz="0" w:space="0" w:color="auto"/>
      </w:divBdr>
    </w:div>
    <w:div w:id="214408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2.png"/><Relationship Id="rId39" Type="http://schemas.openxmlformats.org/officeDocument/2006/relationships/image" Target="media/image18.png"/><Relationship Id="rId21" Type="http://schemas.openxmlformats.org/officeDocument/2006/relationships/image" Target="media/image10.png"/><Relationship Id="rId34" Type="http://schemas.openxmlformats.org/officeDocument/2006/relationships/image" Target="media/image14.png"/><Relationship Id="rId42" Type="http://schemas.openxmlformats.org/officeDocument/2006/relationships/hyperlink" Target="http://www.tickettowork.org.au/ticket-work-results-2014-2018/" TargetMode="External"/><Relationship Id="rId47" Type="http://schemas.openxmlformats.org/officeDocument/2006/relationships/hyperlink" Target="https://doi.org/10.1177/1038416218772062" TargetMode="External"/><Relationship Id="rId50" Type="http://schemas.openxmlformats.org/officeDocument/2006/relationships/hyperlink" Target="https://engage.dss.gov.au/wp-content/uploads/2017/12/discussion_paper_-_ensuring_a_strong_future_for_supported_employment.pdf" TargetMode="External"/><Relationship Id="rId55" Type="http://schemas.openxmlformats.org/officeDocument/2006/relationships/hyperlink" Target="https://www.pwc.com.au/industry/government/assets/disability-in-australia.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oter" Target="footer2.xml"/><Relationship Id="rId33" Type="http://schemas.openxmlformats.org/officeDocument/2006/relationships/image" Target="media/image13.png"/><Relationship Id="rId38" Type="http://schemas.openxmlformats.org/officeDocument/2006/relationships/hyperlink" Target="http://www.nationaldisabilityinsurancescheme.gov.au/" TargetMode="External"/><Relationship Id="rId46" Type="http://schemas.openxmlformats.org/officeDocument/2006/relationships/hyperlink" Target="https://www.abs.gov.au/ausstats/abs@.nsf/mf/6202.0" TargetMode="External"/><Relationship Id="rId2" Type="http://schemas.openxmlformats.org/officeDocument/2006/relationships/customXml" Target="../customXml/item2.xml"/><Relationship Id="rId16" Type="http://schemas.openxmlformats.org/officeDocument/2006/relationships/hyperlink" Target="https://svaltd-my.sharepoint.com/personal/madams_socialventures_com_au/Documents/ttw" TargetMode="External"/><Relationship Id="rId20" Type="http://schemas.openxmlformats.org/officeDocument/2006/relationships/image" Target="media/image9.png"/><Relationship Id="rId29" Type="http://schemas.openxmlformats.org/officeDocument/2006/relationships/hyperlink" Target="https://www.ndis.gov.au/media/1562/download" TargetMode="External"/><Relationship Id="rId41" Type="http://schemas.openxmlformats.org/officeDocument/2006/relationships/image" Target="media/image19.png"/><Relationship Id="rId54" Type="http://schemas.openxmlformats.org/officeDocument/2006/relationships/hyperlink" Target="https://www.pc.gov.au/inquiries/completed/disability-support/report/disability-support-volume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openxmlformats.org/officeDocument/2006/relationships/hyperlink" Target="https://www.cadr.org.au/images/Publications_Files/ndis_economic_benefits%20main%20(1).pdf" TargetMode="External"/><Relationship Id="rId37" Type="http://schemas.openxmlformats.org/officeDocument/2006/relationships/image" Target="media/image17.png"/><Relationship Id="rId40" Type="http://schemas.openxmlformats.org/officeDocument/2006/relationships/hyperlink" Target="http://lmip.gov.au/default.aspx?LMIP/Downloads/DisabilityEmploymentServicesData/MonthlyData" TargetMode="External"/><Relationship Id="rId45" Type="http://schemas.openxmlformats.org/officeDocument/2006/relationships/hyperlink" Target="https://www.abs.gov.au/ausstats/abs%40.nsf/mediareleasesbyCatalogue/030E8BEF4B0B915ECA2582EA00193B04?OpenDocument" TargetMode="External"/><Relationship Id="rId53" Type="http://schemas.openxmlformats.org/officeDocument/2006/relationships/hyperlink" Target="https://www.oecd-ilibrary.org/content/publication/9789264088856-en"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hyperlink" Target="https://www.pc.gov.au/inquiries/completed/disability-support/report/disability-support-volume2.pdf" TargetMode="External"/><Relationship Id="rId36" Type="http://schemas.openxmlformats.org/officeDocument/2006/relationships/image" Target="media/image16.png"/><Relationship Id="rId49" Type="http://schemas.openxmlformats.org/officeDocument/2006/relationships/hyperlink" Target="https://www2.deloitte.com/content/dam/Deloitte/au/Documents/Economics/deloitte-au-economic-benefits-increasing-employment-for-people-with-disability-010811.pdf"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hyperlink" Target="https://www.nds.org.au/pdf-file/IMPORTED-F0EB-4011-9638-0219DA332D06" TargetMode="External"/><Relationship Id="rId44" Type="http://schemas.openxmlformats.org/officeDocument/2006/relationships/hyperlink" Target="https://dx.doi.org/10.1111/1467-8462.12254" TargetMode="External"/><Relationship Id="rId52" Type="http://schemas.openxmlformats.org/officeDocument/2006/relationships/hyperlink" Target="https://www.ndis.gov.au/media/1562/downlo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hyperlink" Target="https://www.pc.gov.au/research/supporting/input-output-tables/input-output-tables.pdf" TargetMode="External"/><Relationship Id="rId30" Type="http://schemas.openxmlformats.org/officeDocument/2006/relationships/hyperlink" Target="https://www2.deloitte.com/content/dam/Deloitte/au/Documents/Economics/deloitte-au-economic-benefits-increasing-employment-for-people-with-disability-010811.pdf" TargetMode="External"/><Relationship Id="rId35" Type="http://schemas.openxmlformats.org/officeDocument/2006/relationships/image" Target="media/image15.png"/><Relationship Id="rId43" Type="http://schemas.openxmlformats.org/officeDocument/2006/relationships/hyperlink" Target="https://ssrn.com/abstract=3132791" TargetMode="External"/><Relationship Id="rId48" Type="http://schemas.openxmlformats.org/officeDocument/2006/relationships/hyperlink" Target="https://www.aihw.gov.au/getmedia/2e92f007-453d-48a1-9c6b-4c9531cf0371/aihw-phe-246.pdf.aspx?inline=true"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cadr.org.au/images/Publications_Files/ndis_economic_benefits%20main%20(1).pdf"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2D62"/>
      </a:dk2>
      <a:lt2>
        <a:srgbClr val="B2BB1E"/>
      </a:lt2>
      <a:accent1>
        <a:srgbClr val="F2F0E9"/>
      </a:accent1>
      <a:accent2>
        <a:srgbClr val="696158"/>
      </a:accent2>
      <a:accent3>
        <a:srgbClr val="AFA778"/>
      </a:accent3>
      <a:accent4>
        <a:srgbClr val="353E49"/>
      </a:accent4>
      <a:accent5>
        <a:srgbClr val="69B3E7"/>
      </a:accent5>
      <a:accent6>
        <a:srgbClr val="34657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1E3C1D5919A34D855041039386C48D" ma:contentTypeVersion="12" ma:contentTypeDescription="Create a new document." ma:contentTypeScope="" ma:versionID="a5f9084be97e9ccaea96b69651499168">
  <xsd:schema xmlns:xsd="http://www.w3.org/2001/XMLSchema" xmlns:xs="http://www.w3.org/2001/XMLSchema" xmlns:p="http://schemas.microsoft.com/office/2006/metadata/properties" xmlns:ns2="832f5eae-1f85-42fa-b2c7-5f98094515df" xmlns:ns3="07ec0253-281f-4e05-8467-65a429d6a9f3" targetNamespace="http://schemas.microsoft.com/office/2006/metadata/properties" ma:root="true" ma:fieldsID="03437abc8cfaba369e58a387c43dffdb" ns2:_="" ns3:_="">
    <xsd:import namespace="832f5eae-1f85-42fa-b2c7-5f98094515df"/>
    <xsd:import namespace="07ec0253-281f-4e05-8467-65a429d6a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f5eae-1f85-42fa-b2c7-5f9809451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c0253-281f-4e05-8467-65a429d6a9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939A9-0B6D-43F1-969D-B651102BD6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6F64BE-04BB-4321-A1D0-028E3B06B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f5eae-1f85-42fa-b2c7-5f98094515df"/>
    <ds:schemaRef ds:uri="07ec0253-281f-4e05-8467-65a429d6a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17C1A5-766F-46D9-B310-208D4245F259}">
  <ds:schemaRefs>
    <ds:schemaRef ds:uri="http://schemas.microsoft.com/sharepoint/v3/contenttype/forms"/>
  </ds:schemaRefs>
</ds:datastoreItem>
</file>

<file path=customXml/itemProps4.xml><?xml version="1.0" encoding="utf-8"?>
<ds:datastoreItem xmlns:ds="http://schemas.openxmlformats.org/officeDocument/2006/customXml" ds:itemID="{B401C816-560B-49AD-84FF-845494C5B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11507</Words>
  <Characters>65595</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76949</CharactersWithSpaces>
  <SharedDoc>false</SharedDoc>
  <HLinks>
    <vt:vector size="192" baseType="variant">
      <vt:variant>
        <vt:i4>4980764</vt:i4>
      </vt:variant>
      <vt:variant>
        <vt:i4>186</vt:i4>
      </vt:variant>
      <vt:variant>
        <vt:i4>0</vt:i4>
      </vt:variant>
      <vt:variant>
        <vt:i4>5</vt:i4>
      </vt:variant>
      <vt:variant>
        <vt:lpwstr>https://www.pwc.com.au/industry/government/assets/disability-in-australia.pdf</vt:lpwstr>
      </vt:variant>
      <vt:variant>
        <vt:lpwstr/>
      </vt:variant>
      <vt:variant>
        <vt:i4>7012474</vt:i4>
      </vt:variant>
      <vt:variant>
        <vt:i4>183</vt:i4>
      </vt:variant>
      <vt:variant>
        <vt:i4>0</vt:i4>
      </vt:variant>
      <vt:variant>
        <vt:i4>5</vt:i4>
      </vt:variant>
      <vt:variant>
        <vt:lpwstr>https://www.pc.gov.au/inquiries/completed/disability-support/report/disability-support-volume2.pdf</vt:lpwstr>
      </vt:variant>
      <vt:variant>
        <vt:lpwstr/>
      </vt:variant>
      <vt:variant>
        <vt:i4>6815786</vt:i4>
      </vt:variant>
      <vt:variant>
        <vt:i4>180</vt:i4>
      </vt:variant>
      <vt:variant>
        <vt:i4>0</vt:i4>
      </vt:variant>
      <vt:variant>
        <vt:i4>5</vt:i4>
      </vt:variant>
      <vt:variant>
        <vt:lpwstr>https://www.oecd-ilibrary.org/content/publication/9789264088856-en</vt:lpwstr>
      </vt:variant>
      <vt:variant>
        <vt:lpwstr/>
      </vt:variant>
      <vt:variant>
        <vt:i4>3801203</vt:i4>
      </vt:variant>
      <vt:variant>
        <vt:i4>177</vt:i4>
      </vt:variant>
      <vt:variant>
        <vt:i4>0</vt:i4>
      </vt:variant>
      <vt:variant>
        <vt:i4>5</vt:i4>
      </vt:variant>
      <vt:variant>
        <vt:lpwstr>https://www.ndis.gov.au/media/1562/download</vt:lpwstr>
      </vt:variant>
      <vt:variant>
        <vt:lpwstr/>
      </vt:variant>
      <vt:variant>
        <vt:i4>262258</vt:i4>
      </vt:variant>
      <vt:variant>
        <vt:i4>174</vt:i4>
      </vt:variant>
      <vt:variant>
        <vt:i4>0</vt:i4>
      </vt:variant>
      <vt:variant>
        <vt:i4>5</vt:i4>
      </vt:variant>
      <vt:variant>
        <vt:lpwstr>https://www.cadr.org.au/images/Publications_Files/ndis_economic_benefits main (1).pdf</vt:lpwstr>
      </vt:variant>
      <vt:variant>
        <vt:lpwstr/>
      </vt:variant>
      <vt:variant>
        <vt:i4>1376291</vt:i4>
      </vt:variant>
      <vt:variant>
        <vt:i4>171</vt:i4>
      </vt:variant>
      <vt:variant>
        <vt:i4>0</vt:i4>
      </vt:variant>
      <vt:variant>
        <vt:i4>5</vt:i4>
      </vt:variant>
      <vt:variant>
        <vt:lpwstr>https://engage.dss.gov.au/wp-content/uploads/2017/12/discussion_paper_-_ensuring_a_strong_future_for_supported_employment.pdf</vt:lpwstr>
      </vt:variant>
      <vt:variant>
        <vt:lpwstr/>
      </vt:variant>
      <vt:variant>
        <vt:i4>3145770</vt:i4>
      </vt:variant>
      <vt:variant>
        <vt:i4>168</vt:i4>
      </vt:variant>
      <vt:variant>
        <vt:i4>0</vt:i4>
      </vt:variant>
      <vt:variant>
        <vt:i4>5</vt:i4>
      </vt:variant>
      <vt:variant>
        <vt:lpwstr>https://www2.deloitte.com/content/dam/Deloitte/au/Documents/Economics/deloitte-au-economic-benefits-increasing-employment-for-people-with-disability-010811.pdf</vt:lpwstr>
      </vt:variant>
      <vt:variant>
        <vt:lpwstr/>
      </vt:variant>
      <vt:variant>
        <vt:i4>8192047</vt:i4>
      </vt:variant>
      <vt:variant>
        <vt:i4>165</vt:i4>
      </vt:variant>
      <vt:variant>
        <vt:i4>0</vt:i4>
      </vt:variant>
      <vt:variant>
        <vt:i4>5</vt:i4>
      </vt:variant>
      <vt:variant>
        <vt:lpwstr>https://www.aihw.gov.au/getmedia/2e92f007-453d-48a1-9c6b-4c9531cf0371/aihw-phe-246.pdf.aspx?inline=true</vt:lpwstr>
      </vt:variant>
      <vt:variant>
        <vt:lpwstr/>
      </vt:variant>
      <vt:variant>
        <vt:i4>1179742</vt:i4>
      </vt:variant>
      <vt:variant>
        <vt:i4>162</vt:i4>
      </vt:variant>
      <vt:variant>
        <vt:i4>0</vt:i4>
      </vt:variant>
      <vt:variant>
        <vt:i4>5</vt:i4>
      </vt:variant>
      <vt:variant>
        <vt:lpwstr>https://doi.org/10.1177/1038416218772062</vt:lpwstr>
      </vt:variant>
      <vt:variant>
        <vt:lpwstr/>
      </vt:variant>
      <vt:variant>
        <vt:i4>5570615</vt:i4>
      </vt:variant>
      <vt:variant>
        <vt:i4>159</vt:i4>
      </vt:variant>
      <vt:variant>
        <vt:i4>0</vt:i4>
      </vt:variant>
      <vt:variant>
        <vt:i4>5</vt:i4>
      </vt:variant>
      <vt:variant>
        <vt:lpwstr>https://www.abs.gov.au/ausstats/abs@.nsf/mf/6202.0</vt:lpwstr>
      </vt:variant>
      <vt:variant>
        <vt:lpwstr/>
      </vt:variant>
      <vt:variant>
        <vt:i4>393285</vt:i4>
      </vt:variant>
      <vt:variant>
        <vt:i4>156</vt:i4>
      </vt:variant>
      <vt:variant>
        <vt:i4>0</vt:i4>
      </vt:variant>
      <vt:variant>
        <vt:i4>5</vt:i4>
      </vt:variant>
      <vt:variant>
        <vt:lpwstr>https://www.abs.gov.au/ausstats/abs%40.nsf/mediareleasesbyCatalogue/030E8BEF4B0B915ECA2582EA00193B04?OpenDocument</vt:lpwstr>
      </vt:variant>
      <vt:variant>
        <vt:lpwstr/>
      </vt:variant>
      <vt:variant>
        <vt:i4>6815789</vt:i4>
      </vt:variant>
      <vt:variant>
        <vt:i4>153</vt:i4>
      </vt:variant>
      <vt:variant>
        <vt:i4>0</vt:i4>
      </vt:variant>
      <vt:variant>
        <vt:i4>5</vt:i4>
      </vt:variant>
      <vt:variant>
        <vt:lpwstr>https://dx.doi.org/10.1111/1467-8462.12254</vt:lpwstr>
      </vt:variant>
      <vt:variant>
        <vt:lpwstr/>
      </vt:variant>
      <vt:variant>
        <vt:i4>393243</vt:i4>
      </vt:variant>
      <vt:variant>
        <vt:i4>150</vt:i4>
      </vt:variant>
      <vt:variant>
        <vt:i4>0</vt:i4>
      </vt:variant>
      <vt:variant>
        <vt:i4>5</vt:i4>
      </vt:variant>
      <vt:variant>
        <vt:lpwstr>https://ssrn.com/abstract=3132791</vt:lpwstr>
      </vt:variant>
      <vt:variant>
        <vt:lpwstr/>
      </vt:variant>
      <vt:variant>
        <vt:i4>262258</vt:i4>
      </vt:variant>
      <vt:variant>
        <vt:i4>105</vt:i4>
      </vt:variant>
      <vt:variant>
        <vt:i4>0</vt:i4>
      </vt:variant>
      <vt:variant>
        <vt:i4>5</vt:i4>
      </vt:variant>
      <vt:variant>
        <vt:lpwstr>https://www.cadr.org.au/images/Publications_Files/ndis_economic_benefits main (1).pdf</vt:lpwstr>
      </vt:variant>
      <vt:variant>
        <vt:lpwstr/>
      </vt:variant>
      <vt:variant>
        <vt:i4>589917</vt:i4>
      </vt:variant>
      <vt:variant>
        <vt:i4>102</vt:i4>
      </vt:variant>
      <vt:variant>
        <vt:i4>0</vt:i4>
      </vt:variant>
      <vt:variant>
        <vt:i4>5</vt:i4>
      </vt:variant>
      <vt:variant>
        <vt:lpwstr>https://www.nds.org.au/pdf-file/IMPORTED-F0EB-4011-9638-0219DA332D06</vt:lpwstr>
      </vt:variant>
      <vt:variant>
        <vt:lpwstr/>
      </vt:variant>
      <vt:variant>
        <vt:i4>3145770</vt:i4>
      </vt:variant>
      <vt:variant>
        <vt:i4>99</vt:i4>
      </vt:variant>
      <vt:variant>
        <vt:i4>0</vt:i4>
      </vt:variant>
      <vt:variant>
        <vt:i4>5</vt:i4>
      </vt:variant>
      <vt:variant>
        <vt:lpwstr>https://www2.deloitte.com/content/dam/Deloitte/au/Documents/Economics/deloitte-au-economic-benefits-increasing-employment-for-people-with-disability-010811.pdf</vt:lpwstr>
      </vt:variant>
      <vt:variant>
        <vt:lpwstr/>
      </vt:variant>
      <vt:variant>
        <vt:i4>3801203</vt:i4>
      </vt:variant>
      <vt:variant>
        <vt:i4>96</vt:i4>
      </vt:variant>
      <vt:variant>
        <vt:i4>0</vt:i4>
      </vt:variant>
      <vt:variant>
        <vt:i4>5</vt:i4>
      </vt:variant>
      <vt:variant>
        <vt:lpwstr>https://www.ndis.gov.au/media/1562/download</vt:lpwstr>
      </vt:variant>
      <vt:variant>
        <vt:lpwstr/>
      </vt:variant>
      <vt:variant>
        <vt:i4>7012474</vt:i4>
      </vt:variant>
      <vt:variant>
        <vt:i4>93</vt:i4>
      </vt:variant>
      <vt:variant>
        <vt:i4>0</vt:i4>
      </vt:variant>
      <vt:variant>
        <vt:i4>5</vt:i4>
      </vt:variant>
      <vt:variant>
        <vt:lpwstr>https://www.pc.gov.au/inquiries/completed/disability-support/report/disability-support-volume2.pdf</vt:lpwstr>
      </vt:variant>
      <vt:variant>
        <vt:lpwstr/>
      </vt:variant>
      <vt:variant>
        <vt:i4>5373967</vt:i4>
      </vt:variant>
      <vt:variant>
        <vt:i4>87</vt:i4>
      </vt:variant>
      <vt:variant>
        <vt:i4>0</vt:i4>
      </vt:variant>
      <vt:variant>
        <vt:i4>5</vt:i4>
      </vt:variant>
      <vt:variant>
        <vt:lpwstr>https://www.pc.gov.au/research/supporting/input-output-tables/input-output-tables.pdf</vt:lpwstr>
      </vt:variant>
      <vt:variant>
        <vt:lpwstr/>
      </vt:variant>
      <vt:variant>
        <vt:i4>1179695</vt:i4>
      </vt:variant>
      <vt:variant>
        <vt:i4>66</vt:i4>
      </vt:variant>
      <vt:variant>
        <vt:i4>0</vt:i4>
      </vt:variant>
      <vt:variant>
        <vt:i4>5</vt:i4>
      </vt:variant>
      <vt:variant>
        <vt:lpwstr>https://svaltd-my.sharepoint.com/personal/madams_socialventures_com_au/Documents/ttw</vt:lpwstr>
      </vt:variant>
      <vt:variant>
        <vt:lpwstr/>
      </vt:variant>
      <vt:variant>
        <vt:i4>1376311</vt:i4>
      </vt:variant>
      <vt:variant>
        <vt:i4>53</vt:i4>
      </vt:variant>
      <vt:variant>
        <vt:i4>0</vt:i4>
      </vt:variant>
      <vt:variant>
        <vt:i4>5</vt:i4>
      </vt:variant>
      <vt:variant>
        <vt:lpwstr/>
      </vt:variant>
      <vt:variant>
        <vt:lpwstr>_Toc20652512</vt:lpwstr>
      </vt:variant>
      <vt:variant>
        <vt:i4>1441847</vt:i4>
      </vt:variant>
      <vt:variant>
        <vt:i4>47</vt:i4>
      </vt:variant>
      <vt:variant>
        <vt:i4>0</vt:i4>
      </vt:variant>
      <vt:variant>
        <vt:i4>5</vt:i4>
      </vt:variant>
      <vt:variant>
        <vt:lpwstr/>
      </vt:variant>
      <vt:variant>
        <vt:lpwstr>_Toc20652511</vt:lpwstr>
      </vt:variant>
      <vt:variant>
        <vt:i4>1507383</vt:i4>
      </vt:variant>
      <vt:variant>
        <vt:i4>41</vt:i4>
      </vt:variant>
      <vt:variant>
        <vt:i4>0</vt:i4>
      </vt:variant>
      <vt:variant>
        <vt:i4>5</vt:i4>
      </vt:variant>
      <vt:variant>
        <vt:lpwstr/>
      </vt:variant>
      <vt:variant>
        <vt:lpwstr>_Toc20652510</vt:lpwstr>
      </vt:variant>
      <vt:variant>
        <vt:i4>1966134</vt:i4>
      </vt:variant>
      <vt:variant>
        <vt:i4>35</vt:i4>
      </vt:variant>
      <vt:variant>
        <vt:i4>0</vt:i4>
      </vt:variant>
      <vt:variant>
        <vt:i4>5</vt:i4>
      </vt:variant>
      <vt:variant>
        <vt:lpwstr/>
      </vt:variant>
      <vt:variant>
        <vt:lpwstr>_Toc20652509</vt:lpwstr>
      </vt:variant>
      <vt:variant>
        <vt:i4>2031670</vt:i4>
      </vt:variant>
      <vt:variant>
        <vt:i4>29</vt:i4>
      </vt:variant>
      <vt:variant>
        <vt:i4>0</vt:i4>
      </vt:variant>
      <vt:variant>
        <vt:i4>5</vt:i4>
      </vt:variant>
      <vt:variant>
        <vt:lpwstr/>
      </vt:variant>
      <vt:variant>
        <vt:lpwstr>_Toc20652508</vt:lpwstr>
      </vt:variant>
      <vt:variant>
        <vt:i4>1048630</vt:i4>
      </vt:variant>
      <vt:variant>
        <vt:i4>23</vt:i4>
      </vt:variant>
      <vt:variant>
        <vt:i4>0</vt:i4>
      </vt:variant>
      <vt:variant>
        <vt:i4>5</vt:i4>
      </vt:variant>
      <vt:variant>
        <vt:lpwstr/>
      </vt:variant>
      <vt:variant>
        <vt:lpwstr>_Toc20652507</vt:lpwstr>
      </vt:variant>
      <vt:variant>
        <vt:i4>1114166</vt:i4>
      </vt:variant>
      <vt:variant>
        <vt:i4>17</vt:i4>
      </vt:variant>
      <vt:variant>
        <vt:i4>0</vt:i4>
      </vt:variant>
      <vt:variant>
        <vt:i4>5</vt:i4>
      </vt:variant>
      <vt:variant>
        <vt:lpwstr/>
      </vt:variant>
      <vt:variant>
        <vt:lpwstr>_Toc20652506</vt:lpwstr>
      </vt:variant>
      <vt:variant>
        <vt:i4>1179702</vt:i4>
      </vt:variant>
      <vt:variant>
        <vt:i4>11</vt:i4>
      </vt:variant>
      <vt:variant>
        <vt:i4>0</vt:i4>
      </vt:variant>
      <vt:variant>
        <vt:i4>5</vt:i4>
      </vt:variant>
      <vt:variant>
        <vt:lpwstr/>
      </vt:variant>
      <vt:variant>
        <vt:lpwstr>_Toc20652505</vt:lpwstr>
      </vt:variant>
      <vt:variant>
        <vt:i4>4980763</vt:i4>
      </vt:variant>
      <vt:variant>
        <vt:i4>9</vt:i4>
      </vt:variant>
      <vt:variant>
        <vt:i4>0</vt:i4>
      </vt:variant>
      <vt:variant>
        <vt:i4>5</vt:i4>
      </vt:variant>
      <vt:variant>
        <vt:lpwstr>http://www.tickettowork.org.au/ticket-work-results-2014-2018/</vt:lpwstr>
      </vt:variant>
      <vt:variant>
        <vt:lpwstr/>
      </vt:variant>
      <vt:variant>
        <vt:i4>2621537</vt:i4>
      </vt:variant>
      <vt:variant>
        <vt:i4>6</vt:i4>
      </vt:variant>
      <vt:variant>
        <vt:i4>0</vt:i4>
      </vt:variant>
      <vt:variant>
        <vt:i4>5</vt:i4>
      </vt:variant>
      <vt:variant>
        <vt:lpwstr>http://lmip.gov.au/default.aspx?LMIP/Downloads/DisabilityEmploymentServicesData/MonthlyData</vt:lpwstr>
      </vt:variant>
      <vt:variant>
        <vt:lpwstr/>
      </vt:variant>
      <vt:variant>
        <vt:i4>3145852</vt:i4>
      </vt:variant>
      <vt:variant>
        <vt:i4>3</vt:i4>
      </vt:variant>
      <vt:variant>
        <vt:i4>0</vt:i4>
      </vt:variant>
      <vt:variant>
        <vt:i4>5</vt:i4>
      </vt:variant>
      <vt:variant>
        <vt:lpwstr>https://www.ndis.gov.au/media/1598/download</vt:lpwstr>
      </vt:variant>
      <vt:variant>
        <vt:lpwstr/>
      </vt:variant>
      <vt:variant>
        <vt:i4>3276842</vt:i4>
      </vt:variant>
      <vt:variant>
        <vt:i4>0</vt:i4>
      </vt:variant>
      <vt:variant>
        <vt:i4>0</vt:i4>
      </vt:variant>
      <vt:variant>
        <vt:i4>5</vt:i4>
      </vt:variant>
      <vt:variant>
        <vt:lpwstr>https://www.ndis.gov.au/media/746/download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2021-03-04T07:33:00Z</dcterms:created>
  <dcterms:modified xsi:type="dcterms:W3CDTF">2021-03-04T07:33:00Z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45;#Templates|2aca8c9b-8b19-4796-bff0-42c162b70e5e</vt:lpwstr>
  </property>
  <property fmtid="{D5CDD505-2E9C-101B-9397-08002B2CF9AE}" pid="3" name="ContentTypeId">
    <vt:lpwstr>0x010100141E3C1D5919A34D855041039386C48D</vt:lpwstr>
  </property>
  <property fmtid="{D5CDD505-2E9C-101B-9397-08002B2CF9AE}" pid="4" name="ZOTERO_PREF_1">
    <vt:lpwstr>&lt;data data-version="3" zotero-version="5.0.73"&gt;&lt;session id="JopdITGz"/&gt;&lt;style id="http://www.zotero.org/styles/chicago-author-date" locale="en-US" hasBibliography="1" bibliographyStyleHasBeenSet="1"/&gt;&lt;prefs&gt;&lt;pref name="fieldType" value="Field"/&gt;&lt;pref name</vt:lpwstr>
  </property>
  <property fmtid="{D5CDD505-2E9C-101B-9397-08002B2CF9AE}" pid="5" name="Marketing topic">
    <vt:lpwstr/>
  </property>
  <property fmtid="{D5CDD505-2E9C-101B-9397-08002B2CF9AE}" pid="6" name="Department">
    <vt:lpwstr>8;#Marketing Materials|b67e5859-8e34-4a7d-b041-84ecbc8d6000</vt:lpwstr>
  </property>
  <property fmtid="{D5CDD505-2E9C-101B-9397-08002B2CF9AE}" pid="7" name="Sub topic">
    <vt:lpwstr/>
  </property>
  <property fmtid="{D5CDD505-2E9C-101B-9397-08002B2CF9AE}" pid="8" name="ZOTERO_PREF_2">
    <vt:lpwstr>="automaticJournalAbbreviations" value="true"/&gt;&lt;/prefs&gt;&lt;/data&gt;</vt:lpwstr>
  </property>
  <property fmtid="{D5CDD505-2E9C-101B-9397-08002B2CF9AE}" pid="9" name="Document Type">
    <vt:lpwstr>24;#Template|4a8052d2-41ad-41dd-8c0d-6bf597d4dafa</vt:lpwstr>
  </property>
</Properties>
</file>