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4769" w14:textId="1EF28C37" w:rsidR="006842DA" w:rsidRDefault="00EA1A63" w:rsidP="00216AF7">
      <w:pPr>
        <w:pStyle w:val="NoSpacing"/>
        <w:spacing w:line="276" w:lineRule="auto"/>
        <w:rPr>
          <w:rFonts w:ascii="Arial" w:hAnsi="Arial" w:cs="Arial"/>
          <w:b/>
          <w:sz w:val="32"/>
          <w:szCs w:val="32"/>
        </w:rPr>
      </w:pPr>
      <w:bookmarkStart w:id="0" w:name="_GoBack"/>
      <w:bookmarkEnd w:id="0"/>
      <w:r w:rsidRPr="00AC2F94">
        <w:rPr>
          <w:rFonts w:ascii="Arial" w:hAnsi="Arial" w:cs="Arial"/>
          <w:b/>
          <w:sz w:val="32"/>
          <w:szCs w:val="32"/>
        </w:rPr>
        <w:t xml:space="preserve">Recommendation for </w:t>
      </w:r>
      <w:r w:rsidR="005425CE" w:rsidRPr="00AC2F94">
        <w:rPr>
          <w:rFonts w:ascii="Arial" w:hAnsi="Arial" w:cs="Arial"/>
          <w:b/>
          <w:sz w:val="32"/>
          <w:szCs w:val="32"/>
        </w:rPr>
        <w:t>Disabilit</w:t>
      </w:r>
      <w:r w:rsidR="005F0915" w:rsidRPr="00AC2F94">
        <w:rPr>
          <w:rFonts w:ascii="Arial" w:hAnsi="Arial" w:cs="Arial"/>
          <w:b/>
          <w:sz w:val="32"/>
          <w:szCs w:val="32"/>
        </w:rPr>
        <w:t>y Employment Services</w:t>
      </w:r>
      <w:r w:rsidR="00D85ABB" w:rsidRPr="00AC2F94">
        <w:rPr>
          <w:rFonts w:ascii="Arial" w:hAnsi="Arial" w:cs="Arial"/>
          <w:b/>
          <w:sz w:val="32"/>
          <w:szCs w:val="32"/>
        </w:rPr>
        <w:t xml:space="preserve"> (DES)</w:t>
      </w:r>
      <w:r w:rsidR="00216AF7" w:rsidRPr="00AC2F94">
        <w:rPr>
          <w:rFonts w:ascii="Arial" w:hAnsi="Arial" w:cs="Arial"/>
          <w:b/>
          <w:sz w:val="32"/>
          <w:szCs w:val="32"/>
        </w:rPr>
        <w:t xml:space="preserve"> and the </w:t>
      </w:r>
      <w:r w:rsidR="00A4081E" w:rsidRPr="00AC2F94">
        <w:rPr>
          <w:rFonts w:ascii="Arial" w:hAnsi="Arial" w:cs="Arial"/>
          <w:b/>
          <w:sz w:val="32"/>
          <w:szCs w:val="32"/>
        </w:rPr>
        <w:t>I</w:t>
      </w:r>
      <w:r w:rsidR="001F787D" w:rsidRPr="00AC2F94">
        <w:rPr>
          <w:rFonts w:ascii="Arial" w:hAnsi="Arial" w:cs="Arial"/>
          <w:b/>
          <w:sz w:val="32"/>
          <w:szCs w:val="32"/>
        </w:rPr>
        <w:t>mproved</w:t>
      </w:r>
      <w:r w:rsidR="00216AF7" w:rsidRPr="00AC2F94">
        <w:rPr>
          <w:rFonts w:ascii="Arial" w:hAnsi="Arial" w:cs="Arial"/>
          <w:b/>
          <w:sz w:val="32"/>
          <w:szCs w:val="32"/>
        </w:rPr>
        <w:t xml:space="preserve"> </w:t>
      </w:r>
      <w:r w:rsidR="00A4081E" w:rsidRPr="00AC2F94">
        <w:rPr>
          <w:rFonts w:ascii="Arial" w:hAnsi="Arial" w:cs="Arial"/>
          <w:b/>
          <w:sz w:val="32"/>
          <w:szCs w:val="32"/>
        </w:rPr>
        <w:t>T</w:t>
      </w:r>
      <w:r w:rsidR="00D85ABB" w:rsidRPr="00AC2F94">
        <w:rPr>
          <w:rFonts w:ascii="Arial" w:hAnsi="Arial" w:cs="Arial"/>
          <w:b/>
          <w:sz w:val="32"/>
          <w:szCs w:val="32"/>
        </w:rPr>
        <w:t xml:space="preserve">ransition from </w:t>
      </w:r>
      <w:r w:rsidR="00A4081E" w:rsidRPr="00AC2F94">
        <w:rPr>
          <w:rFonts w:ascii="Arial" w:hAnsi="Arial" w:cs="Arial"/>
          <w:b/>
          <w:sz w:val="32"/>
          <w:szCs w:val="32"/>
        </w:rPr>
        <w:t>S</w:t>
      </w:r>
      <w:r w:rsidR="00D85ABB" w:rsidRPr="00AC2F94">
        <w:rPr>
          <w:rFonts w:ascii="Arial" w:hAnsi="Arial" w:cs="Arial"/>
          <w:b/>
          <w:sz w:val="32"/>
          <w:szCs w:val="32"/>
        </w:rPr>
        <w:t xml:space="preserve">chool to </w:t>
      </w:r>
      <w:r w:rsidR="00A4081E" w:rsidRPr="00AC2F94">
        <w:rPr>
          <w:rFonts w:ascii="Arial" w:hAnsi="Arial" w:cs="Arial"/>
          <w:b/>
          <w:sz w:val="32"/>
          <w:szCs w:val="32"/>
        </w:rPr>
        <w:t>W</w:t>
      </w:r>
      <w:r w:rsidR="00D85ABB" w:rsidRPr="00AC2F94">
        <w:rPr>
          <w:rFonts w:ascii="Arial" w:hAnsi="Arial" w:cs="Arial"/>
          <w:b/>
          <w:sz w:val="32"/>
          <w:szCs w:val="32"/>
        </w:rPr>
        <w:t xml:space="preserve">ork </w:t>
      </w:r>
    </w:p>
    <w:p w14:paraId="59F9D818" w14:textId="303A29DB" w:rsidR="000B6670" w:rsidRPr="00AC2F94" w:rsidRDefault="000B6670" w:rsidP="00216AF7">
      <w:pPr>
        <w:pStyle w:val="NoSpacing"/>
        <w:spacing w:line="276" w:lineRule="auto"/>
        <w:rPr>
          <w:rFonts w:ascii="Arial" w:hAnsi="Arial" w:cs="Arial"/>
          <w:b/>
          <w:sz w:val="32"/>
          <w:szCs w:val="32"/>
        </w:rPr>
      </w:pPr>
      <w:r>
        <w:rPr>
          <w:rFonts w:ascii="Arial" w:hAnsi="Arial" w:cs="Arial"/>
          <w:b/>
          <w:sz w:val="32"/>
          <w:szCs w:val="32"/>
        </w:rPr>
        <w:t>2015</w:t>
      </w:r>
    </w:p>
    <w:p w14:paraId="66AF7AE8" w14:textId="77777777" w:rsidR="00216AF7" w:rsidRPr="00AC2F94" w:rsidRDefault="00216AF7" w:rsidP="00216AF7">
      <w:pPr>
        <w:pStyle w:val="NoSpacing"/>
        <w:spacing w:line="276" w:lineRule="auto"/>
        <w:rPr>
          <w:rFonts w:ascii="Arial" w:hAnsi="Arial" w:cs="Arial"/>
          <w:b/>
          <w:sz w:val="20"/>
          <w:szCs w:val="20"/>
        </w:rPr>
      </w:pPr>
    </w:p>
    <w:p w14:paraId="750B088B" w14:textId="77777777" w:rsidR="00C353DA" w:rsidRPr="00AC2F94" w:rsidRDefault="00C353DA" w:rsidP="00C353DA">
      <w:pPr>
        <w:tabs>
          <w:tab w:val="left" w:pos="360"/>
        </w:tabs>
        <w:autoSpaceDE w:val="0"/>
        <w:autoSpaceDN w:val="0"/>
        <w:adjustRightInd w:val="0"/>
        <w:spacing w:after="120" w:line="276" w:lineRule="auto"/>
        <w:ind w:right="-139"/>
        <w:rPr>
          <w:rFonts w:ascii="Arial" w:hAnsi="Arial" w:cs="Arial"/>
          <w:b/>
          <w:sz w:val="28"/>
          <w:szCs w:val="28"/>
        </w:rPr>
      </w:pPr>
      <w:r w:rsidRPr="00AC2F94">
        <w:rPr>
          <w:rFonts w:ascii="Arial" w:hAnsi="Arial" w:cs="Arial"/>
          <w:b/>
          <w:sz w:val="28"/>
          <w:szCs w:val="28"/>
        </w:rPr>
        <w:t>Summary</w:t>
      </w:r>
    </w:p>
    <w:p w14:paraId="4353BCC6" w14:textId="77777777" w:rsidR="003C1FA8" w:rsidRPr="00AC2F94" w:rsidRDefault="006842DA" w:rsidP="00C353DA">
      <w:pPr>
        <w:tabs>
          <w:tab w:val="left" w:pos="360"/>
        </w:tabs>
        <w:autoSpaceDE w:val="0"/>
        <w:autoSpaceDN w:val="0"/>
        <w:adjustRightInd w:val="0"/>
        <w:spacing w:after="120" w:line="276" w:lineRule="auto"/>
        <w:ind w:right="-139"/>
        <w:rPr>
          <w:rFonts w:ascii="Arial" w:hAnsi="Arial" w:cs="Arial"/>
          <w:b/>
          <w:sz w:val="24"/>
          <w:szCs w:val="24"/>
          <w:u w:val="single"/>
        </w:rPr>
      </w:pPr>
      <w:r w:rsidRPr="00AC2F94">
        <w:rPr>
          <w:rFonts w:ascii="Arial" w:hAnsi="Arial" w:cs="Arial"/>
          <w:sz w:val="24"/>
          <w:szCs w:val="24"/>
        </w:rPr>
        <w:t>T</w:t>
      </w:r>
      <w:r w:rsidR="00D85ABB" w:rsidRPr="00AC2F94">
        <w:rPr>
          <w:rFonts w:ascii="Arial" w:hAnsi="Arial" w:cs="Arial"/>
          <w:sz w:val="24"/>
          <w:szCs w:val="24"/>
        </w:rPr>
        <w:t xml:space="preserve">his document </w:t>
      </w:r>
      <w:r w:rsidRPr="00AC2F94">
        <w:rPr>
          <w:rFonts w:ascii="Arial" w:hAnsi="Arial" w:cs="Arial"/>
          <w:sz w:val="24"/>
          <w:szCs w:val="24"/>
        </w:rPr>
        <w:t xml:space="preserve">describes the Ticket to Work initiative and its connection to </w:t>
      </w:r>
      <w:r w:rsidR="00ED79A5" w:rsidRPr="00AC2F94">
        <w:rPr>
          <w:rFonts w:ascii="Arial" w:hAnsi="Arial" w:cs="Arial"/>
          <w:sz w:val="24"/>
          <w:szCs w:val="24"/>
        </w:rPr>
        <w:t>Disability Employment Services (DES)</w:t>
      </w:r>
      <w:r w:rsidR="00ED79A5" w:rsidRPr="00AC2F94">
        <w:rPr>
          <w:rFonts w:ascii="Arial" w:hAnsi="Arial" w:cs="Arial"/>
          <w:b/>
          <w:sz w:val="24"/>
          <w:szCs w:val="24"/>
        </w:rPr>
        <w:t xml:space="preserve"> </w:t>
      </w:r>
      <w:r w:rsidR="00ED79A5" w:rsidRPr="00AC2F94">
        <w:rPr>
          <w:rFonts w:ascii="Arial" w:hAnsi="Arial" w:cs="Arial"/>
          <w:sz w:val="24"/>
          <w:szCs w:val="24"/>
        </w:rPr>
        <w:t>guidelines</w:t>
      </w:r>
      <w:r w:rsidR="005053DE" w:rsidRPr="00AC2F94">
        <w:rPr>
          <w:rFonts w:ascii="Arial" w:hAnsi="Arial" w:cs="Arial"/>
          <w:sz w:val="24"/>
          <w:szCs w:val="24"/>
        </w:rPr>
        <w:t>,</w:t>
      </w:r>
      <w:r w:rsidR="00ED79A5" w:rsidRPr="00AC2F94">
        <w:rPr>
          <w:rFonts w:ascii="Arial" w:hAnsi="Arial" w:cs="Arial"/>
          <w:sz w:val="24"/>
          <w:szCs w:val="24"/>
        </w:rPr>
        <w:t xml:space="preserve"> particularly</w:t>
      </w:r>
      <w:r w:rsidR="00ED79A5" w:rsidRPr="00AC2F94">
        <w:rPr>
          <w:rFonts w:ascii="Arial" w:hAnsi="Arial" w:cs="Arial"/>
          <w:b/>
          <w:sz w:val="24"/>
          <w:szCs w:val="24"/>
        </w:rPr>
        <w:t xml:space="preserve"> </w:t>
      </w:r>
      <w:r w:rsidRPr="00AC2F94">
        <w:rPr>
          <w:rFonts w:ascii="Arial" w:hAnsi="Arial" w:cs="Arial"/>
          <w:sz w:val="24"/>
          <w:szCs w:val="24"/>
        </w:rPr>
        <w:t xml:space="preserve">the Eligible School Leaver </w:t>
      </w:r>
      <w:r w:rsidR="006C0355" w:rsidRPr="00AC2F94">
        <w:rPr>
          <w:rFonts w:ascii="Arial" w:hAnsi="Arial" w:cs="Arial"/>
          <w:sz w:val="24"/>
          <w:szCs w:val="24"/>
        </w:rPr>
        <w:t>(ESL) G</w:t>
      </w:r>
      <w:r w:rsidRPr="00AC2F94">
        <w:rPr>
          <w:rFonts w:ascii="Arial" w:hAnsi="Arial" w:cs="Arial"/>
          <w:sz w:val="24"/>
          <w:szCs w:val="24"/>
        </w:rPr>
        <w:t xml:space="preserve">uidelines that underpin </w:t>
      </w:r>
      <w:r w:rsidR="00216AF7" w:rsidRPr="00AC2F94">
        <w:rPr>
          <w:rFonts w:ascii="Arial" w:hAnsi="Arial" w:cs="Arial"/>
          <w:sz w:val="24"/>
          <w:szCs w:val="24"/>
        </w:rPr>
        <w:t xml:space="preserve">DES </w:t>
      </w:r>
      <w:r w:rsidR="00ED79A5" w:rsidRPr="00AC2F94">
        <w:rPr>
          <w:rFonts w:ascii="Arial" w:hAnsi="Arial" w:cs="Arial"/>
          <w:sz w:val="24"/>
          <w:szCs w:val="24"/>
        </w:rPr>
        <w:t>provider involvement in the Ticket to Work</w:t>
      </w:r>
      <w:r w:rsidRPr="00AC2F94">
        <w:rPr>
          <w:rFonts w:ascii="Arial" w:hAnsi="Arial" w:cs="Arial"/>
          <w:sz w:val="24"/>
          <w:szCs w:val="24"/>
        </w:rPr>
        <w:t xml:space="preserve"> initiative.  </w:t>
      </w:r>
    </w:p>
    <w:p w14:paraId="7E7DD091" w14:textId="77777777" w:rsidR="0042112B" w:rsidRPr="00AC2F94" w:rsidRDefault="003C1FA8" w:rsidP="0042112B">
      <w:pPr>
        <w:spacing w:after="120" w:line="276" w:lineRule="auto"/>
        <w:jc w:val="both"/>
        <w:rPr>
          <w:rFonts w:ascii="Arial" w:hAnsi="Arial" w:cs="Arial"/>
          <w:sz w:val="24"/>
          <w:szCs w:val="24"/>
        </w:rPr>
      </w:pPr>
      <w:r w:rsidRPr="00AC2F94">
        <w:rPr>
          <w:rFonts w:ascii="Arial" w:hAnsi="Arial" w:cs="Arial"/>
          <w:sz w:val="24"/>
          <w:szCs w:val="24"/>
        </w:rPr>
        <w:t>Overall</w:t>
      </w:r>
      <w:r w:rsidR="005053DE" w:rsidRPr="00AC2F94">
        <w:rPr>
          <w:rFonts w:ascii="Arial" w:hAnsi="Arial" w:cs="Arial"/>
          <w:sz w:val="24"/>
          <w:szCs w:val="24"/>
        </w:rPr>
        <w:t>,</w:t>
      </w:r>
      <w:r w:rsidRPr="00AC2F94">
        <w:rPr>
          <w:rFonts w:ascii="Arial" w:hAnsi="Arial" w:cs="Arial"/>
          <w:sz w:val="24"/>
          <w:szCs w:val="24"/>
        </w:rPr>
        <w:t xml:space="preserve"> we acknowledge the critical role that dedicated DES support plays in preparing students with disability to make a successful transition from school and into sustainable </w:t>
      </w:r>
      <w:r w:rsidR="00AC2F94">
        <w:rPr>
          <w:rFonts w:ascii="Arial" w:hAnsi="Arial" w:cs="Arial"/>
          <w:sz w:val="24"/>
          <w:szCs w:val="24"/>
        </w:rPr>
        <w:t xml:space="preserve">open </w:t>
      </w:r>
      <w:r w:rsidRPr="00AC2F94">
        <w:rPr>
          <w:rFonts w:ascii="Arial" w:hAnsi="Arial" w:cs="Arial"/>
          <w:sz w:val="24"/>
          <w:szCs w:val="24"/>
        </w:rPr>
        <w:t>employment.  Our responses</w:t>
      </w:r>
      <w:r w:rsidR="00ED79A5" w:rsidRPr="00AC2F94">
        <w:rPr>
          <w:rFonts w:ascii="Arial" w:hAnsi="Arial" w:cs="Arial"/>
          <w:sz w:val="24"/>
          <w:szCs w:val="24"/>
        </w:rPr>
        <w:t>, rationale</w:t>
      </w:r>
      <w:r w:rsidRPr="00AC2F94">
        <w:rPr>
          <w:rFonts w:ascii="Arial" w:hAnsi="Arial" w:cs="Arial"/>
          <w:sz w:val="24"/>
          <w:szCs w:val="24"/>
        </w:rPr>
        <w:t xml:space="preserve"> </w:t>
      </w:r>
      <w:r w:rsidRPr="00AC2F94">
        <w:rPr>
          <w:rFonts w:ascii="Arial" w:hAnsi="Arial" w:cs="Arial"/>
          <w:sz w:val="24"/>
          <w:szCs w:val="24"/>
        </w:rPr>
        <w:lastRenderedPageBreak/>
        <w:t>and recommendations are centred</w:t>
      </w:r>
      <w:r w:rsidR="00D85ABB" w:rsidRPr="00AC2F94">
        <w:rPr>
          <w:rFonts w:ascii="Arial" w:hAnsi="Arial" w:cs="Arial"/>
          <w:sz w:val="24"/>
          <w:szCs w:val="24"/>
        </w:rPr>
        <w:t xml:space="preserve"> on aspects of the </w:t>
      </w:r>
      <w:r w:rsidRPr="00AC2F94">
        <w:rPr>
          <w:rFonts w:ascii="Arial" w:hAnsi="Arial" w:cs="Arial"/>
          <w:sz w:val="24"/>
          <w:szCs w:val="24"/>
        </w:rPr>
        <w:t xml:space="preserve">guidelines </w:t>
      </w:r>
      <w:r w:rsidR="00D85ABB" w:rsidRPr="00AC2F94">
        <w:rPr>
          <w:rFonts w:ascii="Arial" w:hAnsi="Arial" w:cs="Arial"/>
          <w:sz w:val="24"/>
          <w:szCs w:val="24"/>
        </w:rPr>
        <w:t>that impinge</w:t>
      </w:r>
      <w:r w:rsidR="005053DE" w:rsidRPr="00AC2F94">
        <w:rPr>
          <w:rFonts w:ascii="Arial" w:hAnsi="Arial" w:cs="Arial"/>
          <w:sz w:val="24"/>
          <w:szCs w:val="24"/>
        </w:rPr>
        <w:t xml:space="preserve"> on</w:t>
      </w:r>
      <w:r w:rsidR="00D85ABB" w:rsidRPr="00AC2F94">
        <w:rPr>
          <w:rFonts w:ascii="Arial" w:hAnsi="Arial" w:cs="Arial"/>
          <w:sz w:val="24"/>
          <w:szCs w:val="24"/>
        </w:rPr>
        <w:t xml:space="preserve"> the ability of DES providers to either engage with Ticket to Work </w:t>
      </w:r>
      <w:r w:rsidR="00ED79A5" w:rsidRPr="00AC2F94">
        <w:rPr>
          <w:rFonts w:ascii="Arial" w:hAnsi="Arial" w:cs="Arial"/>
          <w:sz w:val="24"/>
          <w:szCs w:val="24"/>
        </w:rPr>
        <w:t>and/</w:t>
      </w:r>
      <w:r w:rsidR="00D85ABB" w:rsidRPr="00AC2F94">
        <w:rPr>
          <w:rFonts w:ascii="Arial" w:hAnsi="Arial" w:cs="Arial"/>
          <w:sz w:val="24"/>
          <w:szCs w:val="24"/>
        </w:rPr>
        <w:t xml:space="preserve">or support students </w:t>
      </w:r>
      <w:r w:rsidR="005053DE" w:rsidRPr="00AC2F94">
        <w:rPr>
          <w:rFonts w:ascii="Arial" w:hAnsi="Arial" w:cs="Arial"/>
          <w:sz w:val="24"/>
          <w:szCs w:val="24"/>
        </w:rPr>
        <w:t>in making</w:t>
      </w:r>
      <w:r w:rsidR="00D85ABB" w:rsidRPr="00AC2F94">
        <w:rPr>
          <w:rFonts w:ascii="Arial" w:hAnsi="Arial" w:cs="Arial"/>
          <w:sz w:val="24"/>
          <w:szCs w:val="24"/>
        </w:rPr>
        <w:t xml:space="preserve"> a successful transition. </w:t>
      </w:r>
      <w:r w:rsidR="0042112B" w:rsidRPr="00AC2F94">
        <w:rPr>
          <w:rFonts w:ascii="Arial" w:hAnsi="Arial" w:cs="Arial"/>
          <w:sz w:val="24"/>
          <w:szCs w:val="24"/>
        </w:rPr>
        <w:t xml:space="preserve">Some of the recommendation have been presented previously </w:t>
      </w:r>
      <w:r w:rsidR="00B21019" w:rsidRPr="00AC2F94">
        <w:rPr>
          <w:rFonts w:ascii="Arial" w:hAnsi="Arial" w:cs="Arial"/>
          <w:sz w:val="24"/>
          <w:szCs w:val="24"/>
        </w:rPr>
        <w:t xml:space="preserve">to the Department of Social services </w:t>
      </w:r>
      <w:r w:rsidR="0042112B" w:rsidRPr="00AC2F94">
        <w:rPr>
          <w:rFonts w:ascii="Arial" w:hAnsi="Arial" w:cs="Arial"/>
          <w:sz w:val="24"/>
          <w:szCs w:val="24"/>
        </w:rPr>
        <w:t xml:space="preserve">and while we appreciate that there are restrictions in the current DES contract we would like to highlight elements that would support the transition of young people with disability into employment. </w:t>
      </w:r>
    </w:p>
    <w:p w14:paraId="3BB7464F" w14:textId="77777777" w:rsidR="005D004F" w:rsidRPr="00AC2F94" w:rsidRDefault="005D004F" w:rsidP="00D85ABB">
      <w:pPr>
        <w:pStyle w:val="NoSpacing"/>
        <w:spacing w:after="120" w:line="276" w:lineRule="auto"/>
        <w:jc w:val="both"/>
        <w:rPr>
          <w:rFonts w:ascii="Arial" w:hAnsi="Arial" w:cs="Arial"/>
          <w:sz w:val="24"/>
          <w:szCs w:val="24"/>
        </w:rPr>
      </w:pPr>
      <w:r w:rsidRPr="00AC2F94">
        <w:rPr>
          <w:rFonts w:ascii="Arial" w:hAnsi="Arial" w:cs="Arial"/>
          <w:sz w:val="24"/>
          <w:szCs w:val="24"/>
        </w:rPr>
        <w:t xml:space="preserve">We </w:t>
      </w:r>
      <w:r w:rsidR="00F14597" w:rsidRPr="00AC2F94">
        <w:rPr>
          <w:rFonts w:ascii="Arial" w:hAnsi="Arial" w:cs="Arial"/>
          <w:sz w:val="24"/>
          <w:szCs w:val="24"/>
        </w:rPr>
        <w:t xml:space="preserve">greatly appreciate the </w:t>
      </w:r>
      <w:r w:rsidRPr="00AC2F94">
        <w:rPr>
          <w:rFonts w:ascii="Arial" w:hAnsi="Arial" w:cs="Arial"/>
          <w:sz w:val="24"/>
          <w:szCs w:val="24"/>
        </w:rPr>
        <w:t xml:space="preserve">opportunity to </w:t>
      </w:r>
      <w:r w:rsidR="00D85ABB" w:rsidRPr="00AC2F94">
        <w:rPr>
          <w:rFonts w:ascii="Arial" w:hAnsi="Arial" w:cs="Arial"/>
          <w:sz w:val="24"/>
          <w:szCs w:val="24"/>
        </w:rPr>
        <w:t xml:space="preserve">discuss our experiences and recommendations. </w:t>
      </w:r>
    </w:p>
    <w:p w14:paraId="01111374" w14:textId="77777777" w:rsidR="006842DA" w:rsidRPr="00AC2F94" w:rsidRDefault="006842DA" w:rsidP="00D85ABB">
      <w:pPr>
        <w:pStyle w:val="NoSpacing"/>
        <w:spacing w:after="120" w:line="276" w:lineRule="auto"/>
        <w:jc w:val="both"/>
        <w:rPr>
          <w:rFonts w:ascii="Arial" w:hAnsi="Arial" w:cs="Arial"/>
          <w:sz w:val="24"/>
          <w:szCs w:val="24"/>
        </w:rPr>
      </w:pPr>
      <w:r w:rsidRPr="00AC2F94">
        <w:rPr>
          <w:rFonts w:ascii="Arial" w:hAnsi="Arial" w:cs="Arial"/>
          <w:sz w:val="24"/>
          <w:szCs w:val="24"/>
        </w:rPr>
        <w:t xml:space="preserve">For more </w:t>
      </w:r>
      <w:r w:rsidR="00D85ABB" w:rsidRPr="00AC2F94">
        <w:rPr>
          <w:rFonts w:ascii="Arial" w:hAnsi="Arial" w:cs="Arial"/>
          <w:sz w:val="24"/>
          <w:szCs w:val="24"/>
        </w:rPr>
        <w:t xml:space="preserve">information about this </w:t>
      </w:r>
      <w:r w:rsidR="005053DE" w:rsidRPr="00AC2F94">
        <w:rPr>
          <w:rFonts w:ascii="Arial" w:hAnsi="Arial" w:cs="Arial"/>
          <w:sz w:val="24"/>
          <w:szCs w:val="24"/>
        </w:rPr>
        <w:t>p</w:t>
      </w:r>
      <w:r w:rsidRPr="00AC2F94">
        <w:rPr>
          <w:rFonts w:ascii="Arial" w:hAnsi="Arial" w:cs="Arial"/>
          <w:sz w:val="24"/>
          <w:szCs w:val="24"/>
        </w:rPr>
        <w:t>aper contact:</w:t>
      </w:r>
      <w:r w:rsidR="007B24E3" w:rsidRPr="00AC2F94">
        <w:rPr>
          <w:rFonts w:ascii="Arial" w:hAnsi="Arial" w:cs="Arial"/>
          <w:sz w:val="24"/>
          <w:szCs w:val="24"/>
        </w:rPr>
        <w:t xml:space="preserve"> </w:t>
      </w:r>
    </w:p>
    <w:p w14:paraId="0723F8F3" w14:textId="77777777" w:rsidR="005B6BF7" w:rsidRPr="00AC2F94" w:rsidRDefault="005B6BF7" w:rsidP="00D85ABB">
      <w:pPr>
        <w:pStyle w:val="NoSpacing"/>
        <w:spacing w:line="276" w:lineRule="auto"/>
        <w:jc w:val="both"/>
        <w:rPr>
          <w:rFonts w:ascii="Arial" w:hAnsi="Arial" w:cs="Arial"/>
          <w:sz w:val="24"/>
          <w:szCs w:val="24"/>
        </w:rPr>
      </w:pPr>
      <w:r w:rsidRPr="00AC2F94">
        <w:rPr>
          <w:rFonts w:ascii="Arial" w:hAnsi="Arial" w:cs="Arial"/>
          <w:sz w:val="24"/>
          <w:szCs w:val="24"/>
        </w:rPr>
        <w:t xml:space="preserve">Michelle Wakeford  </w:t>
      </w:r>
    </w:p>
    <w:p w14:paraId="0A123169" w14:textId="77777777" w:rsidR="006842DA" w:rsidRPr="00AC2F94" w:rsidRDefault="005B6BF7" w:rsidP="00D85ABB">
      <w:pPr>
        <w:pStyle w:val="NoSpacing"/>
        <w:spacing w:line="276" w:lineRule="auto"/>
        <w:jc w:val="both"/>
        <w:rPr>
          <w:rFonts w:ascii="Arial" w:hAnsi="Arial" w:cs="Arial"/>
          <w:sz w:val="24"/>
          <w:szCs w:val="24"/>
        </w:rPr>
      </w:pPr>
      <w:r w:rsidRPr="00AC2F94">
        <w:rPr>
          <w:rFonts w:ascii="Arial" w:hAnsi="Arial" w:cs="Arial"/>
          <w:sz w:val="24"/>
          <w:szCs w:val="24"/>
        </w:rPr>
        <w:t>National Manager, Ticket to Work</w:t>
      </w:r>
    </w:p>
    <w:p w14:paraId="76FE51C9" w14:textId="77777777" w:rsidR="006842DA" w:rsidRPr="00AC2F94" w:rsidRDefault="006842DA" w:rsidP="00D85ABB">
      <w:pPr>
        <w:pStyle w:val="NoSpacing"/>
        <w:spacing w:line="276" w:lineRule="auto"/>
        <w:jc w:val="both"/>
        <w:rPr>
          <w:rFonts w:ascii="Arial" w:hAnsi="Arial" w:cs="Arial"/>
          <w:sz w:val="24"/>
          <w:szCs w:val="24"/>
        </w:rPr>
      </w:pPr>
      <w:r w:rsidRPr="00AC2F94">
        <w:rPr>
          <w:rFonts w:ascii="Arial" w:hAnsi="Arial" w:cs="Arial"/>
          <w:sz w:val="24"/>
          <w:szCs w:val="24"/>
        </w:rPr>
        <w:t xml:space="preserve">Phone: </w:t>
      </w:r>
      <w:r w:rsidRPr="00AC2F94">
        <w:rPr>
          <w:rFonts w:ascii="Arial" w:hAnsi="Arial" w:cs="Arial"/>
          <w:sz w:val="24"/>
          <w:szCs w:val="24"/>
        </w:rPr>
        <w:tab/>
      </w:r>
      <w:r w:rsidR="00D85ABB" w:rsidRPr="00AC2F94">
        <w:rPr>
          <w:rFonts w:ascii="Arial" w:hAnsi="Arial" w:cs="Arial"/>
          <w:sz w:val="24"/>
          <w:szCs w:val="24"/>
        </w:rPr>
        <w:t>0413 750 745</w:t>
      </w:r>
      <w:r w:rsidRPr="00AC2F94">
        <w:rPr>
          <w:rFonts w:ascii="Arial" w:hAnsi="Arial" w:cs="Arial"/>
          <w:sz w:val="24"/>
          <w:szCs w:val="24"/>
        </w:rPr>
        <w:t xml:space="preserve">         </w:t>
      </w:r>
    </w:p>
    <w:p w14:paraId="15947CE7" w14:textId="77777777" w:rsidR="006842DA" w:rsidRPr="00AC2F94" w:rsidRDefault="006842DA" w:rsidP="00D85ABB">
      <w:pPr>
        <w:pStyle w:val="NoSpacing"/>
        <w:spacing w:line="276" w:lineRule="auto"/>
        <w:jc w:val="both"/>
        <w:rPr>
          <w:rFonts w:ascii="Arial" w:hAnsi="Arial" w:cs="Arial"/>
          <w:sz w:val="24"/>
          <w:szCs w:val="24"/>
        </w:rPr>
      </w:pPr>
      <w:r w:rsidRPr="00AC2F94">
        <w:rPr>
          <w:rFonts w:ascii="Arial" w:hAnsi="Arial" w:cs="Arial"/>
          <w:sz w:val="24"/>
          <w:szCs w:val="24"/>
        </w:rPr>
        <w:t xml:space="preserve">Email: </w:t>
      </w:r>
      <w:r w:rsidRPr="00AC2F94">
        <w:rPr>
          <w:rFonts w:ascii="Arial" w:hAnsi="Arial" w:cs="Arial"/>
          <w:sz w:val="24"/>
          <w:szCs w:val="24"/>
        </w:rPr>
        <w:tab/>
      </w:r>
      <w:hyperlink r:id="rId11" w:history="1">
        <w:r w:rsidRPr="00AC2F94">
          <w:rPr>
            <w:rStyle w:val="Hyperlink"/>
            <w:rFonts w:ascii="Arial" w:hAnsi="Arial" w:cs="Arial"/>
            <w:sz w:val="24"/>
            <w:szCs w:val="24"/>
          </w:rPr>
          <w:t>michelle@tickettowork.org.au</w:t>
        </w:r>
      </w:hyperlink>
      <w:r w:rsidRPr="00AC2F94">
        <w:rPr>
          <w:rFonts w:ascii="Arial" w:hAnsi="Arial" w:cs="Arial"/>
          <w:sz w:val="24"/>
          <w:szCs w:val="24"/>
        </w:rPr>
        <w:t xml:space="preserve"> </w:t>
      </w:r>
    </w:p>
    <w:p w14:paraId="7C8862EF" w14:textId="77777777" w:rsidR="00DF5485" w:rsidRPr="00AC2F94" w:rsidRDefault="00DF5485" w:rsidP="00DF5485">
      <w:pPr>
        <w:spacing w:after="0" w:line="276" w:lineRule="auto"/>
        <w:jc w:val="both"/>
        <w:rPr>
          <w:rFonts w:ascii="Arial" w:hAnsi="Arial" w:cs="Arial"/>
          <w:sz w:val="24"/>
          <w:szCs w:val="24"/>
        </w:rPr>
      </w:pPr>
    </w:p>
    <w:p w14:paraId="174873CC" w14:textId="77777777" w:rsidR="00DF5485" w:rsidRPr="00AC2F94" w:rsidRDefault="00DF5485" w:rsidP="00DF5485">
      <w:pPr>
        <w:spacing w:after="0" w:line="276" w:lineRule="auto"/>
        <w:jc w:val="both"/>
        <w:rPr>
          <w:rFonts w:ascii="Arial" w:hAnsi="Arial" w:cs="Arial"/>
          <w:sz w:val="24"/>
          <w:szCs w:val="24"/>
        </w:rPr>
      </w:pPr>
      <w:r w:rsidRPr="00AC2F94">
        <w:rPr>
          <w:rFonts w:ascii="Arial" w:hAnsi="Arial" w:cs="Arial"/>
          <w:sz w:val="24"/>
          <w:szCs w:val="24"/>
        </w:rPr>
        <w:lastRenderedPageBreak/>
        <w:t xml:space="preserve">Kerrie Langford </w:t>
      </w:r>
    </w:p>
    <w:p w14:paraId="518F0E15" w14:textId="77777777" w:rsidR="00DF5485" w:rsidRPr="00AC2F94" w:rsidRDefault="00DF5485" w:rsidP="00DF5485">
      <w:pPr>
        <w:spacing w:after="0" w:line="276" w:lineRule="auto"/>
        <w:jc w:val="both"/>
        <w:rPr>
          <w:rFonts w:ascii="Arial" w:hAnsi="Arial" w:cs="Arial"/>
          <w:sz w:val="24"/>
          <w:szCs w:val="24"/>
          <w:lang w:val="en"/>
        </w:rPr>
      </w:pPr>
      <w:r w:rsidRPr="00AC2F94">
        <w:rPr>
          <w:rFonts w:ascii="Arial" w:hAnsi="Arial" w:cs="Arial"/>
          <w:sz w:val="24"/>
          <w:szCs w:val="24"/>
          <w:lang w:val="en"/>
        </w:rPr>
        <w:t xml:space="preserve">National Employment Manager, </w:t>
      </w:r>
    </w:p>
    <w:p w14:paraId="781C2593" w14:textId="77777777" w:rsidR="00DF5485" w:rsidRPr="00AC2F94" w:rsidRDefault="00DF5485" w:rsidP="00DF5485">
      <w:pPr>
        <w:spacing w:after="0" w:line="276" w:lineRule="auto"/>
        <w:jc w:val="both"/>
        <w:rPr>
          <w:rFonts w:ascii="Arial" w:hAnsi="Arial" w:cs="Arial"/>
          <w:sz w:val="24"/>
          <w:szCs w:val="24"/>
        </w:rPr>
      </w:pPr>
      <w:r w:rsidRPr="00AC2F94">
        <w:rPr>
          <w:rFonts w:ascii="Arial" w:hAnsi="Arial" w:cs="Arial"/>
          <w:sz w:val="24"/>
          <w:szCs w:val="24"/>
        </w:rPr>
        <w:t>National Disability Services (NDS)</w:t>
      </w:r>
    </w:p>
    <w:p w14:paraId="6ADA7275" w14:textId="77777777" w:rsidR="00DF5485" w:rsidRPr="00AC2F94" w:rsidRDefault="00DF5485" w:rsidP="00DF5485">
      <w:pPr>
        <w:spacing w:after="0" w:line="276" w:lineRule="auto"/>
        <w:jc w:val="both"/>
        <w:rPr>
          <w:rFonts w:ascii="Arial" w:hAnsi="Arial" w:cs="Arial"/>
          <w:sz w:val="24"/>
          <w:szCs w:val="24"/>
        </w:rPr>
      </w:pPr>
      <w:r w:rsidRPr="00AC2F94">
        <w:rPr>
          <w:rFonts w:ascii="Arial" w:hAnsi="Arial" w:cs="Arial"/>
          <w:sz w:val="24"/>
          <w:szCs w:val="24"/>
        </w:rPr>
        <w:t xml:space="preserve">Phone: </w:t>
      </w:r>
      <w:r w:rsidRPr="00AC2F94">
        <w:rPr>
          <w:rFonts w:ascii="Arial" w:hAnsi="Arial" w:cs="Arial"/>
          <w:sz w:val="24"/>
          <w:szCs w:val="24"/>
        </w:rPr>
        <w:tab/>
      </w:r>
      <w:r w:rsidRPr="00AC2F94">
        <w:rPr>
          <w:rFonts w:ascii="Arial" w:hAnsi="Arial" w:cs="Arial"/>
          <w:sz w:val="24"/>
          <w:szCs w:val="24"/>
          <w:lang w:val="en"/>
        </w:rPr>
        <w:t>02 6283 3202</w:t>
      </w:r>
    </w:p>
    <w:p w14:paraId="5965EEA9" w14:textId="77777777" w:rsidR="00DF5485" w:rsidRPr="00AC2F94" w:rsidRDefault="00DF5485" w:rsidP="00DF5485">
      <w:pPr>
        <w:spacing w:after="0" w:line="276" w:lineRule="auto"/>
        <w:jc w:val="both"/>
        <w:rPr>
          <w:rFonts w:ascii="Arial" w:hAnsi="Arial" w:cs="Arial"/>
          <w:sz w:val="24"/>
          <w:szCs w:val="24"/>
        </w:rPr>
      </w:pPr>
      <w:r w:rsidRPr="00AC2F94">
        <w:rPr>
          <w:rFonts w:ascii="Arial" w:hAnsi="Arial" w:cs="Arial"/>
          <w:sz w:val="24"/>
          <w:szCs w:val="24"/>
        </w:rPr>
        <w:t xml:space="preserve">Email: </w:t>
      </w:r>
      <w:r w:rsidRPr="00AC2F94">
        <w:rPr>
          <w:rFonts w:ascii="Arial" w:hAnsi="Arial" w:cs="Arial"/>
          <w:sz w:val="24"/>
          <w:szCs w:val="24"/>
        </w:rPr>
        <w:tab/>
      </w:r>
      <w:hyperlink r:id="rId12" w:history="1">
        <w:r w:rsidRPr="00AC2F94">
          <w:rPr>
            <w:rFonts w:ascii="Arial" w:hAnsi="Arial" w:cs="Arial"/>
            <w:color w:val="0000FF"/>
            <w:sz w:val="24"/>
            <w:szCs w:val="24"/>
            <w:u w:val="single"/>
            <w:lang w:val="en"/>
          </w:rPr>
          <w:t>kerrie.langford@nds.org.au</w:t>
        </w:r>
      </w:hyperlink>
    </w:p>
    <w:p w14:paraId="3681A27C" w14:textId="77777777" w:rsidR="00C353DA" w:rsidRPr="00AC2F94" w:rsidRDefault="00C353DA" w:rsidP="00D85ABB">
      <w:pPr>
        <w:pStyle w:val="NoSpacing"/>
        <w:spacing w:line="276" w:lineRule="auto"/>
        <w:jc w:val="both"/>
        <w:rPr>
          <w:rFonts w:ascii="Arial" w:hAnsi="Arial" w:cs="Arial"/>
          <w:sz w:val="24"/>
          <w:szCs w:val="24"/>
        </w:rPr>
      </w:pPr>
    </w:p>
    <w:p w14:paraId="264347C4" w14:textId="77777777" w:rsidR="00C353DA" w:rsidRPr="00AC2F94" w:rsidRDefault="003414BC" w:rsidP="00A4081E">
      <w:pPr>
        <w:pStyle w:val="NoSpacing"/>
        <w:spacing w:before="120" w:after="240"/>
        <w:jc w:val="both"/>
        <w:rPr>
          <w:rFonts w:ascii="Arial" w:hAnsi="Arial" w:cs="Arial"/>
          <w:b/>
          <w:sz w:val="24"/>
          <w:szCs w:val="24"/>
        </w:rPr>
      </w:pPr>
      <w:r w:rsidRPr="00AC2F94">
        <w:rPr>
          <w:rFonts w:ascii="Arial" w:hAnsi="Arial" w:cs="Arial"/>
          <w:b/>
          <w:sz w:val="24"/>
          <w:szCs w:val="24"/>
        </w:rPr>
        <w:t xml:space="preserve">List of </w:t>
      </w:r>
      <w:r w:rsidR="00BC7D54" w:rsidRPr="00AC2F94">
        <w:rPr>
          <w:rFonts w:ascii="Arial" w:hAnsi="Arial" w:cs="Arial"/>
          <w:b/>
          <w:sz w:val="24"/>
          <w:szCs w:val="24"/>
        </w:rPr>
        <w:t>R</w:t>
      </w:r>
      <w:r w:rsidR="00C353DA" w:rsidRPr="00AC2F94">
        <w:rPr>
          <w:rFonts w:ascii="Arial" w:hAnsi="Arial" w:cs="Arial"/>
          <w:b/>
          <w:sz w:val="24"/>
          <w:szCs w:val="24"/>
        </w:rPr>
        <w:t>ecommendation</w:t>
      </w:r>
      <w:r w:rsidR="00666D52" w:rsidRPr="00AC2F94">
        <w:rPr>
          <w:rFonts w:ascii="Arial" w:hAnsi="Arial" w:cs="Arial"/>
          <w:b/>
          <w:sz w:val="24"/>
          <w:szCs w:val="24"/>
        </w:rPr>
        <w:t>s</w:t>
      </w:r>
      <w:r w:rsidR="00C353DA" w:rsidRPr="00AC2F94">
        <w:rPr>
          <w:rFonts w:ascii="Arial" w:hAnsi="Arial" w:cs="Arial"/>
          <w:b/>
          <w:sz w:val="24"/>
          <w:szCs w:val="24"/>
        </w:rPr>
        <w:t>:</w:t>
      </w:r>
    </w:p>
    <w:p w14:paraId="7E24E013" w14:textId="77777777" w:rsidR="006667CE" w:rsidRPr="00AC2F94" w:rsidRDefault="003414BC" w:rsidP="00A4081E">
      <w:pPr>
        <w:pStyle w:val="NoSpacing"/>
        <w:spacing w:before="120" w:after="240"/>
        <w:rPr>
          <w:rFonts w:ascii="Arial" w:hAnsi="Arial" w:cs="Arial"/>
          <w:sz w:val="24"/>
          <w:szCs w:val="24"/>
        </w:rPr>
      </w:pPr>
      <w:r w:rsidRPr="00AC2F94">
        <w:rPr>
          <w:rFonts w:ascii="Arial" w:hAnsi="Arial" w:cs="Arial"/>
          <w:sz w:val="24"/>
          <w:szCs w:val="24"/>
        </w:rPr>
        <w:t>Below is the list</w:t>
      </w:r>
      <w:r w:rsidR="006667CE" w:rsidRPr="00AC2F94">
        <w:rPr>
          <w:rFonts w:ascii="Arial" w:hAnsi="Arial" w:cs="Arial"/>
          <w:sz w:val="24"/>
          <w:szCs w:val="24"/>
        </w:rPr>
        <w:t xml:space="preserve"> of recommendation. </w:t>
      </w:r>
      <w:r w:rsidR="00666D52" w:rsidRPr="00AC2F94">
        <w:rPr>
          <w:rFonts w:ascii="Arial" w:hAnsi="Arial" w:cs="Arial"/>
          <w:sz w:val="24"/>
          <w:szCs w:val="24"/>
        </w:rPr>
        <w:t>A</w:t>
      </w:r>
      <w:r w:rsidR="006667CE" w:rsidRPr="00AC2F94">
        <w:rPr>
          <w:rFonts w:ascii="Arial" w:hAnsi="Arial" w:cs="Arial"/>
          <w:sz w:val="24"/>
          <w:szCs w:val="24"/>
        </w:rPr>
        <w:t xml:space="preserve"> </w:t>
      </w:r>
      <w:r w:rsidR="00666D52" w:rsidRPr="00AC2F94">
        <w:rPr>
          <w:rFonts w:ascii="Arial" w:hAnsi="Arial" w:cs="Arial"/>
          <w:sz w:val="24"/>
          <w:szCs w:val="24"/>
        </w:rPr>
        <w:t xml:space="preserve">more detail rationale </w:t>
      </w:r>
      <w:r w:rsidRPr="00AC2F94">
        <w:rPr>
          <w:rFonts w:ascii="Arial" w:hAnsi="Arial" w:cs="Arial"/>
          <w:sz w:val="24"/>
          <w:szCs w:val="24"/>
        </w:rPr>
        <w:t xml:space="preserve">for each recommendation is in the body of this document. </w:t>
      </w:r>
      <w:r w:rsidR="00666D52" w:rsidRPr="00AC2F94">
        <w:rPr>
          <w:rFonts w:ascii="Arial" w:hAnsi="Arial" w:cs="Arial"/>
          <w:sz w:val="24"/>
          <w:szCs w:val="24"/>
        </w:rPr>
        <w:t xml:space="preserve"> </w:t>
      </w:r>
    </w:p>
    <w:p w14:paraId="67B529BE" w14:textId="77777777" w:rsidR="00C353DA" w:rsidRPr="00AC2F94" w:rsidRDefault="00C353DA" w:rsidP="00A4081E">
      <w:pPr>
        <w:pStyle w:val="Default"/>
        <w:numPr>
          <w:ilvl w:val="0"/>
          <w:numId w:val="15"/>
        </w:numPr>
        <w:spacing w:before="120" w:after="240"/>
        <w:ind w:left="426" w:hanging="426"/>
        <w:rPr>
          <w:rFonts w:ascii="Arial" w:hAnsi="Arial" w:cs="Arial"/>
        </w:rPr>
      </w:pPr>
      <w:r w:rsidRPr="00AC2F94">
        <w:rPr>
          <w:rFonts w:ascii="Arial" w:hAnsi="Arial" w:cs="Arial"/>
        </w:rPr>
        <w:t>DES providers committed to supporting the longer-term transition and employment outcomes should be allowed to place and support a student in an after school job.</w:t>
      </w:r>
    </w:p>
    <w:p w14:paraId="2C0F4D25" w14:textId="77777777" w:rsidR="00C353DA" w:rsidRPr="00AC2F94" w:rsidRDefault="00C353DA" w:rsidP="00A4081E">
      <w:pPr>
        <w:pStyle w:val="Default"/>
        <w:numPr>
          <w:ilvl w:val="0"/>
          <w:numId w:val="15"/>
        </w:numPr>
        <w:spacing w:before="120" w:after="240"/>
        <w:ind w:left="426" w:hanging="426"/>
        <w:rPr>
          <w:rFonts w:ascii="Arial" w:hAnsi="Arial" w:cs="Arial"/>
        </w:rPr>
      </w:pPr>
      <w:r w:rsidRPr="00AC2F94">
        <w:rPr>
          <w:rFonts w:ascii="Arial" w:hAnsi="Arial" w:cs="Arial"/>
        </w:rPr>
        <w:t xml:space="preserve">DES providers should be able to arrange and support </w:t>
      </w:r>
      <w:r w:rsidR="001B030A" w:rsidRPr="00AC2F94">
        <w:rPr>
          <w:rFonts w:ascii="Arial" w:hAnsi="Arial" w:cs="Arial"/>
        </w:rPr>
        <w:t xml:space="preserve">authentic individualised </w:t>
      </w:r>
      <w:r w:rsidRPr="00AC2F94">
        <w:rPr>
          <w:rFonts w:ascii="Arial" w:hAnsi="Arial" w:cs="Arial"/>
        </w:rPr>
        <w:t>work experience</w:t>
      </w:r>
      <w:r w:rsidR="00A4081E" w:rsidRPr="00AC2F94">
        <w:rPr>
          <w:rFonts w:ascii="Arial" w:hAnsi="Arial" w:cs="Arial"/>
        </w:rPr>
        <w:t xml:space="preserve"> while a</w:t>
      </w:r>
      <w:r w:rsidR="00E9004E" w:rsidRPr="00AC2F94">
        <w:rPr>
          <w:rFonts w:ascii="Arial" w:hAnsi="Arial" w:cs="Arial"/>
        </w:rPr>
        <w:t xml:space="preserve"> student is still at school.</w:t>
      </w:r>
      <w:r w:rsidRPr="00AC2F94">
        <w:rPr>
          <w:rFonts w:ascii="Arial" w:hAnsi="Arial" w:cs="Arial"/>
        </w:rPr>
        <w:t xml:space="preserve"> </w:t>
      </w:r>
    </w:p>
    <w:p w14:paraId="620F463A" w14:textId="77777777" w:rsidR="00E50195" w:rsidRPr="00AC2F94" w:rsidRDefault="00E50195" w:rsidP="00E50195">
      <w:pPr>
        <w:pStyle w:val="Default"/>
        <w:numPr>
          <w:ilvl w:val="0"/>
          <w:numId w:val="13"/>
        </w:numPr>
        <w:spacing w:after="120" w:line="276" w:lineRule="auto"/>
        <w:ind w:left="425" w:hanging="425"/>
        <w:jc w:val="both"/>
        <w:rPr>
          <w:rFonts w:ascii="Arial" w:hAnsi="Arial" w:cs="Arial"/>
          <w:lang w:eastAsia="en-AU"/>
        </w:rPr>
      </w:pPr>
      <w:r w:rsidRPr="00AC2F94">
        <w:rPr>
          <w:rFonts w:ascii="Arial" w:hAnsi="Arial" w:cs="Arial"/>
          <w:color w:val="auto"/>
        </w:rPr>
        <w:lastRenderedPageBreak/>
        <w:t xml:space="preserve">DES providers’ Star Rating should not negatively affected by engaging with schools and supporting work preparation.  Students participating in DES should be excluded from the Star Ratings until the student is able to begin employment, eg when finished school or when starting a school based traineeship/apprenticeship.  </w:t>
      </w:r>
    </w:p>
    <w:p w14:paraId="7F060B57" w14:textId="77777777" w:rsidR="00C353DA" w:rsidRPr="00AC2F94" w:rsidRDefault="00663483" w:rsidP="00A4081E">
      <w:pPr>
        <w:pStyle w:val="Default"/>
        <w:numPr>
          <w:ilvl w:val="0"/>
          <w:numId w:val="13"/>
        </w:numPr>
        <w:spacing w:before="120" w:after="240"/>
        <w:ind w:left="425" w:hanging="425"/>
        <w:rPr>
          <w:rFonts w:ascii="Arial" w:hAnsi="Arial" w:cs="Arial"/>
          <w:lang w:eastAsia="en-AU"/>
        </w:rPr>
      </w:pPr>
      <w:r w:rsidRPr="00AC2F94">
        <w:rPr>
          <w:rFonts w:ascii="Arial" w:hAnsi="Arial" w:cs="Arial"/>
        </w:rPr>
        <w:t xml:space="preserve">Update </w:t>
      </w:r>
      <w:r w:rsidR="00A4081E" w:rsidRPr="00AC2F94">
        <w:rPr>
          <w:rFonts w:ascii="Arial" w:hAnsi="Arial" w:cs="Arial"/>
        </w:rPr>
        <w:t>the G</w:t>
      </w:r>
      <w:r w:rsidR="00C353DA" w:rsidRPr="00AC2F94">
        <w:rPr>
          <w:rFonts w:ascii="Arial" w:hAnsi="Arial" w:cs="Arial"/>
        </w:rPr>
        <w:t xml:space="preserve">uidelines to state ESLs can be registered with their preferred DES in the DES ESA region in which they live </w:t>
      </w:r>
      <w:r w:rsidR="00C353DA" w:rsidRPr="00AC2F94">
        <w:rPr>
          <w:rFonts w:ascii="Arial" w:hAnsi="Arial" w:cs="Arial"/>
          <w:b/>
        </w:rPr>
        <w:t>OR attend school.</w:t>
      </w:r>
      <w:r w:rsidR="00C353DA" w:rsidRPr="00AC2F94">
        <w:rPr>
          <w:rFonts w:ascii="Arial" w:hAnsi="Arial" w:cs="Arial"/>
        </w:rPr>
        <w:t xml:space="preserve"> </w:t>
      </w:r>
    </w:p>
    <w:p w14:paraId="25EDF481" w14:textId="77777777" w:rsidR="00C353DA" w:rsidRPr="00AC2F94" w:rsidRDefault="00663483" w:rsidP="00A4081E">
      <w:pPr>
        <w:pStyle w:val="Default"/>
        <w:numPr>
          <w:ilvl w:val="0"/>
          <w:numId w:val="13"/>
        </w:numPr>
        <w:spacing w:before="120" w:after="240"/>
        <w:ind w:left="425" w:hanging="425"/>
        <w:rPr>
          <w:rFonts w:ascii="Arial" w:hAnsi="Arial" w:cs="Arial"/>
          <w:lang w:eastAsia="en-AU"/>
        </w:rPr>
      </w:pPr>
      <w:r w:rsidRPr="00AC2F94">
        <w:rPr>
          <w:rFonts w:ascii="Arial" w:hAnsi="Arial" w:cs="Arial"/>
          <w:lang w:eastAsia="en-AU"/>
        </w:rPr>
        <w:t>T</w:t>
      </w:r>
      <w:r w:rsidR="00C353DA" w:rsidRPr="00AC2F94">
        <w:rPr>
          <w:rFonts w:ascii="Arial" w:hAnsi="Arial" w:cs="Arial"/>
          <w:lang w:eastAsia="en-AU"/>
        </w:rPr>
        <w:t xml:space="preserve">ime in a ASbAT hours (being both VET and Employment) is considered when looking at minimum hours for the DES guidelines </w:t>
      </w:r>
      <w:r w:rsidR="00C353DA" w:rsidRPr="00AC2F94">
        <w:rPr>
          <w:rFonts w:ascii="Arial" w:hAnsi="Arial" w:cs="Arial"/>
          <w:b/>
          <w:lang w:eastAsia="en-AU"/>
        </w:rPr>
        <w:t>OR</w:t>
      </w:r>
      <w:r w:rsidR="00C353DA" w:rsidRPr="00AC2F94">
        <w:rPr>
          <w:rFonts w:ascii="Arial" w:hAnsi="Arial" w:cs="Arial"/>
          <w:lang w:eastAsia="en-AU"/>
        </w:rPr>
        <w:t xml:space="preserve"> that ASbAT refer</w:t>
      </w:r>
      <w:r w:rsidR="00795938" w:rsidRPr="00AC2F94">
        <w:rPr>
          <w:rFonts w:ascii="Arial" w:hAnsi="Arial" w:cs="Arial"/>
          <w:lang w:eastAsia="en-AU"/>
        </w:rPr>
        <w:t>s</w:t>
      </w:r>
      <w:r w:rsidR="00C353DA" w:rsidRPr="00AC2F94">
        <w:rPr>
          <w:rFonts w:ascii="Arial" w:hAnsi="Arial" w:cs="Arial"/>
          <w:lang w:eastAsia="en-AU"/>
        </w:rPr>
        <w:t xml:space="preserve"> back to the requirement of the state bodies in determining ASbAT minimum paid work hours. </w:t>
      </w:r>
    </w:p>
    <w:p w14:paraId="34C9C1EB" w14:textId="77777777" w:rsidR="00C353DA" w:rsidRPr="00AC2F94" w:rsidRDefault="00663483" w:rsidP="00A4081E">
      <w:pPr>
        <w:numPr>
          <w:ilvl w:val="0"/>
          <w:numId w:val="14"/>
        </w:numPr>
        <w:autoSpaceDE w:val="0"/>
        <w:autoSpaceDN w:val="0"/>
        <w:spacing w:before="120" w:after="240" w:line="240" w:lineRule="auto"/>
        <w:ind w:left="426" w:hanging="426"/>
        <w:rPr>
          <w:rFonts w:ascii="Arial" w:hAnsi="Arial" w:cs="Arial"/>
          <w:color w:val="000000"/>
          <w:sz w:val="24"/>
          <w:szCs w:val="24"/>
          <w:lang w:eastAsia="en-AU"/>
        </w:rPr>
      </w:pPr>
      <w:r w:rsidRPr="00AC2F94">
        <w:rPr>
          <w:rFonts w:ascii="Arial" w:hAnsi="Arial" w:cs="Arial"/>
          <w:iCs/>
          <w:color w:val="000000"/>
          <w:sz w:val="24"/>
          <w:szCs w:val="24"/>
          <w:lang w:eastAsia="en-AU"/>
        </w:rPr>
        <w:t>B</w:t>
      </w:r>
      <w:r w:rsidR="00C353DA" w:rsidRPr="00AC2F94">
        <w:rPr>
          <w:rFonts w:ascii="Arial" w:hAnsi="Arial" w:cs="Arial"/>
          <w:iCs/>
          <w:color w:val="000000"/>
          <w:sz w:val="24"/>
          <w:szCs w:val="24"/>
          <w:lang w:eastAsia="en-AU"/>
        </w:rPr>
        <w:t>road</w:t>
      </w:r>
      <w:r w:rsidR="00571019" w:rsidRPr="00AC2F94">
        <w:rPr>
          <w:rFonts w:ascii="Arial" w:hAnsi="Arial" w:cs="Arial"/>
          <w:iCs/>
          <w:color w:val="000000"/>
          <w:sz w:val="24"/>
          <w:szCs w:val="24"/>
          <w:lang w:eastAsia="en-AU"/>
        </w:rPr>
        <w:t>en</w:t>
      </w:r>
      <w:r w:rsidR="00C353DA" w:rsidRPr="00AC2F94">
        <w:rPr>
          <w:rFonts w:ascii="Arial" w:hAnsi="Arial" w:cs="Arial"/>
          <w:iCs/>
          <w:color w:val="000000"/>
          <w:sz w:val="24"/>
          <w:szCs w:val="24"/>
          <w:lang w:eastAsia="en-AU"/>
        </w:rPr>
        <w:t xml:space="preserve"> the Permissible Break definition in the DES Guidelines </w:t>
      </w:r>
      <w:r w:rsidR="00571019" w:rsidRPr="00AC2F94">
        <w:rPr>
          <w:rFonts w:ascii="Arial" w:hAnsi="Arial" w:cs="Arial"/>
          <w:iCs/>
          <w:color w:val="000000"/>
          <w:sz w:val="24"/>
          <w:szCs w:val="24"/>
          <w:lang w:eastAsia="en-AU"/>
        </w:rPr>
        <w:t xml:space="preserve">for </w:t>
      </w:r>
      <w:r w:rsidR="00C353DA" w:rsidRPr="00AC2F94">
        <w:rPr>
          <w:rFonts w:ascii="Arial" w:hAnsi="Arial" w:cs="Arial"/>
          <w:iCs/>
          <w:color w:val="000000"/>
          <w:sz w:val="24"/>
          <w:szCs w:val="24"/>
          <w:lang w:eastAsia="en-AU"/>
        </w:rPr>
        <w:t>ASbAT participants</w:t>
      </w:r>
      <w:r w:rsidR="00571019" w:rsidRPr="00AC2F94">
        <w:rPr>
          <w:rFonts w:ascii="Arial" w:hAnsi="Arial" w:cs="Arial"/>
          <w:iCs/>
          <w:color w:val="000000"/>
          <w:sz w:val="24"/>
          <w:szCs w:val="24"/>
          <w:lang w:eastAsia="en-AU"/>
        </w:rPr>
        <w:t xml:space="preserve"> </w:t>
      </w:r>
      <w:r w:rsidR="00624F1B" w:rsidRPr="00AC2F94">
        <w:rPr>
          <w:rFonts w:ascii="Arial" w:hAnsi="Arial" w:cs="Arial"/>
          <w:iCs/>
          <w:color w:val="000000"/>
          <w:sz w:val="24"/>
          <w:szCs w:val="24"/>
          <w:lang w:eastAsia="en-AU"/>
        </w:rPr>
        <w:t xml:space="preserve">to recognise </w:t>
      </w:r>
      <w:r w:rsidR="00C353DA" w:rsidRPr="00AC2F94">
        <w:rPr>
          <w:rFonts w:ascii="Arial" w:hAnsi="Arial" w:cs="Arial"/>
          <w:iCs/>
          <w:color w:val="000000"/>
          <w:sz w:val="24"/>
          <w:szCs w:val="24"/>
          <w:lang w:eastAsia="en-AU"/>
        </w:rPr>
        <w:t xml:space="preserve">school students  </w:t>
      </w:r>
      <w:r w:rsidR="00571019" w:rsidRPr="00AC2F94">
        <w:rPr>
          <w:rFonts w:ascii="Arial" w:hAnsi="Arial" w:cs="Arial"/>
          <w:iCs/>
          <w:color w:val="000000"/>
          <w:sz w:val="24"/>
          <w:szCs w:val="24"/>
          <w:lang w:eastAsia="en-AU"/>
        </w:rPr>
        <w:t xml:space="preserve">may have </w:t>
      </w:r>
      <w:r w:rsidR="00C353DA" w:rsidRPr="00AC2F94">
        <w:rPr>
          <w:rFonts w:ascii="Arial" w:hAnsi="Arial" w:cs="Arial"/>
          <w:iCs/>
          <w:color w:val="000000"/>
          <w:sz w:val="24"/>
          <w:szCs w:val="24"/>
          <w:lang w:eastAsia="en-AU"/>
        </w:rPr>
        <w:t xml:space="preserve">a requirement to </w:t>
      </w:r>
      <w:r w:rsidR="00571019" w:rsidRPr="00AC2F94">
        <w:rPr>
          <w:rFonts w:ascii="Arial" w:hAnsi="Arial" w:cs="Arial"/>
          <w:iCs/>
          <w:color w:val="000000"/>
          <w:sz w:val="24"/>
          <w:szCs w:val="24"/>
          <w:lang w:eastAsia="en-AU"/>
        </w:rPr>
        <w:t xml:space="preserve">take </w:t>
      </w:r>
      <w:r w:rsidR="00571019" w:rsidRPr="00AC2F94">
        <w:rPr>
          <w:rFonts w:ascii="Arial" w:hAnsi="Arial" w:cs="Arial"/>
          <w:iCs/>
          <w:color w:val="000000"/>
          <w:sz w:val="24"/>
          <w:szCs w:val="24"/>
          <w:lang w:eastAsia="en-AU"/>
        </w:rPr>
        <w:lastRenderedPageBreak/>
        <w:t xml:space="preserve">leave to </w:t>
      </w:r>
      <w:r w:rsidR="00C353DA" w:rsidRPr="00AC2F94">
        <w:rPr>
          <w:rFonts w:ascii="Arial" w:hAnsi="Arial" w:cs="Arial"/>
          <w:iCs/>
          <w:color w:val="000000"/>
          <w:sz w:val="24"/>
          <w:szCs w:val="24"/>
          <w:lang w:eastAsia="en-AU"/>
        </w:rPr>
        <w:t>complete their schooling</w:t>
      </w:r>
      <w:r w:rsidR="00571019" w:rsidRPr="00AC2F94">
        <w:rPr>
          <w:rFonts w:ascii="Arial" w:hAnsi="Arial" w:cs="Arial"/>
          <w:iCs/>
          <w:color w:val="000000"/>
          <w:sz w:val="24"/>
          <w:szCs w:val="24"/>
          <w:lang w:eastAsia="en-AU"/>
        </w:rPr>
        <w:t xml:space="preserve"> requirements</w:t>
      </w:r>
      <w:r w:rsidR="00C353DA" w:rsidRPr="00AC2F94">
        <w:rPr>
          <w:rFonts w:ascii="Arial" w:hAnsi="Arial" w:cs="Arial"/>
          <w:iCs/>
          <w:color w:val="000000"/>
          <w:sz w:val="24"/>
          <w:szCs w:val="24"/>
          <w:lang w:eastAsia="en-AU"/>
        </w:rPr>
        <w:t>, ASbAT training and participate in significant school events</w:t>
      </w:r>
      <w:r w:rsidR="00795938" w:rsidRPr="00AC2F94">
        <w:rPr>
          <w:rFonts w:ascii="Arial" w:hAnsi="Arial" w:cs="Arial"/>
          <w:iCs/>
          <w:color w:val="000000"/>
          <w:sz w:val="24"/>
          <w:szCs w:val="24"/>
          <w:lang w:eastAsia="en-AU"/>
        </w:rPr>
        <w:t>,</w:t>
      </w:r>
      <w:r w:rsidR="00571019" w:rsidRPr="00AC2F94">
        <w:rPr>
          <w:rFonts w:ascii="Arial" w:hAnsi="Arial" w:cs="Arial"/>
          <w:iCs/>
          <w:color w:val="000000"/>
          <w:sz w:val="24"/>
          <w:szCs w:val="24"/>
          <w:lang w:eastAsia="en-AU"/>
        </w:rPr>
        <w:t xml:space="preserve"> </w:t>
      </w:r>
      <w:r w:rsidR="00C353DA" w:rsidRPr="00AC2F94">
        <w:rPr>
          <w:rFonts w:ascii="Arial" w:hAnsi="Arial" w:cs="Arial"/>
          <w:iCs/>
          <w:color w:val="000000"/>
          <w:sz w:val="24"/>
          <w:szCs w:val="24"/>
          <w:lang w:eastAsia="en-AU"/>
        </w:rPr>
        <w:t xml:space="preserve">where approved by the employer. </w:t>
      </w:r>
    </w:p>
    <w:p w14:paraId="3B213208" w14:textId="77777777" w:rsidR="00C353DA" w:rsidRPr="00AC2F94" w:rsidRDefault="001B030A" w:rsidP="00795938">
      <w:pPr>
        <w:numPr>
          <w:ilvl w:val="0"/>
          <w:numId w:val="14"/>
        </w:numPr>
        <w:autoSpaceDE w:val="0"/>
        <w:autoSpaceDN w:val="0"/>
        <w:spacing w:before="120" w:after="240" w:line="240" w:lineRule="auto"/>
        <w:ind w:left="425" w:hanging="426"/>
        <w:rPr>
          <w:rFonts w:ascii="Arial" w:hAnsi="Arial" w:cs="Arial"/>
          <w:color w:val="000000"/>
          <w:sz w:val="24"/>
          <w:szCs w:val="24"/>
          <w:lang w:eastAsia="en-AU"/>
        </w:rPr>
      </w:pPr>
      <w:r w:rsidRPr="00AC2F94">
        <w:rPr>
          <w:rFonts w:ascii="Arial" w:hAnsi="Arial" w:cs="Arial"/>
          <w:iCs/>
          <w:color w:val="000000"/>
          <w:sz w:val="24"/>
          <w:szCs w:val="24"/>
          <w:lang w:eastAsia="en-AU"/>
        </w:rPr>
        <w:t>B</w:t>
      </w:r>
      <w:r w:rsidR="00571019" w:rsidRPr="00AC2F94">
        <w:rPr>
          <w:rFonts w:ascii="Arial" w:hAnsi="Arial" w:cs="Arial"/>
          <w:iCs/>
          <w:color w:val="000000"/>
          <w:sz w:val="24"/>
          <w:szCs w:val="24"/>
          <w:lang w:eastAsia="en-AU"/>
        </w:rPr>
        <w:t xml:space="preserve">roaden </w:t>
      </w:r>
      <w:r w:rsidR="00C353DA" w:rsidRPr="00AC2F94">
        <w:rPr>
          <w:rFonts w:ascii="Arial" w:hAnsi="Arial" w:cs="Arial"/>
          <w:iCs/>
          <w:color w:val="000000"/>
          <w:sz w:val="24"/>
          <w:szCs w:val="24"/>
          <w:lang w:eastAsia="en-AU"/>
        </w:rPr>
        <w:t>the Permissible Break definition in the ESL Guidelines to acknowledge that</w:t>
      </w:r>
      <w:r w:rsidR="00795938" w:rsidRPr="00AC2F94">
        <w:rPr>
          <w:rFonts w:ascii="Arial" w:hAnsi="Arial" w:cs="Arial"/>
          <w:iCs/>
          <w:color w:val="000000"/>
          <w:sz w:val="24"/>
          <w:szCs w:val="24"/>
          <w:lang w:eastAsia="en-AU"/>
        </w:rPr>
        <w:t>,</w:t>
      </w:r>
      <w:r w:rsidR="00C353DA" w:rsidRPr="00AC2F94">
        <w:rPr>
          <w:rFonts w:ascii="Arial" w:hAnsi="Arial" w:cs="Arial"/>
          <w:iCs/>
          <w:color w:val="000000"/>
          <w:sz w:val="24"/>
          <w:szCs w:val="24"/>
          <w:lang w:eastAsia="en-AU"/>
        </w:rPr>
        <w:t xml:space="preserve"> </w:t>
      </w:r>
      <w:r w:rsidR="00663483" w:rsidRPr="00AC2F94">
        <w:rPr>
          <w:rFonts w:ascii="Arial" w:hAnsi="Arial" w:cs="Arial"/>
          <w:iCs/>
          <w:color w:val="000000"/>
          <w:sz w:val="24"/>
          <w:szCs w:val="24"/>
          <w:lang w:eastAsia="en-AU"/>
        </w:rPr>
        <w:t>when a student undertaking an ASbAT turns 18</w:t>
      </w:r>
      <w:r w:rsidR="00795938" w:rsidRPr="00AC2F94">
        <w:rPr>
          <w:rFonts w:ascii="Arial" w:hAnsi="Arial" w:cs="Arial"/>
          <w:iCs/>
          <w:color w:val="000000"/>
          <w:sz w:val="24"/>
          <w:szCs w:val="24"/>
          <w:lang w:eastAsia="en-AU"/>
        </w:rPr>
        <w:t>,</w:t>
      </w:r>
      <w:r w:rsidR="00663483" w:rsidRPr="00AC2F94">
        <w:rPr>
          <w:rFonts w:ascii="Arial" w:hAnsi="Arial" w:cs="Arial"/>
          <w:iCs/>
          <w:color w:val="000000"/>
          <w:sz w:val="24"/>
          <w:szCs w:val="24"/>
          <w:lang w:eastAsia="en-AU"/>
        </w:rPr>
        <w:t xml:space="preserve"> they ma</w:t>
      </w:r>
      <w:r w:rsidR="00624F1B" w:rsidRPr="00AC2F94">
        <w:rPr>
          <w:rFonts w:ascii="Arial" w:hAnsi="Arial" w:cs="Arial"/>
          <w:iCs/>
          <w:color w:val="000000"/>
          <w:sz w:val="24"/>
          <w:szCs w:val="24"/>
          <w:lang w:eastAsia="en-AU"/>
        </w:rPr>
        <w:t xml:space="preserve">y not </w:t>
      </w:r>
      <w:r w:rsidRPr="00AC2F94">
        <w:rPr>
          <w:rFonts w:ascii="Arial" w:hAnsi="Arial" w:cs="Arial"/>
          <w:iCs/>
          <w:color w:val="000000"/>
          <w:sz w:val="24"/>
          <w:szCs w:val="24"/>
          <w:lang w:eastAsia="en-AU"/>
        </w:rPr>
        <w:t>have the</w:t>
      </w:r>
      <w:r w:rsidR="00C353DA" w:rsidRPr="00AC2F94">
        <w:rPr>
          <w:rFonts w:ascii="Arial" w:hAnsi="Arial" w:cs="Arial"/>
          <w:iCs/>
          <w:color w:val="000000"/>
          <w:sz w:val="24"/>
          <w:szCs w:val="24"/>
          <w:lang w:eastAsia="en-AU"/>
        </w:rPr>
        <w:t xml:space="preserve"> capacity to care for him or herself if a parent or guardian travels a</w:t>
      </w:r>
      <w:r w:rsidR="00571019" w:rsidRPr="00AC2F94">
        <w:rPr>
          <w:rFonts w:ascii="Arial" w:hAnsi="Arial" w:cs="Arial"/>
          <w:iCs/>
          <w:color w:val="000000"/>
          <w:sz w:val="24"/>
          <w:szCs w:val="24"/>
          <w:lang w:eastAsia="en-AU"/>
        </w:rPr>
        <w:t xml:space="preserve">way from the home.  </w:t>
      </w:r>
      <w:r w:rsidR="00624F1B" w:rsidRPr="00AC2F94">
        <w:rPr>
          <w:rFonts w:ascii="Arial" w:hAnsi="Arial" w:cs="Arial"/>
          <w:iCs/>
          <w:color w:val="000000"/>
          <w:sz w:val="24"/>
          <w:szCs w:val="24"/>
          <w:lang w:eastAsia="en-AU"/>
        </w:rPr>
        <w:t>T</w:t>
      </w:r>
      <w:r w:rsidR="00571019" w:rsidRPr="00AC2F94">
        <w:rPr>
          <w:rFonts w:ascii="Arial" w:hAnsi="Arial" w:cs="Arial"/>
          <w:iCs/>
          <w:color w:val="000000"/>
          <w:sz w:val="24"/>
          <w:szCs w:val="24"/>
          <w:lang w:eastAsia="en-AU"/>
        </w:rPr>
        <w:t>he individual may have to take leave if there is a family holiday</w:t>
      </w:r>
      <w:r w:rsidR="00795938" w:rsidRPr="00AC2F94">
        <w:rPr>
          <w:rFonts w:ascii="Arial" w:hAnsi="Arial" w:cs="Arial"/>
          <w:iCs/>
          <w:color w:val="000000"/>
          <w:sz w:val="24"/>
          <w:szCs w:val="24"/>
          <w:lang w:eastAsia="en-AU"/>
        </w:rPr>
        <w:t>,</w:t>
      </w:r>
      <w:r w:rsidR="00571019" w:rsidRPr="00AC2F94">
        <w:rPr>
          <w:rFonts w:ascii="Arial" w:hAnsi="Arial" w:cs="Arial"/>
          <w:iCs/>
          <w:color w:val="000000"/>
          <w:sz w:val="24"/>
          <w:szCs w:val="24"/>
          <w:lang w:eastAsia="en-AU"/>
        </w:rPr>
        <w:t xml:space="preserve"> where approved by the employer.</w:t>
      </w:r>
      <w:r w:rsidR="00C353DA" w:rsidRPr="00AC2F94">
        <w:rPr>
          <w:rFonts w:ascii="Arial" w:hAnsi="Arial" w:cs="Arial"/>
          <w:iCs/>
          <w:color w:val="000000"/>
          <w:sz w:val="24"/>
          <w:szCs w:val="24"/>
          <w:lang w:eastAsia="en-AU"/>
        </w:rPr>
        <w:t xml:space="preserve"> </w:t>
      </w:r>
    </w:p>
    <w:p w14:paraId="038938B3" w14:textId="77777777" w:rsidR="00C353DA" w:rsidRPr="00AC2F94" w:rsidRDefault="00624F1B" w:rsidP="00795938">
      <w:pPr>
        <w:pStyle w:val="ListParagraph"/>
        <w:numPr>
          <w:ilvl w:val="0"/>
          <w:numId w:val="14"/>
        </w:numPr>
        <w:spacing w:before="120" w:after="240" w:line="240" w:lineRule="auto"/>
        <w:ind w:left="425"/>
        <w:contextualSpacing w:val="0"/>
        <w:rPr>
          <w:rFonts w:ascii="Arial" w:hAnsi="Arial" w:cs="Arial"/>
          <w:sz w:val="24"/>
          <w:szCs w:val="24"/>
        </w:rPr>
      </w:pPr>
      <w:r w:rsidRPr="00AC2F94">
        <w:rPr>
          <w:rFonts w:ascii="Arial" w:hAnsi="Arial" w:cs="Arial"/>
          <w:sz w:val="24"/>
          <w:szCs w:val="24"/>
        </w:rPr>
        <w:t>S</w:t>
      </w:r>
      <w:r w:rsidR="00C353DA" w:rsidRPr="00AC2F94">
        <w:rPr>
          <w:rFonts w:ascii="Arial" w:hAnsi="Arial" w:cs="Arial"/>
          <w:sz w:val="24"/>
          <w:szCs w:val="24"/>
        </w:rPr>
        <w:t xml:space="preserve">tudents </w:t>
      </w:r>
      <w:r w:rsidR="00795938" w:rsidRPr="00AC2F94">
        <w:rPr>
          <w:rFonts w:ascii="Arial" w:hAnsi="Arial" w:cs="Arial"/>
          <w:sz w:val="24"/>
          <w:szCs w:val="24"/>
        </w:rPr>
        <w:t xml:space="preserve">should </w:t>
      </w:r>
      <w:r w:rsidR="00C353DA" w:rsidRPr="00AC2F94">
        <w:rPr>
          <w:rFonts w:ascii="Arial" w:hAnsi="Arial" w:cs="Arial"/>
          <w:sz w:val="24"/>
          <w:szCs w:val="24"/>
        </w:rPr>
        <w:t xml:space="preserve">be </w:t>
      </w:r>
      <w:r w:rsidRPr="00AC2F94">
        <w:rPr>
          <w:rFonts w:ascii="Arial" w:hAnsi="Arial" w:cs="Arial"/>
          <w:sz w:val="24"/>
          <w:szCs w:val="24"/>
        </w:rPr>
        <w:t>eligible</w:t>
      </w:r>
      <w:r w:rsidR="00C353DA" w:rsidRPr="00AC2F94">
        <w:rPr>
          <w:rFonts w:ascii="Arial" w:hAnsi="Arial" w:cs="Arial"/>
          <w:sz w:val="24"/>
          <w:szCs w:val="24"/>
        </w:rPr>
        <w:t xml:space="preserve"> to register with a DES provider in Year 9 </w:t>
      </w:r>
      <w:r w:rsidR="001B030A" w:rsidRPr="00AC2F94">
        <w:rPr>
          <w:rFonts w:ascii="Arial" w:hAnsi="Arial" w:cs="Arial"/>
          <w:sz w:val="24"/>
          <w:szCs w:val="24"/>
        </w:rPr>
        <w:t>or the</w:t>
      </w:r>
      <w:r w:rsidR="00C353DA" w:rsidRPr="00AC2F94">
        <w:rPr>
          <w:rFonts w:ascii="Arial" w:hAnsi="Arial" w:cs="Arial"/>
          <w:sz w:val="24"/>
          <w:szCs w:val="24"/>
        </w:rPr>
        <w:t xml:space="preserve"> Minimum employment age for that state</w:t>
      </w:r>
      <w:r w:rsidR="00C353DA" w:rsidRPr="00AC2F94">
        <w:rPr>
          <w:rStyle w:val="EndnoteReference"/>
          <w:rFonts w:ascii="Arial" w:hAnsi="Arial" w:cs="Arial"/>
          <w:sz w:val="24"/>
          <w:szCs w:val="24"/>
        </w:rPr>
        <w:endnoteReference w:id="1"/>
      </w:r>
      <w:r w:rsidR="00C353DA" w:rsidRPr="00AC2F94">
        <w:rPr>
          <w:rFonts w:ascii="Arial" w:hAnsi="Arial" w:cs="Arial"/>
          <w:sz w:val="24"/>
          <w:szCs w:val="24"/>
        </w:rPr>
        <w:t>. This would enable DES providers to work intensively with students in these critical transition</w:t>
      </w:r>
      <w:r w:rsidR="00795938" w:rsidRPr="00AC2F94">
        <w:rPr>
          <w:rFonts w:ascii="Arial" w:hAnsi="Arial" w:cs="Arial"/>
          <w:sz w:val="24"/>
          <w:szCs w:val="24"/>
        </w:rPr>
        <w:t>ing and pathways planning years</w:t>
      </w:r>
      <w:r w:rsidR="00C353DA" w:rsidRPr="00AC2F94">
        <w:rPr>
          <w:rFonts w:ascii="Arial" w:hAnsi="Arial" w:cs="Arial"/>
          <w:sz w:val="24"/>
          <w:szCs w:val="24"/>
        </w:rPr>
        <w:t xml:space="preserve"> and help to ensure that those who do not complete Year 12</w:t>
      </w:r>
      <w:r w:rsidR="00795938" w:rsidRPr="00AC2F94">
        <w:rPr>
          <w:rFonts w:ascii="Arial" w:hAnsi="Arial" w:cs="Arial"/>
          <w:sz w:val="24"/>
          <w:szCs w:val="24"/>
        </w:rPr>
        <w:t>,</w:t>
      </w:r>
      <w:r w:rsidR="00C353DA" w:rsidRPr="00AC2F94">
        <w:rPr>
          <w:rFonts w:ascii="Arial" w:hAnsi="Arial" w:cs="Arial"/>
          <w:sz w:val="24"/>
          <w:szCs w:val="24"/>
        </w:rPr>
        <w:t xml:space="preserve"> or its equivalent</w:t>
      </w:r>
      <w:r w:rsidR="00795938" w:rsidRPr="00AC2F94">
        <w:rPr>
          <w:rFonts w:ascii="Arial" w:hAnsi="Arial" w:cs="Arial"/>
          <w:sz w:val="24"/>
          <w:szCs w:val="24"/>
        </w:rPr>
        <w:t>,</w:t>
      </w:r>
      <w:r w:rsidR="00C353DA" w:rsidRPr="00AC2F94">
        <w:rPr>
          <w:rFonts w:ascii="Arial" w:hAnsi="Arial" w:cs="Arial"/>
          <w:sz w:val="24"/>
          <w:szCs w:val="24"/>
        </w:rPr>
        <w:t xml:space="preserve"> are captured and do not fall through the gap. This approach would also ensure DES engage</w:t>
      </w:r>
      <w:r w:rsidR="00C353DA" w:rsidRPr="00AC2F94">
        <w:rPr>
          <w:rFonts w:ascii="Arial" w:hAnsi="Arial" w:cs="Arial"/>
          <w:sz w:val="24"/>
          <w:szCs w:val="24"/>
        </w:rPr>
        <w:lastRenderedPageBreak/>
        <w:t xml:space="preserve">ment with the student’s family and school and contribute to counteracting the culture of low expectations often held by families and educators. </w:t>
      </w:r>
    </w:p>
    <w:p w14:paraId="4250CBB2" w14:textId="77777777" w:rsidR="00D457C4" w:rsidRPr="00AC2F94" w:rsidRDefault="001B030A" w:rsidP="00D457C4">
      <w:pPr>
        <w:pStyle w:val="ListParagraph"/>
        <w:numPr>
          <w:ilvl w:val="0"/>
          <w:numId w:val="14"/>
        </w:numPr>
        <w:spacing w:before="120" w:after="240" w:line="240" w:lineRule="auto"/>
        <w:ind w:left="425"/>
        <w:contextualSpacing w:val="0"/>
        <w:rPr>
          <w:rFonts w:ascii="Arial" w:hAnsi="Arial" w:cs="Arial"/>
          <w:sz w:val="24"/>
          <w:szCs w:val="24"/>
        </w:rPr>
      </w:pPr>
      <w:r w:rsidRPr="00AC2F94">
        <w:rPr>
          <w:rFonts w:ascii="Arial" w:hAnsi="Arial" w:cs="Arial"/>
          <w:sz w:val="24"/>
          <w:szCs w:val="24"/>
        </w:rPr>
        <w:t>ASbATs</w:t>
      </w:r>
      <w:r w:rsidR="00C353DA" w:rsidRPr="00AC2F94">
        <w:rPr>
          <w:rFonts w:ascii="Arial" w:hAnsi="Arial" w:cs="Arial"/>
          <w:sz w:val="24"/>
          <w:szCs w:val="24"/>
        </w:rPr>
        <w:t xml:space="preserve"> </w:t>
      </w:r>
      <w:r w:rsidR="00C353DA" w:rsidRPr="00AC2F94">
        <w:rPr>
          <w:rFonts w:ascii="Arial" w:hAnsi="Arial" w:cs="Arial"/>
          <w:b/>
          <w:sz w:val="24"/>
          <w:szCs w:val="24"/>
        </w:rPr>
        <w:t>should not</w:t>
      </w:r>
      <w:r w:rsidR="00C353DA" w:rsidRPr="00AC2F94">
        <w:rPr>
          <w:rFonts w:ascii="Arial" w:hAnsi="Arial" w:cs="Arial"/>
          <w:sz w:val="24"/>
          <w:szCs w:val="24"/>
        </w:rPr>
        <w:t xml:space="preserve"> be exempt from job placement </w:t>
      </w:r>
      <w:r w:rsidRPr="00AC2F94">
        <w:rPr>
          <w:rFonts w:ascii="Arial" w:hAnsi="Arial" w:cs="Arial"/>
          <w:sz w:val="24"/>
          <w:szCs w:val="24"/>
        </w:rPr>
        <w:t>fees.</w:t>
      </w:r>
      <w:r w:rsidR="00C353DA" w:rsidRPr="00AC2F94">
        <w:rPr>
          <w:rFonts w:ascii="Arial" w:hAnsi="Arial" w:cs="Arial"/>
          <w:sz w:val="24"/>
          <w:szCs w:val="24"/>
        </w:rPr>
        <w:t xml:space="preserve">  DES providers should </w:t>
      </w:r>
      <w:r w:rsidR="00795938" w:rsidRPr="00AC2F94">
        <w:rPr>
          <w:rFonts w:ascii="Arial" w:hAnsi="Arial" w:cs="Arial"/>
          <w:sz w:val="24"/>
          <w:szCs w:val="24"/>
        </w:rPr>
        <w:t>be able to register Y</w:t>
      </w:r>
      <w:r w:rsidR="00C353DA" w:rsidRPr="00AC2F94">
        <w:rPr>
          <w:rFonts w:ascii="Arial" w:hAnsi="Arial" w:cs="Arial"/>
          <w:sz w:val="24"/>
          <w:szCs w:val="24"/>
        </w:rPr>
        <w:t>ear 11 student</w:t>
      </w:r>
      <w:r w:rsidR="00795938" w:rsidRPr="00AC2F94">
        <w:rPr>
          <w:rFonts w:ascii="Arial" w:hAnsi="Arial" w:cs="Arial"/>
          <w:sz w:val="24"/>
          <w:szCs w:val="24"/>
        </w:rPr>
        <w:t>s</w:t>
      </w:r>
      <w:r w:rsidR="00C353DA" w:rsidRPr="00AC2F94">
        <w:rPr>
          <w:rFonts w:ascii="Arial" w:hAnsi="Arial" w:cs="Arial"/>
          <w:sz w:val="24"/>
          <w:szCs w:val="24"/>
        </w:rPr>
        <w:t xml:space="preserve"> </w:t>
      </w:r>
      <w:r w:rsidR="00795938" w:rsidRPr="00AC2F94">
        <w:rPr>
          <w:rFonts w:ascii="Arial" w:hAnsi="Arial" w:cs="Arial"/>
          <w:sz w:val="24"/>
          <w:szCs w:val="24"/>
        </w:rPr>
        <w:t>who</w:t>
      </w:r>
      <w:r w:rsidR="00C353DA" w:rsidRPr="00AC2F94">
        <w:rPr>
          <w:rFonts w:ascii="Arial" w:hAnsi="Arial" w:cs="Arial"/>
          <w:sz w:val="24"/>
          <w:szCs w:val="24"/>
        </w:rPr>
        <w:t xml:space="preserve"> wish to </w:t>
      </w:r>
      <w:r w:rsidR="00624F1B" w:rsidRPr="00AC2F94">
        <w:rPr>
          <w:rFonts w:ascii="Arial" w:hAnsi="Arial" w:cs="Arial"/>
          <w:sz w:val="24"/>
          <w:szCs w:val="24"/>
        </w:rPr>
        <w:t xml:space="preserve">undertake </w:t>
      </w:r>
      <w:r w:rsidR="00C353DA" w:rsidRPr="00AC2F94">
        <w:rPr>
          <w:rFonts w:ascii="Arial" w:hAnsi="Arial" w:cs="Arial"/>
          <w:sz w:val="24"/>
          <w:szCs w:val="24"/>
        </w:rPr>
        <w:t xml:space="preserve">an ASbAT to provide the support and preparation for an ASbAT </w:t>
      </w:r>
      <w:r w:rsidR="00624F1B" w:rsidRPr="00AC2F94">
        <w:rPr>
          <w:rFonts w:ascii="Arial" w:hAnsi="Arial" w:cs="Arial"/>
          <w:sz w:val="24"/>
          <w:szCs w:val="24"/>
        </w:rPr>
        <w:t>to ensure a successful account</w:t>
      </w:r>
      <w:r w:rsidR="00C353DA" w:rsidRPr="00AC2F94">
        <w:rPr>
          <w:rFonts w:ascii="Arial" w:hAnsi="Arial" w:cs="Arial"/>
          <w:sz w:val="24"/>
          <w:szCs w:val="24"/>
        </w:rPr>
        <w:t xml:space="preserve">. </w:t>
      </w:r>
    </w:p>
    <w:p w14:paraId="30A34CFF" w14:textId="77777777" w:rsidR="00D457C4" w:rsidRPr="00AC2F94" w:rsidRDefault="00D457C4" w:rsidP="00D457C4">
      <w:pPr>
        <w:pStyle w:val="ListParagraph"/>
        <w:numPr>
          <w:ilvl w:val="0"/>
          <w:numId w:val="14"/>
        </w:numPr>
        <w:spacing w:before="120" w:after="240" w:line="240" w:lineRule="auto"/>
        <w:ind w:left="425"/>
        <w:contextualSpacing w:val="0"/>
        <w:rPr>
          <w:rFonts w:ascii="Arial" w:hAnsi="Arial" w:cs="Arial"/>
          <w:sz w:val="24"/>
          <w:szCs w:val="24"/>
        </w:rPr>
      </w:pPr>
      <w:r w:rsidRPr="00AC2F94">
        <w:rPr>
          <w:rFonts w:ascii="Arial" w:hAnsi="Arial" w:cs="Arial"/>
          <w:sz w:val="24"/>
          <w:szCs w:val="24"/>
        </w:rPr>
        <w:t xml:space="preserve">The JCA and/or ESAt should not be used to determine future pathways for students with disability. Other assessment tools (such as </w:t>
      </w:r>
      <w:hyperlink r:id="rId13" w:history="1">
        <w:r w:rsidRPr="00AC2F94">
          <w:rPr>
            <w:rStyle w:val="Hyperlink"/>
            <w:rFonts w:ascii="Arial" w:hAnsi="Arial" w:cs="Arial"/>
            <w:b/>
            <w:bCs/>
            <w:sz w:val="24"/>
            <w:szCs w:val="24"/>
          </w:rPr>
          <w:t>Work Readiness Profile (WRP)</w:t>
        </w:r>
      </w:hyperlink>
      <w:r w:rsidRPr="00AC2F94">
        <w:rPr>
          <w:rFonts w:ascii="Arial" w:hAnsi="Arial" w:cs="Arial"/>
          <w:b/>
          <w:bCs/>
          <w:color w:val="484848"/>
          <w:sz w:val="24"/>
          <w:szCs w:val="24"/>
        </w:rPr>
        <w:t xml:space="preserve"> or </w:t>
      </w:r>
      <w:hyperlink r:id="rId14" w:history="1">
        <w:r w:rsidRPr="00AC2F94">
          <w:rPr>
            <w:rStyle w:val="Hyperlink"/>
            <w:rFonts w:ascii="Arial" w:hAnsi="Arial" w:cs="Arial"/>
            <w:b/>
            <w:bCs/>
            <w:sz w:val="24"/>
            <w:szCs w:val="24"/>
          </w:rPr>
          <w:t>R U Ready</w:t>
        </w:r>
      </w:hyperlink>
      <w:r w:rsidRPr="00AC2F94">
        <w:rPr>
          <w:rFonts w:ascii="Arial" w:hAnsi="Arial" w:cs="Arial"/>
          <w:b/>
          <w:bCs/>
          <w:color w:val="484848"/>
          <w:sz w:val="24"/>
          <w:szCs w:val="24"/>
        </w:rPr>
        <w:t xml:space="preserve">) </w:t>
      </w:r>
      <w:r w:rsidRPr="00AC2F94">
        <w:rPr>
          <w:rFonts w:ascii="Arial" w:hAnsi="Arial" w:cs="Arial"/>
          <w:bCs/>
          <w:color w:val="484848"/>
          <w:sz w:val="24"/>
          <w:szCs w:val="24"/>
        </w:rPr>
        <w:t xml:space="preserve">that </w:t>
      </w:r>
      <w:r w:rsidRPr="00AC2F94">
        <w:rPr>
          <w:rFonts w:ascii="Arial" w:hAnsi="Arial" w:cs="Arial"/>
          <w:sz w:val="24"/>
          <w:szCs w:val="24"/>
        </w:rPr>
        <w:t xml:space="preserve">are more age appropriate should be investigated to support and plan and support a student transitioning to open employment.   </w:t>
      </w:r>
    </w:p>
    <w:p w14:paraId="03CDAA9B" w14:textId="77777777" w:rsidR="00974D8F" w:rsidRPr="00AC2F94" w:rsidRDefault="00974D8F" w:rsidP="00795938">
      <w:pPr>
        <w:pStyle w:val="Default"/>
        <w:numPr>
          <w:ilvl w:val="0"/>
          <w:numId w:val="14"/>
        </w:numPr>
        <w:spacing w:before="120" w:after="240"/>
        <w:ind w:left="426"/>
        <w:rPr>
          <w:rFonts w:ascii="Arial" w:hAnsi="Arial" w:cs="Arial"/>
          <w:color w:val="auto"/>
        </w:rPr>
      </w:pPr>
      <w:r w:rsidRPr="00AC2F94">
        <w:rPr>
          <w:rFonts w:ascii="Arial" w:hAnsi="Arial" w:cs="Arial"/>
          <w:color w:val="auto"/>
        </w:rPr>
        <w:t xml:space="preserve">Australia could benefit from examining international practices especially </w:t>
      </w:r>
      <w:r w:rsidR="00D457C4" w:rsidRPr="00AC2F94">
        <w:rPr>
          <w:rFonts w:ascii="Arial" w:hAnsi="Arial" w:cs="Arial"/>
          <w:color w:val="auto"/>
        </w:rPr>
        <w:t>‘</w:t>
      </w:r>
      <w:r w:rsidRPr="00AC2F94">
        <w:rPr>
          <w:rFonts w:ascii="Arial" w:hAnsi="Arial" w:cs="Arial"/>
          <w:color w:val="auto"/>
        </w:rPr>
        <w:t>Employment First</w:t>
      </w:r>
      <w:r w:rsidR="00D457C4" w:rsidRPr="00AC2F94">
        <w:rPr>
          <w:rFonts w:ascii="Arial" w:hAnsi="Arial" w:cs="Arial"/>
          <w:color w:val="auto"/>
        </w:rPr>
        <w:t>’</w:t>
      </w:r>
      <w:r w:rsidRPr="00AC2F94">
        <w:rPr>
          <w:rFonts w:ascii="Arial" w:hAnsi="Arial" w:cs="Arial"/>
          <w:color w:val="auto"/>
        </w:rPr>
        <w:t xml:space="preserve"> that are delivering improved disability employment outcomes for young people in their transition from school.</w:t>
      </w:r>
    </w:p>
    <w:p w14:paraId="0416B93B" w14:textId="77777777" w:rsidR="006667CE" w:rsidRPr="00AC2F94" w:rsidRDefault="006667CE" w:rsidP="006667CE">
      <w:pPr>
        <w:pStyle w:val="Default"/>
        <w:spacing w:after="120" w:line="276" w:lineRule="auto"/>
        <w:jc w:val="both"/>
        <w:rPr>
          <w:rFonts w:ascii="Arial" w:hAnsi="Arial" w:cs="Arial"/>
          <w:i/>
          <w:color w:val="auto"/>
          <w:sz w:val="22"/>
          <w:szCs w:val="22"/>
        </w:rPr>
      </w:pPr>
    </w:p>
    <w:p w14:paraId="76CCB365" w14:textId="77777777" w:rsidR="006667CE" w:rsidRPr="00AC2F94" w:rsidRDefault="006667CE" w:rsidP="006667CE">
      <w:pPr>
        <w:pStyle w:val="Default"/>
        <w:spacing w:after="120" w:line="276" w:lineRule="auto"/>
        <w:jc w:val="both"/>
        <w:rPr>
          <w:rFonts w:ascii="Arial" w:hAnsi="Arial" w:cs="Arial"/>
          <w:i/>
          <w:color w:val="auto"/>
          <w:sz w:val="22"/>
          <w:szCs w:val="22"/>
        </w:rPr>
      </w:pPr>
    </w:p>
    <w:p w14:paraId="260B14EA" w14:textId="77777777" w:rsidR="006667CE" w:rsidRPr="00AC2F94" w:rsidRDefault="006667CE" w:rsidP="006667CE">
      <w:pPr>
        <w:pStyle w:val="Default"/>
        <w:spacing w:after="120" w:line="276" w:lineRule="auto"/>
        <w:jc w:val="both"/>
        <w:rPr>
          <w:rFonts w:ascii="Arial" w:hAnsi="Arial" w:cs="Arial"/>
          <w:i/>
          <w:color w:val="auto"/>
          <w:sz w:val="22"/>
          <w:szCs w:val="22"/>
        </w:rPr>
      </w:pPr>
    </w:p>
    <w:p w14:paraId="122E2C27" w14:textId="77777777" w:rsidR="006667CE" w:rsidRPr="00AC2F94" w:rsidRDefault="006667CE" w:rsidP="006667CE">
      <w:pPr>
        <w:pStyle w:val="Default"/>
        <w:spacing w:after="120" w:line="276" w:lineRule="auto"/>
        <w:jc w:val="both"/>
        <w:rPr>
          <w:rFonts w:ascii="Arial" w:hAnsi="Arial" w:cs="Arial"/>
          <w:i/>
          <w:color w:val="auto"/>
          <w:sz w:val="22"/>
          <w:szCs w:val="22"/>
        </w:rPr>
      </w:pPr>
    </w:p>
    <w:p w14:paraId="17CD668B" w14:textId="77777777" w:rsidR="003414BC" w:rsidRPr="00AC2F94" w:rsidRDefault="003414BC" w:rsidP="00974D8F">
      <w:pPr>
        <w:pStyle w:val="ListParagraph"/>
        <w:spacing w:after="120" w:line="276" w:lineRule="auto"/>
        <w:ind w:left="425"/>
        <w:contextualSpacing w:val="0"/>
        <w:jc w:val="both"/>
        <w:rPr>
          <w:rFonts w:ascii="Arial" w:hAnsi="Arial" w:cs="Arial"/>
          <w:i/>
        </w:rPr>
      </w:pPr>
    </w:p>
    <w:sdt>
      <w:sdtPr>
        <w:rPr>
          <w:rFonts w:ascii="Arial" w:eastAsiaTheme="minorHAnsi" w:hAnsi="Arial" w:cs="Arial"/>
          <w:b w:val="0"/>
          <w:bCs w:val="0"/>
          <w:color w:val="auto"/>
          <w:sz w:val="22"/>
          <w:szCs w:val="22"/>
          <w:lang w:val="en-AU"/>
        </w:rPr>
        <w:id w:val="627182549"/>
        <w:docPartObj>
          <w:docPartGallery w:val="Table of Contents"/>
          <w:docPartUnique/>
        </w:docPartObj>
      </w:sdtPr>
      <w:sdtEndPr/>
      <w:sdtContent>
        <w:p w14:paraId="3DE39393" w14:textId="77777777" w:rsidR="00E95807" w:rsidRPr="00AC2F94" w:rsidRDefault="00E95807" w:rsidP="00D85ABB">
          <w:pPr>
            <w:pStyle w:val="TOCHeading"/>
            <w:spacing w:before="0" w:after="120"/>
            <w:rPr>
              <w:rFonts w:ascii="Arial" w:hAnsi="Arial" w:cs="Arial"/>
              <w:color w:val="auto"/>
              <w:sz w:val="32"/>
              <w:szCs w:val="32"/>
            </w:rPr>
          </w:pPr>
          <w:r w:rsidRPr="00AC2F94">
            <w:rPr>
              <w:rFonts w:ascii="Arial" w:hAnsi="Arial" w:cs="Arial"/>
              <w:color w:val="auto"/>
              <w:sz w:val="32"/>
              <w:szCs w:val="32"/>
            </w:rPr>
            <w:t>Contents</w:t>
          </w:r>
        </w:p>
        <w:p w14:paraId="5EA14744" w14:textId="77777777" w:rsidR="008E0D45" w:rsidRPr="00AC2F94" w:rsidRDefault="00F47FC9">
          <w:pPr>
            <w:pStyle w:val="TOC1"/>
            <w:tabs>
              <w:tab w:val="right" w:leader="dot" w:pos="9854"/>
            </w:tabs>
            <w:rPr>
              <w:rFonts w:eastAsiaTheme="minorEastAsia"/>
              <w:noProof/>
              <w:sz w:val="24"/>
              <w:szCs w:val="24"/>
              <w:lang w:eastAsia="en-AU"/>
            </w:rPr>
          </w:pPr>
          <w:r w:rsidRPr="00AC2F94">
            <w:rPr>
              <w:rFonts w:ascii="Arial" w:hAnsi="Arial" w:cs="Arial"/>
            </w:rPr>
            <w:fldChar w:fldCharType="begin"/>
          </w:r>
          <w:r w:rsidR="00E95807" w:rsidRPr="00AC2F94">
            <w:rPr>
              <w:rFonts w:ascii="Arial" w:hAnsi="Arial" w:cs="Arial"/>
            </w:rPr>
            <w:instrText xml:space="preserve"> TOC \o "1-3" \h \z \u </w:instrText>
          </w:r>
          <w:r w:rsidRPr="00AC2F94">
            <w:rPr>
              <w:rFonts w:ascii="Arial" w:hAnsi="Arial" w:cs="Arial"/>
            </w:rPr>
            <w:fldChar w:fldCharType="separate"/>
          </w:r>
          <w:hyperlink w:anchor="_Toc419281988" w:history="1">
            <w:r w:rsidR="008E0D45" w:rsidRPr="00AC2F94">
              <w:rPr>
                <w:rStyle w:val="Hyperlink"/>
                <w:rFonts w:ascii="Arial" w:hAnsi="Arial" w:cs="Arial"/>
                <w:noProof/>
                <w:sz w:val="24"/>
                <w:szCs w:val="24"/>
              </w:rPr>
              <w:t>National Ticket to Work</w:t>
            </w:r>
            <w:r w:rsidR="008E0D45" w:rsidRPr="00AC2F94">
              <w:rPr>
                <w:rStyle w:val="Hyperlink"/>
                <w:rFonts w:ascii="Arial" w:hAnsi="Arial" w:cs="Arial"/>
                <w:i/>
                <w:noProof/>
                <w:sz w:val="24"/>
                <w:szCs w:val="24"/>
              </w:rPr>
              <w:t xml:space="preserve"> </w:t>
            </w:r>
            <w:r w:rsidR="008E0D45" w:rsidRPr="00AC2F94">
              <w:rPr>
                <w:rStyle w:val="Hyperlink"/>
                <w:rFonts w:ascii="Arial" w:hAnsi="Arial" w:cs="Arial"/>
                <w:noProof/>
                <w:sz w:val="24"/>
                <w:szCs w:val="24"/>
              </w:rPr>
              <w:t>Background</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_Toc419281988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4</w:t>
            </w:r>
            <w:r w:rsidR="008E0D45" w:rsidRPr="00AC2F94">
              <w:rPr>
                <w:noProof/>
                <w:webHidden/>
                <w:sz w:val="24"/>
                <w:szCs w:val="24"/>
              </w:rPr>
              <w:fldChar w:fldCharType="end"/>
            </w:r>
          </w:hyperlink>
        </w:p>
        <w:p w14:paraId="6C37E5E0" w14:textId="77777777" w:rsidR="008E0D45" w:rsidRPr="00AC2F94" w:rsidRDefault="003162D4">
          <w:pPr>
            <w:pStyle w:val="TOC1"/>
            <w:tabs>
              <w:tab w:val="right" w:leader="dot" w:pos="9854"/>
            </w:tabs>
            <w:rPr>
              <w:rFonts w:eastAsiaTheme="minorEastAsia"/>
              <w:noProof/>
              <w:sz w:val="24"/>
              <w:szCs w:val="24"/>
              <w:lang w:eastAsia="en-AU"/>
            </w:rPr>
          </w:pPr>
          <w:hyperlink w:anchor="_Toc419281989" w:history="1">
            <w:r w:rsidR="008E0D45" w:rsidRPr="00AC2F94">
              <w:rPr>
                <w:rStyle w:val="Hyperlink"/>
                <w:rFonts w:ascii="Arial" w:hAnsi="Arial" w:cs="Arial"/>
                <w:noProof/>
                <w:sz w:val="24"/>
                <w:szCs w:val="24"/>
              </w:rPr>
              <w:t>Rationale for the Recommendation</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_Toc419281989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5</w:t>
            </w:r>
            <w:r w:rsidR="008E0D45" w:rsidRPr="00AC2F94">
              <w:rPr>
                <w:noProof/>
                <w:webHidden/>
                <w:sz w:val="24"/>
                <w:szCs w:val="24"/>
              </w:rPr>
              <w:fldChar w:fldCharType="end"/>
            </w:r>
          </w:hyperlink>
        </w:p>
        <w:p w14:paraId="377AAAFA" w14:textId="77777777" w:rsidR="008E0D45" w:rsidRPr="00AC2F94" w:rsidRDefault="003162D4">
          <w:pPr>
            <w:pStyle w:val="TOC1"/>
            <w:tabs>
              <w:tab w:val="right" w:leader="dot" w:pos="9854"/>
            </w:tabs>
            <w:rPr>
              <w:rFonts w:eastAsiaTheme="minorEastAsia"/>
              <w:noProof/>
              <w:sz w:val="24"/>
              <w:szCs w:val="24"/>
              <w:lang w:eastAsia="en-AU"/>
            </w:rPr>
          </w:pPr>
          <w:hyperlink w:anchor="_Toc419281990" w:history="1">
            <w:r w:rsidR="008E0D45" w:rsidRPr="00AC2F94">
              <w:rPr>
                <w:rStyle w:val="Hyperlink"/>
                <w:rFonts w:ascii="Arial" w:hAnsi="Arial" w:cs="Arial"/>
                <w:noProof/>
                <w:sz w:val="24"/>
                <w:szCs w:val="24"/>
              </w:rPr>
              <w:t>Definition of Outcomes for Full Time Students with Disability.</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_Toc419281990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5</w:t>
            </w:r>
            <w:r w:rsidR="008E0D45" w:rsidRPr="00AC2F94">
              <w:rPr>
                <w:noProof/>
                <w:webHidden/>
                <w:sz w:val="24"/>
                <w:szCs w:val="24"/>
              </w:rPr>
              <w:fldChar w:fldCharType="end"/>
            </w:r>
          </w:hyperlink>
        </w:p>
        <w:p w14:paraId="77FE022C" w14:textId="77777777" w:rsidR="008E0D45" w:rsidRPr="00AC2F94" w:rsidRDefault="003162D4">
          <w:pPr>
            <w:pStyle w:val="TOC2"/>
            <w:rPr>
              <w:rFonts w:asciiTheme="minorHAnsi" w:eastAsiaTheme="minorEastAsia" w:hAnsiTheme="minorHAnsi" w:cstheme="minorBidi"/>
              <w:bCs w:val="0"/>
              <w:sz w:val="24"/>
              <w:szCs w:val="24"/>
            </w:rPr>
          </w:pPr>
          <w:hyperlink w:anchor="_Toc419281991" w:history="1">
            <w:r w:rsidR="008E0D45" w:rsidRPr="00AC2F94">
              <w:rPr>
                <w:rStyle w:val="Hyperlink"/>
                <w:rFonts w:ascii="Arial" w:hAnsi="Arial" w:cs="Arial"/>
                <w:sz w:val="24"/>
                <w:szCs w:val="24"/>
              </w:rPr>
              <w:t>DES and School Partnerships</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_Toc419281991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6</w:t>
            </w:r>
            <w:r w:rsidR="008E0D45" w:rsidRPr="00AC2F94">
              <w:rPr>
                <w:webHidden/>
                <w:sz w:val="24"/>
                <w:szCs w:val="24"/>
              </w:rPr>
              <w:fldChar w:fldCharType="end"/>
            </w:r>
          </w:hyperlink>
        </w:p>
        <w:p w14:paraId="66A64B84" w14:textId="77777777" w:rsidR="008E0D45" w:rsidRPr="00AC2F94" w:rsidRDefault="003162D4">
          <w:pPr>
            <w:pStyle w:val="TOC1"/>
            <w:tabs>
              <w:tab w:val="right" w:leader="dot" w:pos="9854"/>
            </w:tabs>
            <w:rPr>
              <w:rFonts w:eastAsiaTheme="minorEastAsia"/>
              <w:noProof/>
              <w:sz w:val="24"/>
              <w:szCs w:val="24"/>
              <w:lang w:eastAsia="en-AU"/>
            </w:rPr>
          </w:pPr>
          <w:hyperlink w:anchor="_Toc419281992" w:history="1">
            <w:r w:rsidR="008E0D45" w:rsidRPr="00AC2F94">
              <w:rPr>
                <w:rStyle w:val="Hyperlink"/>
                <w:rFonts w:ascii="Arial" w:hAnsi="Arial" w:cs="Arial"/>
                <w:noProof/>
                <w:sz w:val="24"/>
                <w:szCs w:val="24"/>
              </w:rPr>
              <w:t>Eligible School Leaver and DES Guidelines</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_Toc419281992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7</w:t>
            </w:r>
            <w:r w:rsidR="008E0D45" w:rsidRPr="00AC2F94">
              <w:rPr>
                <w:noProof/>
                <w:webHidden/>
                <w:sz w:val="24"/>
                <w:szCs w:val="24"/>
              </w:rPr>
              <w:fldChar w:fldCharType="end"/>
            </w:r>
          </w:hyperlink>
        </w:p>
        <w:p w14:paraId="14ABF8C6" w14:textId="77777777" w:rsidR="008E0D45" w:rsidRPr="00AC2F94" w:rsidRDefault="003162D4">
          <w:pPr>
            <w:pStyle w:val="TOC2"/>
            <w:rPr>
              <w:rFonts w:asciiTheme="minorHAnsi" w:eastAsiaTheme="minorEastAsia" w:hAnsiTheme="minorHAnsi" w:cstheme="minorBidi"/>
              <w:bCs w:val="0"/>
              <w:sz w:val="24"/>
              <w:szCs w:val="24"/>
            </w:rPr>
          </w:pPr>
          <w:hyperlink w:anchor="_Toc419281993" w:history="1">
            <w:r w:rsidR="008E0D45" w:rsidRPr="00AC2F94">
              <w:rPr>
                <w:rStyle w:val="Hyperlink"/>
                <w:rFonts w:ascii="Arial" w:hAnsi="Arial" w:cs="Arial"/>
                <w:sz w:val="24"/>
                <w:szCs w:val="24"/>
              </w:rPr>
              <w:t>Registration of Eligible School Leaver at a School involved in Ticket to Work</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_Toc419281993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7</w:t>
            </w:r>
            <w:r w:rsidR="008E0D45" w:rsidRPr="00AC2F94">
              <w:rPr>
                <w:webHidden/>
                <w:sz w:val="24"/>
                <w:szCs w:val="24"/>
              </w:rPr>
              <w:fldChar w:fldCharType="end"/>
            </w:r>
          </w:hyperlink>
        </w:p>
        <w:p w14:paraId="24737409" w14:textId="77777777" w:rsidR="008E0D45" w:rsidRPr="00AC2F94" w:rsidRDefault="003162D4">
          <w:pPr>
            <w:pStyle w:val="TOC2"/>
            <w:rPr>
              <w:rFonts w:asciiTheme="minorHAnsi" w:eastAsiaTheme="minorEastAsia" w:hAnsiTheme="minorHAnsi" w:cstheme="minorBidi"/>
              <w:bCs w:val="0"/>
              <w:sz w:val="24"/>
              <w:szCs w:val="24"/>
            </w:rPr>
          </w:pPr>
          <w:hyperlink w:anchor="_Toc419281994" w:history="1">
            <w:r w:rsidR="008E0D45" w:rsidRPr="00AC2F94">
              <w:rPr>
                <w:rStyle w:val="Hyperlink"/>
                <w:rFonts w:ascii="Arial" w:hAnsi="Arial" w:cs="Arial"/>
                <w:sz w:val="24"/>
                <w:szCs w:val="24"/>
              </w:rPr>
              <w:t>ASbAT hours vs. DES employment requirements</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_Toc419281994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7</w:t>
            </w:r>
            <w:r w:rsidR="008E0D45" w:rsidRPr="00AC2F94">
              <w:rPr>
                <w:webHidden/>
                <w:sz w:val="24"/>
                <w:szCs w:val="24"/>
              </w:rPr>
              <w:fldChar w:fldCharType="end"/>
            </w:r>
          </w:hyperlink>
        </w:p>
        <w:p w14:paraId="7C374845" w14:textId="77777777" w:rsidR="008E0D45" w:rsidRPr="00AC2F94" w:rsidRDefault="003162D4">
          <w:pPr>
            <w:pStyle w:val="TOC2"/>
            <w:rPr>
              <w:rFonts w:asciiTheme="minorHAnsi" w:eastAsiaTheme="minorEastAsia" w:hAnsiTheme="minorHAnsi" w:cstheme="minorBidi"/>
              <w:bCs w:val="0"/>
              <w:sz w:val="24"/>
              <w:szCs w:val="24"/>
            </w:rPr>
          </w:pPr>
          <w:hyperlink w:anchor="_Toc419281995" w:history="1">
            <w:r w:rsidR="008E0D45" w:rsidRPr="00AC2F94">
              <w:rPr>
                <w:rStyle w:val="Hyperlink"/>
                <w:rFonts w:ascii="Arial" w:hAnsi="Arial" w:cs="Arial"/>
                <w:sz w:val="24"/>
                <w:szCs w:val="24"/>
              </w:rPr>
              <w:t>Permissible Breaks – School Camps and Excursions</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_Toc419281995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8</w:t>
            </w:r>
            <w:r w:rsidR="008E0D45" w:rsidRPr="00AC2F94">
              <w:rPr>
                <w:webHidden/>
                <w:sz w:val="24"/>
                <w:szCs w:val="24"/>
              </w:rPr>
              <w:fldChar w:fldCharType="end"/>
            </w:r>
          </w:hyperlink>
        </w:p>
        <w:p w14:paraId="6FDC7873" w14:textId="77777777" w:rsidR="008E0D45" w:rsidRPr="00AC2F94" w:rsidRDefault="003162D4">
          <w:pPr>
            <w:pStyle w:val="TOC2"/>
            <w:rPr>
              <w:rFonts w:asciiTheme="minorHAnsi" w:eastAsiaTheme="minorEastAsia" w:hAnsiTheme="minorHAnsi" w:cstheme="minorBidi"/>
              <w:bCs w:val="0"/>
              <w:sz w:val="24"/>
              <w:szCs w:val="24"/>
            </w:rPr>
          </w:pPr>
          <w:hyperlink w:anchor="_Toc419281996" w:history="1">
            <w:r w:rsidR="008E0D45" w:rsidRPr="00AC2F94">
              <w:rPr>
                <w:rStyle w:val="Hyperlink"/>
                <w:rFonts w:ascii="Arial" w:hAnsi="Arial" w:cs="Arial"/>
                <w:sz w:val="24"/>
                <w:szCs w:val="24"/>
              </w:rPr>
              <w:t>Permissible Breaks – Family Holidays</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_Toc419281996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9</w:t>
            </w:r>
            <w:r w:rsidR="008E0D45" w:rsidRPr="00AC2F94">
              <w:rPr>
                <w:webHidden/>
                <w:sz w:val="24"/>
                <w:szCs w:val="24"/>
              </w:rPr>
              <w:fldChar w:fldCharType="end"/>
            </w:r>
          </w:hyperlink>
        </w:p>
        <w:p w14:paraId="7805B781" w14:textId="77777777" w:rsidR="008E0D45" w:rsidRPr="00AC2F94" w:rsidRDefault="003162D4">
          <w:pPr>
            <w:pStyle w:val="TOC2"/>
            <w:rPr>
              <w:rFonts w:asciiTheme="minorHAnsi" w:eastAsiaTheme="minorEastAsia" w:hAnsiTheme="minorHAnsi" w:cstheme="minorBidi"/>
              <w:bCs w:val="0"/>
              <w:sz w:val="24"/>
              <w:szCs w:val="24"/>
            </w:rPr>
          </w:pPr>
          <w:hyperlink w:anchor="_Toc419281997" w:history="1">
            <w:r w:rsidR="008E0D45" w:rsidRPr="00AC2F94">
              <w:rPr>
                <w:rStyle w:val="Hyperlink"/>
                <w:rFonts w:ascii="Arial" w:hAnsi="Arial" w:cs="Arial"/>
                <w:sz w:val="24"/>
                <w:szCs w:val="24"/>
              </w:rPr>
              <w:t>Definition of an Eligible School Leaver (ESL)</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_Toc419281997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10</w:t>
            </w:r>
            <w:r w:rsidR="008E0D45" w:rsidRPr="00AC2F94">
              <w:rPr>
                <w:webHidden/>
                <w:sz w:val="24"/>
                <w:szCs w:val="24"/>
              </w:rPr>
              <w:fldChar w:fldCharType="end"/>
            </w:r>
          </w:hyperlink>
        </w:p>
        <w:p w14:paraId="0E5DC714" w14:textId="77777777" w:rsidR="008E0D45" w:rsidRPr="00AC2F94" w:rsidRDefault="003162D4">
          <w:pPr>
            <w:pStyle w:val="TOC2"/>
            <w:rPr>
              <w:rFonts w:asciiTheme="minorHAnsi" w:eastAsiaTheme="minorEastAsia" w:hAnsiTheme="minorHAnsi" w:cstheme="minorBidi"/>
              <w:bCs w:val="0"/>
              <w:sz w:val="24"/>
              <w:szCs w:val="24"/>
            </w:rPr>
          </w:pPr>
          <w:hyperlink w:anchor="_Toc419281998" w:history="1">
            <w:r w:rsidR="008E0D45" w:rsidRPr="00AC2F94">
              <w:rPr>
                <w:rStyle w:val="Hyperlink"/>
                <w:rFonts w:ascii="Arial" w:hAnsi="Arial" w:cs="Arial"/>
                <w:sz w:val="24"/>
                <w:szCs w:val="24"/>
              </w:rPr>
              <w:t>Australian School Based Apprenticeships and Traineeships (ASbATs)</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_Toc419281998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11</w:t>
            </w:r>
            <w:r w:rsidR="008E0D45" w:rsidRPr="00AC2F94">
              <w:rPr>
                <w:webHidden/>
                <w:sz w:val="24"/>
                <w:szCs w:val="24"/>
              </w:rPr>
              <w:fldChar w:fldCharType="end"/>
            </w:r>
          </w:hyperlink>
        </w:p>
        <w:p w14:paraId="3EAAFD71" w14:textId="77777777" w:rsidR="008E0D45" w:rsidRPr="00AC2F94" w:rsidRDefault="003162D4">
          <w:pPr>
            <w:pStyle w:val="TOC1"/>
            <w:tabs>
              <w:tab w:val="right" w:leader="dot" w:pos="9854"/>
            </w:tabs>
            <w:rPr>
              <w:rFonts w:eastAsiaTheme="minorEastAsia"/>
              <w:noProof/>
              <w:sz w:val="24"/>
              <w:szCs w:val="24"/>
              <w:lang w:eastAsia="en-AU"/>
            </w:rPr>
          </w:pPr>
          <w:hyperlink w:anchor="_Toc419281999" w:history="1">
            <w:r w:rsidR="008E0D45" w:rsidRPr="00AC2F94">
              <w:rPr>
                <w:rStyle w:val="Hyperlink"/>
                <w:rFonts w:ascii="Arial" w:hAnsi="Arial" w:cs="Arial"/>
                <w:noProof/>
                <w:sz w:val="24"/>
                <w:szCs w:val="24"/>
              </w:rPr>
              <w:t>Other Matters</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_Toc419281999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12</w:t>
            </w:r>
            <w:r w:rsidR="008E0D45" w:rsidRPr="00AC2F94">
              <w:rPr>
                <w:noProof/>
                <w:webHidden/>
                <w:sz w:val="24"/>
                <w:szCs w:val="24"/>
              </w:rPr>
              <w:fldChar w:fldCharType="end"/>
            </w:r>
          </w:hyperlink>
        </w:p>
        <w:p w14:paraId="40C9B436" w14:textId="77777777" w:rsidR="008E0D45" w:rsidRPr="00AC2F94" w:rsidRDefault="003162D4">
          <w:pPr>
            <w:pStyle w:val="TOC2"/>
            <w:rPr>
              <w:rFonts w:asciiTheme="minorHAnsi" w:eastAsiaTheme="minorEastAsia" w:hAnsiTheme="minorHAnsi" w:cstheme="minorBidi"/>
              <w:bCs w:val="0"/>
              <w:sz w:val="24"/>
              <w:szCs w:val="24"/>
            </w:rPr>
          </w:pPr>
          <w:hyperlink w:anchor="_Toc419282000" w:history="1">
            <w:r w:rsidR="008E0D45" w:rsidRPr="00AC2F94">
              <w:rPr>
                <w:rStyle w:val="Hyperlink"/>
                <w:rFonts w:ascii="Arial" w:hAnsi="Arial" w:cs="Arial"/>
                <w:sz w:val="24"/>
                <w:szCs w:val="24"/>
              </w:rPr>
              <w:t>Use of Assessment (such as the ESAt or JCA).</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_Toc419282000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12</w:t>
            </w:r>
            <w:r w:rsidR="008E0D45" w:rsidRPr="00AC2F94">
              <w:rPr>
                <w:webHidden/>
                <w:sz w:val="24"/>
                <w:szCs w:val="24"/>
              </w:rPr>
              <w:fldChar w:fldCharType="end"/>
            </w:r>
          </w:hyperlink>
        </w:p>
        <w:p w14:paraId="1513657E" w14:textId="77777777" w:rsidR="008E0D45" w:rsidRPr="00AC2F94" w:rsidRDefault="003162D4">
          <w:pPr>
            <w:pStyle w:val="TOC2"/>
            <w:rPr>
              <w:rFonts w:asciiTheme="minorHAnsi" w:eastAsiaTheme="minorEastAsia" w:hAnsiTheme="minorHAnsi" w:cstheme="minorBidi"/>
              <w:bCs w:val="0"/>
              <w:sz w:val="24"/>
              <w:szCs w:val="24"/>
            </w:rPr>
          </w:pPr>
          <w:hyperlink w:anchor="_Toc419282001" w:history="1">
            <w:r w:rsidR="008E0D45" w:rsidRPr="00AC2F94">
              <w:rPr>
                <w:rStyle w:val="Hyperlink"/>
                <w:rFonts w:ascii="Arial" w:hAnsi="Arial" w:cs="Arial"/>
                <w:sz w:val="24"/>
                <w:szCs w:val="24"/>
              </w:rPr>
              <w:t>Employment First Policy.</w:t>
            </w:r>
            <w:r w:rsidR="008E0D45" w:rsidRPr="00AC2F94">
              <w:rPr>
                <w:webHidden/>
                <w:sz w:val="24"/>
                <w:szCs w:val="24"/>
              </w:rPr>
              <w:tab/>
            </w:r>
            <w:r w:rsidR="008E0D45" w:rsidRPr="00AC2F94">
              <w:rPr>
                <w:webHidden/>
                <w:sz w:val="24"/>
                <w:szCs w:val="24"/>
              </w:rPr>
              <w:fldChar w:fldCharType="begin"/>
            </w:r>
            <w:r w:rsidR="008E0D45" w:rsidRPr="00AC2F94">
              <w:rPr>
                <w:webHidden/>
                <w:sz w:val="24"/>
                <w:szCs w:val="24"/>
              </w:rPr>
              <w:instrText xml:space="preserve"> PAGEREF _Toc419282001 \h </w:instrText>
            </w:r>
            <w:r w:rsidR="008E0D45" w:rsidRPr="00AC2F94">
              <w:rPr>
                <w:webHidden/>
                <w:sz w:val="24"/>
                <w:szCs w:val="24"/>
              </w:rPr>
            </w:r>
            <w:r w:rsidR="008E0D45" w:rsidRPr="00AC2F94">
              <w:rPr>
                <w:webHidden/>
                <w:sz w:val="24"/>
                <w:szCs w:val="24"/>
              </w:rPr>
              <w:fldChar w:fldCharType="separate"/>
            </w:r>
            <w:r w:rsidR="008E0D45" w:rsidRPr="00AC2F94">
              <w:rPr>
                <w:webHidden/>
                <w:sz w:val="24"/>
                <w:szCs w:val="24"/>
              </w:rPr>
              <w:t>14</w:t>
            </w:r>
            <w:r w:rsidR="008E0D45" w:rsidRPr="00AC2F94">
              <w:rPr>
                <w:webHidden/>
                <w:sz w:val="24"/>
                <w:szCs w:val="24"/>
              </w:rPr>
              <w:fldChar w:fldCharType="end"/>
            </w:r>
          </w:hyperlink>
        </w:p>
        <w:p w14:paraId="24295F81" w14:textId="77777777" w:rsidR="008E0D45" w:rsidRPr="00AC2F94" w:rsidRDefault="003162D4">
          <w:pPr>
            <w:pStyle w:val="TOC1"/>
            <w:tabs>
              <w:tab w:val="right" w:leader="dot" w:pos="9854"/>
            </w:tabs>
            <w:rPr>
              <w:rFonts w:eastAsiaTheme="minorEastAsia"/>
              <w:noProof/>
              <w:sz w:val="24"/>
              <w:szCs w:val="24"/>
              <w:lang w:eastAsia="en-AU"/>
            </w:rPr>
          </w:pPr>
          <w:hyperlink w:anchor="_Toc419282002" w:history="1">
            <w:r w:rsidR="008E0D45" w:rsidRPr="00AC2F94">
              <w:rPr>
                <w:rStyle w:val="Hyperlink"/>
                <w:rFonts w:ascii="Arial" w:hAnsi="Arial" w:cs="Arial"/>
                <w:noProof/>
                <w:sz w:val="24"/>
                <w:szCs w:val="24"/>
              </w:rPr>
              <w:t>Conclusion</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_Toc419282002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15</w:t>
            </w:r>
            <w:r w:rsidR="008E0D45" w:rsidRPr="00AC2F94">
              <w:rPr>
                <w:noProof/>
                <w:webHidden/>
                <w:sz w:val="24"/>
                <w:szCs w:val="24"/>
              </w:rPr>
              <w:fldChar w:fldCharType="end"/>
            </w:r>
          </w:hyperlink>
        </w:p>
        <w:p w14:paraId="62418B56" w14:textId="77777777" w:rsidR="008E0D45" w:rsidRPr="00AC2F94" w:rsidRDefault="003162D4">
          <w:pPr>
            <w:pStyle w:val="TOC1"/>
            <w:tabs>
              <w:tab w:val="right" w:leader="dot" w:pos="9854"/>
            </w:tabs>
            <w:rPr>
              <w:rFonts w:eastAsiaTheme="minorEastAsia"/>
              <w:noProof/>
              <w:lang w:eastAsia="en-AU"/>
            </w:rPr>
          </w:pPr>
          <w:hyperlink w:anchor="_Toc419282003" w:history="1">
            <w:r w:rsidR="008E0D45" w:rsidRPr="00AC2F94">
              <w:rPr>
                <w:rStyle w:val="Hyperlink"/>
                <w:rFonts w:ascii="Arial" w:hAnsi="Arial" w:cs="Arial"/>
                <w:noProof/>
                <w:sz w:val="24"/>
                <w:szCs w:val="24"/>
              </w:rPr>
              <w:t>References</w:t>
            </w:r>
            <w:r w:rsidR="008E0D45" w:rsidRPr="00AC2F94">
              <w:rPr>
                <w:noProof/>
                <w:webHidden/>
                <w:sz w:val="24"/>
                <w:szCs w:val="24"/>
              </w:rPr>
              <w:tab/>
            </w:r>
            <w:r w:rsidR="008E0D45" w:rsidRPr="00AC2F94">
              <w:rPr>
                <w:noProof/>
                <w:webHidden/>
                <w:sz w:val="24"/>
                <w:szCs w:val="24"/>
              </w:rPr>
              <w:fldChar w:fldCharType="begin"/>
            </w:r>
            <w:r w:rsidR="008E0D45" w:rsidRPr="00AC2F94">
              <w:rPr>
                <w:noProof/>
                <w:webHidden/>
                <w:sz w:val="24"/>
                <w:szCs w:val="24"/>
              </w:rPr>
              <w:instrText xml:space="preserve"> PAGEREF _Toc419282003 \h </w:instrText>
            </w:r>
            <w:r w:rsidR="008E0D45" w:rsidRPr="00AC2F94">
              <w:rPr>
                <w:noProof/>
                <w:webHidden/>
                <w:sz w:val="24"/>
                <w:szCs w:val="24"/>
              </w:rPr>
            </w:r>
            <w:r w:rsidR="008E0D45" w:rsidRPr="00AC2F94">
              <w:rPr>
                <w:noProof/>
                <w:webHidden/>
                <w:sz w:val="24"/>
                <w:szCs w:val="24"/>
              </w:rPr>
              <w:fldChar w:fldCharType="separate"/>
            </w:r>
            <w:r w:rsidR="008E0D45" w:rsidRPr="00AC2F94">
              <w:rPr>
                <w:noProof/>
                <w:webHidden/>
                <w:sz w:val="24"/>
                <w:szCs w:val="24"/>
              </w:rPr>
              <w:t>15</w:t>
            </w:r>
            <w:r w:rsidR="008E0D45" w:rsidRPr="00AC2F94">
              <w:rPr>
                <w:noProof/>
                <w:webHidden/>
                <w:sz w:val="24"/>
                <w:szCs w:val="24"/>
              </w:rPr>
              <w:fldChar w:fldCharType="end"/>
            </w:r>
          </w:hyperlink>
        </w:p>
        <w:p w14:paraId="078B5A48" w14:textId="77777777" w:rsidR="00E95807" w:rsidRPr="00AC2F94" w:rsidRDefault="00F47FC9" w:rsidP="00D85ABB">
          <w:pPr>
            <w:pStyle w:val="TOC1"/>
            <w:tabs>
              <w:tab w:val="right" w:leader="dot" w:pos="9854"/>
            </w:tabs>
            <w:rPr>
              <w:rFonts w:ascii="Arial" w:hAnsi="Arial" w:cs="Arial"/>
            </w:rPr>
          </w:pPr>
          <w:r w:rsidRPr="00AC2F94">
            <w:rPr>
              <w:rFonts w:ascii="Arial" w:hAnsi="Arial" w:cs="Arial"/>
            </w:rPr>
            <w:fldChar w:fldCharType="end"/>
          </w:r>
        </w:p>
      </w:sdtContent>
    </w:sdt>
    <w:p w14:paraId="08132F30" w14:textId="77777777" w:rsidR="006667CE" w:rsidRPr="00AC2F94" w:rsidRDefault="006667CE" w:rsidP="00D85ABB">
      <w:pPr>
        <w:pStyle w:val="Heading1"/>
        <w:spacing w:before="0" w:after="120" w:line="276" w:lineRule="auto"/>
        <w:rPr>
          <w:rFonts w:ascii="Arial" w:hAnsi="Arial" w:cs="Arial"/>
          <w:color w:val="auto"/>
        </w:rPr>
      </w:pPr>
    </w:p>
    <w:p w14:paraId="6305EC4C" w14:textId="77777777" w:rsidR="006667CE" w:rsidRPr="00AC2F94" w:rsidRDefault="006667CE" w:rsidP="00D85ABB">
      <w:pPr>
        <w:pStyle w:val="Heading1"/>
        <w:spacing w:before="0" w:after="120" w:line="276" w:lineRule="auto"/>
        <w:rPr>
          <w:rFonts w:ascii="Arial" w:hAnsi="Arial" w:cs="Arial"/>
          <w:color w:val="auto"/>
        </w:rPr>
      </w:pPr>
    </w:p>
    <w:p w14:paraId="754711B9" w14:textId="77777777" w:rsidR="006667CE" w:rsidRPr="00AC2F94" w:rsidRDefault="006667CE" w:rsidP="00D85ABB">
      <w:pPr>
        <w:pStyle w:val="Heading1"/>
        <w:spacing w:before="0" w:after="120" w:line="276" w:lineRule="auto"/>
        <w:rPr>
          <w:rFonts w:ascii="Arial" w:hAnsi="Arial" w:cs="Arial"/>
          <w:color w:val="auto"/>
        </w:rPr>
      </w:pPr>
    </w:p>
    <w:p w14:paraId="427FD88C" w14:textId="77777777" w:rsidR="006667CE" w:rsidRPr="00AC2F94" w:rsidRDefault="006667CE" w:rsidP="00D85ABB">
      <w:pPr>
        <w:pStyle w:val="Heading1"/>
        <w:spacing w:before="0" w:after="120" w:line="276" w:lineRule="auto"/>
        <w:rPr>
          <w:rFonts w:ascii="Arial" w:hAnsi="Arial" w:cs="Arial"/>
          <w:color w:val="auto"/>
        </w:rPr>
      </w:pPr>
    </w:p>
    <w:p w14:paraId="3DA353E4" w14:textId="77777777" w:rsidR="006667CE" w:rsidRPr="00AC2F94" w:rsidRDefault="006667CE" w:rsidP="00D85ABB">
      <w:pPr>
        <w:pStyle w:val="Heading1"/>
        <w:spacing w:before="0" w:after="120" w:line="276" w:lineRule="auto"/>
        <w:rPr>
          <w:rFonts w:ascii="Arial" w:hAnsi="Arial" w:cs="Arial"/>
          <w:color w:val="auto"/>
        </w:rPr>
      </w:pPr>
    </w:p>
    <w:p w14:paraId="3DD63449" w14:textId="77777777" w:rsidR="006667CE" w:rsidRPr="00AC2F94" w:rsidRDefault="006667CE" w:rsidP="00D85ABB">
      <w:pPr>
        <w:pStyle w:val="Heading1"/>
        <w:spacing w:before="0" w:after="120" w:line="276" w:lineRule="auto"/>
        <w:rPr>
          <w:rFonts w:ascii="Arial" w:hAnsi="Arial" w:cs="Arial"/>
          <w:color w:val="auto"/>
        </w:rPr>
      </w:pPr>
    </w:p>
    <w:p w14:paraId="5DA0A1EB" w14:textId="77777777" w:rsidR="006667CE" w:rsidRPr="00AC2F94" w:rsidRDefault="006667CE" w:rsidP="00D85ABB">
      <w:pPr>
        <w:pStyle w:val="Heading1"/>
        <w:spacing w:before="0" w:after="120" w:line="276" w:lineRule="auto"/>
        <w:rPr>
          <w:rFonts w:ascii="Arial" w:hAnsi="Arial" w:cs="Arial"/>
          <w:color w:val="auto"/>
        </w:rPr>
      </w:pPr>
    </w:p>
    <w:p w14:paraId="7670A68F" w14:textId="77777777" w:rsidR="006667CE" w:rsidRPr="00AC2F94" w:rsidRDefault="006667CE" w:rsidP="00D85ABB">
      <w:pPr>
        <w:pStyle w:val="Heading1"/>
        <w:spacing w:before="0" w:after="120" w:line="276" w:lineRule="auto"/>
        <w:rPr>
          <w:rFonts w:ascii="Arial" w:hAnsi="Arial" w:cs="Arial"/>
          <w:color w:val="auto"/>
        </w:rPr>
      </w:pPr>
    </w:p>
    <w:p w14:paraId="5AB2B542" w14:textId="77777777" w:rsidR="00666D52" w:rsidRPr="00AC2F94" w:rsidRDefault="00666D52" w:rsidP="00666D52">
      <w:pPr>
        <w:rPr>
          <w:rFonts w:ascii="Arial" w:hAnsi="Arial" w:cs="Arial"/>
        </w:rPr>
      </w:pPr>
    </w:p>
    <w:p w14:paraId="14E081D1" w14:textId="77777777" w:rsidR="005425CE" w:rsidRPr="00AC2F94" w:rsidRDefault="00216AF7" w:rsidP="00D85ABB">
      <w:pPr>
        <w:pStyle w:val="Heading1"/>
        <w:spacing w:before="0" w:after="120" w:line="276" w:lineRule="auto"/>
        <w:rPr>
          <w:rFonts w:ascii="Arial" w:hAnsi="Arial" w:cs="Arial"/>
          <w:color w:val="auto"/>
          <w:sz w:val="32"/>
          <w:szCs w:val="32"/>
        </w:rPr>
      </w:pPr>
      <w:bookmarkStart w:id="1" w:name="_Toc419281988"/>
      <w:r w:rsidRPr="00AC2F94">
        <w:rPr>
          <w:rFonts w:ascii="Arial" w:hAnsi="Arial" w:cs="Arial"/>
          <w:color w:val="auto"/>
          <w:sz w:val="32"/>
          <w:szCs w:val="32"/>
        </w:rPr>
        <w:t>National Ticket to Work</w:t>
      </w:r>
      <w:r w:rsidRPr="00AC2F94">
        <w:rPr>
          <w:rFonts w:ascii="Arial" w:hAnsi="Arial" w:cs="Arial"/>
          <w:i/>
          <w:color w:val="auto"/>
          <w:sz w:val="32"/>
          <w:szCs w:val="32"/>
        </w:rPr>
        <w:t xml:space="preserve"> </w:t>
      </w:r>
      <w:r w:rsidR="002B1650" w:rsidRPr="00AC2F94">
        <w:rPr>
          <w:rFonts w:ascii="Arial" w:hAnsi="Arial" w:cs="Arial"/>
          <w:color w:val="auto"/>
          <w:sz w:val="32"/>
          <w:szCs w:val="32"/>
        </w:rPr>
        <w:t>Background</w:t>
      </w:r>
      <w:bookmarkEnd w:id="1"/>
    </w:p>
    <w:p w14:paraId="03E0E46E" w14:textId="77777777" w:rsidR="00D85ABB" w:rsidRPr="00AC2F94" w:rsidRDefault="00D85ABB" w:rsidP="00D85ABB">
      <w:pPr>
        <w:tabs>
          <w:tab w:val="left" w:pos="360"/>
        </w:tabs>
        <w:autoSpaceDE w:val="0"/>
        <w:autoSpaceDN w:val="0"/>
        <w:adjustRightInd w:val="0"/>
        <w:spacing w:after="120" w:line="276" w:lineRule="auto"/>
        <w:ind w:right="-139"/>
        <w:rPr>
          <w:rFonts w:ascii="Arial" w:hAnsi="Arial" w:cs="Arial"/>
          <w:sz w:val="24"/>
          <w:szCs w:val="24"/>
        </w:rPr>
      </w:pPr>
      <w:r w:rsidRPr="00AC2F94">
        <w:rPr>
          <w:rFonts w:ascii="Arial" w:hAnsi="Arial" w:cs="Arial"/>
          <w:sz w:val="24"/>
          <w:szCs w:val="24"/>
        </w:rPr>
        <w:t xml:space="preserve">Ticket to Work became a national initiative in late 2013 and is currently supporting communities to develop Local Ticket to Work Networks. </w:t>
      </w:r>
    </w:p>
    <w:p w14:paraId="65A7F799" w14:textId="77777777" w:rsidR="00D85ABB" w:rsidRPr="00AC2F94" w:rsidRDefault="00D85ABB" w:rsidP="00D85ABB">
      <w:pPr>
        <w:spacing w:after="120" w:line="276" w:lineRule="auto"/>
        <w:rPr>
          <w:rFonts w:ascii="Arial" w:eastAsia="Times New Roman" w:hAnsi="Arial" w:cs="Arial"/>
          <w:sz w:val="24"/>
          <w:szCs w:val="24"/>
          <w:lang w:eastAsia="en-AU"/>
        </w:rPr>
      </w:pPr>
      <w:r w:rsidRPr="00AC2F94">
        <w:rPr>
          <w:rFonts w:ascii="Arial" w:eastAsia="Times New Roman" w:hAnsi="Arial" w:cs="Arial"/>
          <w:sz w:val="24"/>
          <w:szCs w:val="24"/>
          <w:lang w:eastAsia="en-AU"/>
        </w:rPr>
        <w:lastRenderedPageBreak/>
        <w:t>Ticket to Work grew from a small</w:t>
      </w:r>
      <w:r w:rsidR="008445FB" w:rsidRPr="00AC2F94">
        <w:rPr>
          <w:rFonts w:ascii="Arial" w:eastAsia="Times New Roman" w:hAnsi="Arial" w:cs="Arial"/>
          <w:sz w:val="24"/>
          <w:szCs w:val="24"/>
          <w:lang w:eastAsia="en-AU"/>
        </w:rPr>
        <w:t>,</w:t>
      </w:r>
      <w:r w:rsidRPr="00AC2F94">
        <w:rPr>
          <w:rFonts w:ascii="Arial" w:eastAsia="Times New Roman" w:hAnsi="Arial" w:cs="Arial"/>
          <w:sz w:val="24"/>
          <w:szCs w:val="24"/>
          <w:lang w:eastAsia="en-AU"/>
        </w:rPr>
        <w:t xml:space="preserve"> but successful</w:t>
      </w:r>
      <w:r w:rsidR="008445FB" w:rsidRPr="00AC2F94">
        <w:rPr>
          <w:rFonts w:ascii="Arial" w:eastAsia="Times New Roman" w:hAnsi="Arial" w:cs="Arial"/>
          <w:sz w:val="24"/>
          <w:szCs w:val="24"/>
          <w:lang w:eastAsia="en-AU"/>
        </w:rPr>
        <w:t>,</w:t>
      </w:r>
      <w:r w:rsidRPr="00AC2F94">
        <w:rPr>
          <w:rFonts w:ascii="Arial" w:eastAsia="Times New Roman" w:hAnsi="Arial" w:cs="Arial"/>
          <w:sz w:val="24"/>
          <w:szCs w:val="24"/>
          <w:lang w:eastAsia="en-AU"/>
        </w:rPr>
        <w:t xml:space="preserve"> pilot project delivered in the bayside region in Melbourne in 2012. Through word of mouth, many regions across Australia sought support to initiate a Local Ticket to Work Network in their community. In late 2013, because of this demand, the National Ticket to Work Network was launched with support from the Commonwealth Government. The response has been beyond expectations with over 40 regions wanting to set up their own local networks.  Currently</w:t>
      </w:r>
      <w:r w:rsidR="008445FB" w:rsidRPr="00AC2F94">
        <w:rPr>
          <w:rFonts w:ascii="Arial" w:eastAsia="Times New Roman" w:hAnsi="Arial" w:cs="Arial"/>
          <w:sz w:val="24"/>
          <w:szCs w:val="24"/>
          <w:lang w:eastAsia="en-AU"/>
        </w:rPr>
        <w:t>,</w:t>
      </w:r>
      <w:r w:rsidRPr="00AC2F94">
        <w:rPr>
          <w:rFonts w:ascii="Arial" w:eastAsia="Times New Roman" w:hAnsi="Arial" w:cs="Arial"/>
          <w:sz w:val="24"/>
          <w:szCs w:val="24"/>
          <w:lang w:eastAsia="en-AU"/>
        </w:rPr>
        <w:t xml:space="preserve"> 25 of those networks are operational; the others are in development mode. </w:t>
      </w:r>
    </w:p>
    <w:p w14:paraId="77D285CA" w14:textId="77777777" w:rsidR="00D85ABB" w:rsidRPr="00AC2F94" w:rsidRDefault="00D85ABB" w:rsidP="00D85ABB">
      <w:pPr>
        <w:spacing w:after="120" w:line="276" w:lineRule="auto"/>
        <w:rPr>
          <w:rFonts w:ascii="Arial" w:eastAsia="Times New Roman" w:hAnsi="Arial" w:cs="Arial"/>
          <w:b/>
          <w:sz w:val="24"/>
          <w:szCs w:val="24"/>
          <w:lang w:eastAsia="en-AU"/>
        </w:rPr>
      </w:pPr>
      <w:r w:rsidRPr="00AC2F94">
        <w:rPr>
          <w:rFonts w:ascii="Arial" w:eastAsia="Times New Roman" w:hAnsi="Arial" w:cs="Arial"/>
          <w:b/>
          <w:sz w:val="24"/>
          <w:szCs w:val="24"/>
          <w:lang w:eastAsia="en-AU"/>
        </w:rPr>
        <w:t xml:space="preserve">Ticket to Work outcomes in 2014: </w:t>
      </w:r>
    </w:p>
    <w:tbl>
      <w:tblPr>
        <w:tblStyle w:val="TableGrid"/>
        <w:tblW w:w="9214" w:type="dxa"/>
        <w:tblInd w:w="-5" w:type="dxa"/>
        <w:tblLook w:val="04A0" w:firstRow="1" w:lastRow="0" w:firstColumn="1" w:lastColumn="0" w:noHBand="0" w:noVBand="1"/>
      </w:tblPr>
      <w:tblGrid>
        <w:gridCol w:w="1701"/>
        <w:gridCol w:w="7513"/>
      </w:tblGrid>
      <w:tr w:rsidR="00D85ABB" w:rsidRPr="00AC2F94" w14:paraId="469F20B4" w14:textId="77777777" w:rsidTr="005E2293">
        <w:tc>
          <w:tcPr>
            <w:tcW w:w="1701" w:type="dxa"/>
            <w:shd w:val="clear" w:color="auto" w:fill="D9D9D9"/>
          </w:tcPr>
          <w:p w14:paraId="62639516" w14:textId="77777777" w:rsidR="00D85ABB" w:rsidRPr="00AC2F94" w:rsidRDefault="00D85ABB" w:rsidP="00D85ABB">
            <w:pPr>
              <w:spacing w:after="120" w:line="276" w:lineRule="auto"/>
              <w:jc w:val="both"/>
              <w:rPr>
                <w:rFonts w:ascii="Arial" w:eastAsia="MS Mincho" w:hAnsi="Arial" w:cs="Arial"/>
                <w:b/>
                <w:sz w:val="20"/>
                <w:szCs w:val="20"/>
                <w:lang w:eastAsia="en-AU"/>
              </w:rPr>
            </w:pPr>
            <w:r w:rsidRPr="00AC2F94">
              <w:rPr>
                <w:rFonts w:ascii="Arial" w:eastAsia="MS Mincho" w:hAnsi="Arial" w:cs="Arial"/>
                <w:b/>
                <w:sz w:val="20"/>
                <w:szCs w:val="20"/>
                <w:lang w:eastAsia="en-AU"/>
              </w:rPr>
              <w:t>Target Group</w:t>
            </w:r>
          </w:p>
        </w:tc>
        <w:tc>
          <w:tcPr>
            <w:tcW w:w="7513" w:type="dxa"/>
            <w:shd w:val="clear" w:color="auto" w:fill="D9D9D9"/>
          </w:tcPr>
          <w:p w14:paraId="215B4CD4" w14:textId="77777777" w:rsidR="00D85ABB" w:rsidRPr="00AC2F94" w:rsidRDefault="00D85ABB" w:rsidP="00D85ABB">
            <w:pPr>
              <w:spacing w:after="120" w:line="276" w:lineRule="auto"/>
              <w:jc w:val="both"/>
              <w:rPr>
                <w:rFonts w:ascii="Arial" w:eastAsia="MS Mincho" w:hAnsi="Arial" w:cs="Arial"/>
                <w:b/>
                <w:sz w:val="20"/>
                <w:szCs w:val="20"/>
                <w:lang w:eastAsia="en-AU"/>
              </w:rPr>
            </w:pPr>
            <w:r w:rsidRPr="00AC2F94">
              <w:rPr>
                <w:rFonts w:ascii="Arial" w:eastAsia="MS Mincho" w:hAnsi="Arial" w:cs="Arial"/>
                <w:b/>
                <w:sz w:val="20"/>
                <w:szCs w:val="20"/>
                <w:lang w:eastAsia="en-AU"/>
              </w:rPr>
              <w:t>January – December 2014 Outcomes</w:t>
            </w:r>
          </w:p>
        </w:tc>
      </w:tr>
      <w:tr w:rsidR="00D85ABB" w:rsidRPr="00AC2F94" w14:paraId="209BDCB7" w14:textId="77777777" w:rsidTr="005E2293">
        <w:tc>
          <w:tcPr>
            <w:tcW w:w="1701" w:type="dxa"/>
          </w:tcPr>
          <w:p w14:paraId="61B6825D" w14:textId="77777777" w:rsidR="00D85ABB" w:rsidRPr="00AC2F94" w:rsidRDefault="00D85ABB" w:rsidP="00386B89">
            <w:pPr>
              <w:spacing w:after="120" w:line="276" w:lineRule="auto"/>
              <w:rPr>
                <w:rFonts w:ascii="Arial" w:eastAsia="MS Mincho" w:hAnsi="Arial" w:cs="Arial"/>
                <w:sz w:val="20"/>
                <w:szCs w:val="20"/>
                <w:lang w:eastAsia="en-AU"/>
              </w:rPr>
            </w:pPr>
            <w:r w:rsidRPr="00AC2F94">
              <w:rPr>
                <w:rFonts w:ascii="Arial" w:eastAsia="MS Mincho" w:hAnsi="Arial" w:cs="Arial"/>
                <w:sz w:val="20"/>
                <w:szCs w:val="20"/>
                <w:lang w:eastAsia="en-AU"/>
              </w:rPr>
              <w:t>Local Ticket to Work Networks</w:t>
            </w:r>
          </w:p>
        </w:tc>
        <w:tc>
          <w:tcPr>
            <w:tcW w:w="7513" w:type="dxa"/>
          </w:tcPr>
          <w:p w14:paraId="31B415FC" w14:textId="77777777" w:rsidR="00D85ABB" w:rsidRPr="00AC2F94" w:rsidRDefault="00D85ABB" w:rsidP="00386B89">
            <w:pPr>
              <w:numPr>
                <w:ilvl w:val="0"/>
                <w:numId w:val="16"/>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 xml:space="preserve">25x Local Networks are operational and offering Ticket to Work activities to students, schools and employers. </w:t>
            </w:r>
          </w:p>
          <w:p w14:paraId="64BC231C" w14:textId="77777777" w:rsidR="00D85ABB" w:rsidRPr="00AC2F94" w:rsidRDefault="00D85ABB" w:rsidP="00386B89">
            <w:pPr>
              <w:numPr>
                <w:ilvl w:val="0"/>
                <w:numId w:val="16"/>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214x organisations and agencies are now part of a Local Ticket to Work Network.</w:t>
            </w:r>
          </w:p>
        </w:tc>
      </w:tr>
      <w:tr w:rsidR="00D85ABB" w:rsidRPr="00AC2F94" w14:paraId="40D357D7" w14:textId="77777777" w:rsidTr="005E2293">
        <w:tc>
          <w:tcPr>
            <w:tcW w:w="1701" w:type="dxa"/>
          </w:tcPr>
          <w:p w14:paraId="166F0F68" w14:textId="77777777" w:rsidR="00D85ABB" w:rsidRPr="00AC2F94" w:rsidRDefault="00D85ABB" w:rsidP="00386B89">
            <w:pPr>
              <w:spacing w:after="120" w:line="276" w:lineRule="auto"/>
              <w:rPr>
                <w:rFonts w:ascii="Arial" w:eastAsia="MS Mincho" w:hAnsi="Arial" w:cs="Arial"/>
                <w:sz w:val="20"/>
                <w:szCs w:val="20"/>
                <w:lang w:eastAsia="en-AU"/>
              </w:rPr>
            </w:pPr>
            <w:r w:rsidRPr="00AC2F94">
              <w:rPr>
                <w:rFonts w:ascii="Arial" w:eastAsia="MS Mincho" w:hAnsi="Arial" w:cs="Arial"/>
                <w:sz w:val="20"/>
                <w:szCs w:val="20"/>
                <w:lang w:eastAsia="en-AU"/>
              </w:rPr>
              <w:t>Young people with disability</w:t>
            </w:r>
          </w:p>
        </w:tc>
        <w:tc>
          <w:tcPr>
            <w:tcW w:w="7513" w:type="dxa"/>
          </w:tcPr>
          <w:p w14:paraId="3DAEC1BA" w14:textId="77777777" w:rsidR="00D85ABB" w:rsidRPr="00AC2F94" w:rsidRDefault="00D85ABB" w:rsidP="00386B89">
            <w:pPr>
              <w:numPr>
                <w:ilvl w:val="0"/>
                <w:numId w:val="15"/>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456x young people commenced in work experience and work preparation activities.</w:t>
            </w:r>
          </w:p>
          <w:p w14:paraId="744AD834" w14:textId="77777777" w:rsidR="00D85ABB" w:rsidRPr="00AC2F94" w:rsidRDefault="00D85ABB" w:rsidP="00386B89">
            <w:pPr>
              <w:numPr>
                <w:ilvl w:val="0"/>
                <w:numId w:val="15"/>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248x young people have started an Australian School-based Apprenticeship or Traineeship.</w:t>
            </w:r>
          </w:p>
          <w:p w14:paraId="765548B6" w14:textId="77777777" w:rsidR="00D85ABB" w:rsidRPr="00AC2F94" w:rsidRDefault="00D85ABB" w:rsidP="00386B89">
            <w:pPr>
              <w:numPr>
                <w:ilvl w:val="0"/>
                <w:numId w:val="15"/>
              </w:numPr>
              <w:autoSpaceDE w:val="0"/>
              <w:autoSpaceDN w:val="0"/>
              <w:adjustRightInd w:val="0"/>
              <w:spacing w:after="120" w:line="276" w:lineRule="auto"/>
              <w:ind w:left="284" w:hanging="284"/>
              <w:contextualSpacing/>
              <w:rPr>
                <w:rFonts w:ascii="Arial" w:eastAsia="Times New Roman" w:hAnsi="Arial" w:cs="Arial"/>
                <w:b/>
                <w:i/>
                <w:sz w:val="20"/>
                <w:szCs w:val="20"/>
              </w:rPr>
            </w:pPr>
            <w:r w:rsidRPr="00AC2F94">
              <w:rPr>
                <w:rFonts w:ascii="Arial" w:eastAsia="Times New Roman" w:hAnsi="Arial" w:cs="Arial"/>
                <w:sz w:val="20"/>
                <w:szCs w:val="20"/>
              </w:rPr>
              <w:t xml:space="preserve">86 per cent of the trainees are still in paid employment since completing their secondary schooling and their Australian School-based Apprenticeship or Traineeship. </w:t>
            </w:r>
          </w:p>
        </w:tc>
      </w:tr>
      <w:tr w:rsidR="00D85ABB" w:rsidRPr="00AC2F94" w14:paraId="1EECE044" w14:textId="77777777" w:rsidTr="005E2293">
        <w:tc>
          <w:tcPr>
            <w:tcW w:w="1701" w:type="dxa"/>
          </w:tcPr>
          <w:p w14:paraId="06DDB856" w14:textId="77777777" w:rsidR="00D85ABB" w:rsidRPr="00AC2F94" w:rsidRDefault="00D85ABB" w:rsidP="00386B89">
            <w:pPr>
              <w:spacing w:after="120" w:line="276" w:lineRule="auto"/>
              <w:rPr>
                <w:rFonts w:ascii="Arial" w:eastAsia="MS Mincho" w:hAnsi="Arial" w:cs="Arial"/>
                <w:sz w:val="20"/>
                <w:szCs w:val="20"/>
                <w:lang w:eastAsia="en-AU"/>
              </w:rPr>
            </w:pPr>
            <w:r w:rsidRPr="00AC2F94">
              <w:rPr>
                <w:rFonts w:ascii="Arial" w:eastAsia="MS Mincho" w:hAnsi="Arial" w:cs="Arial"/>
                <w:sz w:val="20"/>
                <w:szCs w:val="20"/>
                <w:lang w:eastAsia="en-AU"/>
              </w:rPr>
              <w:t>Employers</w:t>
            </w:r>
          </w:p>
        </w:tc>
        <w:tc>
          <w:tcPr>
            <w:tcW w:w="7513" w:type="dxa"/>
          </w:tcPr>
          <w:p w14:paraId="02F57DEF" w14:textId="77777777" w:rsidR="00D85ABB" w:rsidRPr="00AC2F94" w:rsidRDefault="00D85ABB" w:rsidP="00386B89">
            <w:pPr>
              <w:numPr>
                <w:ilvl w:val="0"/>
                <w:numId w:val="15"/>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362x employers across a diverse range of sectors have supported young people in their workplaces (work preparation, work experience and/or employed a school-based trainee).</w:t>
            </w:r>
          </w:p>
        </w:tc>
      </w:tr>
      <w:tr w:rsidR="00D85ABB" w:rsidRPr="00AC2F94" w14:paraId="023CFB20" w14:textId="77777777" w:rsidTr="005E2293">
        <w:tc>
          <w:tcPr>
            <w:tcW w:w="1701" w:type="dxa"/>
          </w:tcPr>
          <w:p w14:paraId="00644B27" w14:textId="77777777" w:rsidR="00D85ABB" w:rsidRPr="00AC2F94" w:rsidRDefault="00D85ABB" w:rsidP="00386B89">
            <w:pPr>
              <w:spacing w:after="120" w:line="276" w:lineRule="auto"/>
              <w:rPr>
                <w:rFonts w:ascii="Arial" w:eastAsia="MS Mincho" w:hAnsi="Arial" w:cs="Arial"/>
                <w:sz w:val="20"/>
                <w:szCs w:val="20"/>
                <w:lang w:eastAsia="en-AU"/>
              </w:rPr>
            </w:pPr>
            <w:r w:rsidRPr="00AC2F94">
              <w:rPr>
                <w:rFonts w:ascii="Arial" w:eastAsia="MS Mincho" w:hAnsi="Arial" w:cs="Arial"/>
                <w:sz w:val="20"/>
                <w:szCs w:val="20"/>
                <w:lang w:eastAsia="en-AU"/>
              </w:rPr>
              <w:lastRenderedPageBreak/>
              <w:t>Schools</w:t>
            </w:r>
          </w:p>
        </w:tc>
        <w:tc>
          <w:tcPr>
            <w:tcW w:w="7513" w:type="dxa"/>
          </w:tcPr>
          <w:p w14:paraId="22A3D55C" w14:textId="77777777" w:rsidR="00D85ABB" w:rsidRPr="00AC2F94" w:rsidRDefault="00D85ABB" w:rsidP="00386B89">
            <w:pPr>
              <w:numPr>
                <w:ilvl w:val="0"/>
                <w:numId w:val="15"/>
              </w:numPr>
              <w:autoSpaceDE w:val="0"/>
              <w:autoSpaceDN w:val="0"/>
              <w:adjustRightInd w:val="0"/>
              <w:spacing w:after="120" w:line="276" w:lineRule="auto"/>
              <w:ind w:left="284" w:hanging="284"/>
              <w:contextualSpacing/>
              <w:rPr>
                <w:rFonts w:ascii="Arial" w:eastAsia="Times New Roman" w:hAnsi="Arial" w:cs="Arial"/>
                <w:sz w:val="20"/>
                <w:szCs w:val="20"/>
              </w:rPr>
            </w:pPr>
            <w:r w:rsidRPr="00AC2F94">
              <w:rPr>
                <w:rFonts w:ascii="Arial" w:eastAsia="Times New Roman" w:hAnsi="Arial" w:cs="Arial"/>
                <w:sz w:val="20"/>
                <w:szCs w:val="20"/>
              </w:rPr>
              <w:t>109x schools are offering Ticket to Work activities to their students with disability.</w:t>
            </w:r>
          </w:p>
        </w:tc>
      </w:tr>
    </w:tbl>
    <w:p w14:paraId="787AAE2C" w14:textId="77777777" w:rsidR="00D85ABB" w:rsidRPr="00AC2F94" w:rsidRDefault="00D85ABB" w:rsidP="00D85ABB">
      <w:pPr>
        <w:autoSpaceDE w:val="0"/>
        <w:autoSpaceDN w:val="0"/>
        <w:spacing w:after="120" w:line="276" w:lineRule="auto"/>
        <w:rPr>
          <w:rFonts w:ascii="Arial" w:hAnsi="Arial" w:cs="Arial"/>
          <w:sz w:val="6"/>
          <w:szCs w:val="6"/>
        </w:rPr>
      </w:pPr>
    </w:p>
    <w:p w14:paraId="1578CCFE" w14:textId="77777777" w:rsidR="00D85ABB" w:rsidRPr="00AC2F94" w:rsidRDefault="00D85ABB" w:rsidP="00D85ABB">
      <w:pPr>
        <w:autoSpaceDE w:val="0"/>
        <w:autoSpaceDN w:val="0"/>
        <w:spacing w:after="120" w:line="276" w:lineRule="auto"/>
        <w:rPr>
          <w:rFonts w:ascii="Arial" w:hAnsi="Arial" w:cs="Arial"/>
          <w:sz w:val="24"/>
          <w:szCs w:val="24"/>
        </w:rPr>
      </w:pPr>
      <w:r w:rsidRPr="00AC2F94">
        <w:rPr>
          <w:rFonts w:ascii="Arial" w:hAnsi="Arial" w:cs="Arial"/>
          <w:sz w:val="24"/>
          <w:szCs w:val="24"/>
        </w:rPr>
        <w:t xml:space="preserve">This exponential growth in just </w:t>
      </w:r>
      <w:r w:rsidR="008445FB" w:rsidRPr="00AC2F94">
        <w:rPr>
          <w:rFonts w:ascii="Arial" w:hAnsi="Arial" w:cs="Arial"/>
          <w:sz w:val="24"/>
          <w:szCs w:val="24"/>
        </w:rPr>
        <w:t>one</w:t>
      </w:r>
      <w:r w:rsidRPr="00AC2F94">
        <w:rPr>
          <w:rFonts w:ascii="Arial" w:hAnsi="Arial" w:cs="Arial"/>
          <w:sz w:val="24"/>
          <w:szCs w:val="24"/>
        </w:rPr>
        <w:t xml:space="preserve"> year attests to the need for this initiative and the need for further expansion. In a short period, Ticket to Work has made a difference in the life connections on-the-ground to good practice and a community momentum </w:t>
      </w:r>
      <w:r w:rsidR="008445FB" w:rsidRPr="00AC2F94">
        <w:rPr>
          <w:rFonts w:ascii="Arial" w:hAnsi="Arial" w:cs="Arial"/>
          <w:sz w:val="24"/>
          <w:szCs w:val="24"/>
        </w:rPr>
        <w:t xml:space="preserve">has been </w:t>
      </w:r>
      <w:r w:rsidRPr="00AC2F94">
        <w:rPr>
          <w:rFonts w:ascii="Arial" w:hAnsi="Arial" w:cs="Arial"/>
          <w:sz w:val="24"/>
          <w:szCs w:val="24"/>
        </w:rPr>
        <w:t xml:space="preserve">developed.  </w:t>
      </w:r>
    </w:p>
    <w:p w14:paraId="565CF22E" w14:textId="77777777" w:rsidR="00D85ABB" w:rsidRPr="00AC2F94" w:rsidRDefault="00D85ABB" w:rsidP="00D85ABB">
      <w:pPr>
        <w:autoSpaceDE w:val="0"/>
        <w:autoSpaceDN w:val="0"/>
        <w:spacing w:after="120" w:line="276" w:lineRule="auto"/>
        <w:rPr>
          <w:rFonts w:ascii="Arial" w:hAnsi="Arial" w:cs="Arial"/>
          <w:sz w:val="24"/>
          <w:szCs w:val="24"/>
        </w:rPr>
      </w:pPr>
      <w:r w:rsidRPr="00AC2F94">
        <w:rPr>
          <w:rFonts w:ascii="Arial" w:hAnsi="Arial" w:cs="Arial"/>
          <w:sz w:val="24"/>
          <w:szCs w:val="24"/>
        </w:rPr>
        <w:t xml:space="preserve">The </w:t>
      </w:r>
      <w:hyperlink r:id="rId15" w:history="1">
        <w:r w:rsidRPr="00AC2F94">
          <w:rPr>
            <w:rFonts w:ascii="Arial" w:hAnsi="Arial" w:cs="Arial"/>
            <w:color w:val="0563C1" w:themeColor="hyperlink"/>
            <w:sz w:val="24"/>
            <w:szCs w:val="24"/>
            <w:u w:val="single"/>
          </w:rPr>
          <w:t>Ticket to Work evaluation</w:t>
        </w:r>
      </w:hyperlink>
      <w:r w:rsidRPr="00AC2F94">
        <w:rPr>
          <w:rFonts w:ascii="Arial" w:hAnsi="Arial" w:cs="Arial"/>
          <w:sz w:val="24"/>
          <w:szCs w:val="24"/>
        </w:rPr>
        <w:t xml:space="preserve"> and </w:t>
      </w:r>
      <w:hyperlink r:id="rId16" w:history="1">
        <w:r w:rsidRPr="00AC2F94">
          <w:rPr>
            <w:rFonts w:ascii="Arial" w:hAnsi="Arial" w:cs="Arial"/>
            <w:color w:val="0563C1" w:themeColor="hyperlink"/>
            <w:sz w:val="24"/>
            <w:szCs w:val="24"/>
            <w:u w:val="single"/>
          </w:rPr>
          <w:t>testimonials</w:t>
        </w:r>
      </w:hyperlink>
      <w:r w:rsidRPr="00AC2F94">
        <w:rPr>
          <w:rFonts w:ascii="Arial" w:hAnsi="Arial" w:cs="Arial"/>
          <w:sz w:val="24"/>
          <w:szCs w:val="24"/>
        </w:rPr>
        <w:t xml:space="preserve"> show that Ticket to Work does deliver results for young people with disability and their families.</w:t>
      </w:r>
    </w:p>
    <w:p w14:paraId="46C3BA9C" w14:textId="77777777" w:rsidR="00D85ABB" w:rsidRPr="00AC2F94" w:rsidRDefault="00D85ABB" w:rsidP="00D85ABB">
      <w:pPr>
        <w:spacing w:after="120" w:line="276" w:lineRule="auto"/>
        <w:rPr>
          <w:rFonts w:ascii="Arial" w:hAnsi="Arial" w:cs="Arial"/>
          <w:sz w:val="24"/>
          <w:szCs w:val="24"/>
        </w:rPr>
      </w:pPr>
      <w:r w:rsidRPr="00AC2F94">
        <w:rPr>
          <w:rFonts w:ascii="Arial" w:hAnsi="Arial" w:cs="Arial"/>
          <w:sz w:val="24"/>
          <w:szCs w:val="24"/>
          <w:lang w:val="en-US"/>
        </w:rPr>
        <w:t xml:space="preserve">Ticket to Work has proven to be a successful model that is leading genuine employment outcomes for young people with disabilities in Australia in their transition from school. </w:t>
      </w:r>
    </w:p>
    <w:p w14:paraId="5DDABBBA" w14:textId="77777777" w:rsidR="006667CE" w:rsidRPr="00AC2F94" w:rsidRDefault="006667CE" w:rsidP="00386B89">
      <w:pPr>
        <w:pStyle w:val="Default"/>
        <w:spacing w:after="120" w:line="276" w:lineRule="auto"/>
        <w:rPr>
          <w:rFonts w:ascii="Arial" w:hAnsi="Arial" w:cs="Arial"/>
        </w:rPr>
      </w:pPr>
      <w:r w:rsidRPr="00AC2F94">
        <w:rPr>
          <w:rFonts w:ascii="Arial" w:hAnsi="Arial" w:cs="Arial"/>
        </w:rPr>
        <w:t>Ticket to Work’s research, evalua</w:t>
      </w:r>
      <w:r w:rsidR="0053340F" w:rsidRPr="00AC2F94">
        <w:rPr>
          <w:rFonts w:ascii="Arial" w:hAnsi="Arial" w:cs="Arial"/>
        </w:rPr>
        <w:t>tion and stakeholder feedback</w:t>
      </w:r>
      <w:r w:rsidRPr="00AC2F94">
        <w:rPr>
          <w:rFonts w:ascii="Arial" w:hAnsi="Arial" w:cs="Arial"/>
        </w:rPr>
        <w:t xml:space="preserve"> attest</w:t>
      </w:r>
      <w:r w:rsidR="0053340F" w:rsidRPr="00AC2F94">
        <w:rPr>
          <w:rFonts w:ascii="Arial" w:hAnsi="Arial" w:cs="Arial"/>
        </w:rPr>
        <w:t>s to</w:t>
      </w:r>
      <w:r w:rsidR="008445FB" w:rsidRPr="00AC2F94">
        <w:rPr>
          <w:rFonts w:ascii="Arial" w:hAnsi="Arial" w:cs="Arial"/>
        </w:rPr>
        <w:t xml:space="preserve"> the</w:t>
      </w:r>
      <w:r w:rsidR="0053340F" w:rsidRPr="00AC2F94">
        <w:rPr>
          <w:rFonts w:ascii="Arial" w:hAnsi="Arial" w:cs="Arial"/>
        </w:rPr>
        <w:t xml:space="preserve"> importance</w:t>
      </w:r>
      <w:r w:rsidRPr="00AC2F94">
        <w:rPr>
          <w:rFonts w:ascii="Arial" w:hAnsi="Arial" w:cs="Arial"/>
        </w:rPr>
        <w:t xml:space="preserve"> of DES in supporting young people with disability preparation and transi</w:t>
      </w:r>
      <w:r w:rsidRPr="00AC2F94">
        <w:rPr>
          <w:rFonts w:ascii="Arial" w:hAnsi="Arial" w:cs="Arial"/>
        </w:rPr>
        <w:lastRenderedPageBreak/>
        <w:t>tion from school to employment.</w:t>
      </w:r>
      <w:r w:rsidR="008445FB" w:rsidRPr="00AC2F94">
        <w:rPr>
          <w:rFonts w:ascii="Arial" w:hAnsi="Arial" w:cs="Arial"/>
        </w:rPr>
        <w:t xml:space="preserve"> </w:t>
      </w:r>
      <w:r w:rsidRPr="00AC2F94">
        <w:rPr>
          <w:rFonts w:ascii="Arial" w:hAnsi="Arial" w:cs="Arial"/>
        </w:rPr>
        <w:t xml:space="preserve"> It is clear that intervention while at school supports a person’s long-term employment outcomes. </w:t>
      </w:r>
    </w:p>
    <w:p w14:paraId="2B60AC3B" w14:textId="77777777" w:rsidR="00666D52" w:rsidRPr="00AC2F94" w:rsidRDefault="001F787D" w:rsidP="00666D52">
      <w:pPr>
        <w:pStyle w:val="Heading1"/>
        <w:spacing w:before="0" w:after="120" w:line="276" w:lineRule="auto"/>
        <w:rPr>
          <w:rFonts w:ascii="Arial" w:hAnsi="Arial" w:cs="Arial"/>
          <w:color w:val="auto"/>
          <w:sz w:val="32"/>
          <w:szCs w:val="32"/>
        </w:rPr>
      </w:pPr>
      <w:bookmarkStart w:id="2" w:name="_Toc419281989"/>
      <w:r w:rsidRPr="00AC2F94">
        <w:rPr>
          <w:rFonts w:ascii="Arial" w:hAnsi="Arial" w:cs="Arial"/>
          <w:color w:val="auto"/>
          <w:sz w:val="32"/>
          <w:szCs w:val="32"/>
        </w:rPr>
        <w:t>Rationale for the Re</w:t>
      </w:r>
      <w:r w:rsidR="00666D52" w:rsidRPr="00AC2F94">
        <w:rPr>
          <w:rFonts w:ascii="Arial" w:hAnsi="Arial" w:cs="Arial"/>
          <w:color w:val="auto"/>
          <w:sz w:val="32"/>
          <w:szCs w:val="32"/>
        </w:rPr>
        <w:t>commendation</w:t>
      </w:r>
      <w:bookmarkEnd w:id="2"/>
    </w:p>
    <w:p w14:paraId="36BC2F39" w14:textId="77777777" w:rsidR="00833AC9" w:rsidRPr="00AC2F94" w:rsidRDefault="002C5A26" w:rsidP="00D85ABB">
      <w:pPr>
        <w:pStyle w:val="Heading1"/>
        <w:spacing w:before="0" w:after="120" w:line="276" w:lineRule="auto"/>
        <w:rPr>
          <w:rFonts w:ascii="Arial" w:hAnsi="Arial" w:cs="Arial"/>
          <w:color w:val="auto"/>
        </w:rPr>
      </w:pPr>
      <w:bookmarkStart w:id="3" w:name="_Toc419281990"/>
      <w:r w:rsidRPr="00AC2F94">
        <w:rPr>
          <w:rFonts w:ascii="Arial" w:hAnsi="Arial" w:cs="Arial"/>
          <w:color w:val="auto"/>
        </w:rPr>
        <w:t xml:space="preserve">Definition of </w:t>
      </w:r>
      <w:r w:rsidR="00833AC9" w:rsidRPr="00AC2F94">
        <w:rPr>
          <w:rFonts w:ascii="Arial" w:hAnsi="Arial" w:cs="Arial"/>
          <w:color w:val="auto"/>
        </w:rPr>
        <w:t>Outcome</w:t>
      </w:r>
      <w:r w:rsidR="006E0D94" w:rsidRPr="00AC2F94">
        <w:rPr>
          <w:rFonts w:ascii="Arial" w:hAnsi="Arial" w:cs="Arial"/>
          <w:color w:val="auto"/>
        </w:rPr>
        <w:t xml:space="preserve">s for </w:t>
      </w:r>
      <w:r w:rsidR="00E95807" w:rsidRPr="00AC2F94">
        <w:rPr>
          <w:rFonts w:ascii="Arial" w:hAnsi="Arial" w:cs="Arial"/>
          <w:color w:val="auto"/>
        </w:rPr>
        <w:t>Full Time S</w:t>
      </w:r>
      <w:r w:rsidR="00833AC9" w:rsidRPr="00AC2F94">
        <w:rPr>
          <w:rFonts w:ascii="Arial" w:hAnsi="Arial" w:cs="Arial"/>
          <w:color w:val="auto"/>
        </w:rPr>
        <w:t>tudents</w:t>
      </w:r>
      <w:r w:rsidRPr="00AC2F94">
        <w:rPr>
          <w:rFonts w:ascii="Arial" w:hAnsi="Arial" w:cs="Arial"/>
          <w:color w:val="auto"/>
        </w:rPr>
        <w:t xml:space="preserve"> with Disability.</w:t>
      </w:r>
      <w:bookmarkEnd w:id="3"/>
    </w:p>
    <w:p w14:paraId="6C6C64BD" w14:textId="77777777" w:rsidR="00B70902" w:rsidRPr="00AC2F94" w:rsidRDefault="00B70902" w:rsidP="006667CE">
      <w:pPr>
        <w:autoSpaceDE w:val="0"/>
        <w:autoSpaceDN w:val="0"/>
        <w:adjustRightInd w:val="0"/>
        <w:spacing w:after="120" w:line="276" w:lineRule="auto"/>
        <w:jc w:val="both"/>
        <w:rPr>
          <w:rFonts w:ascii="Arial" w:hAnsi="Arial" w:cs="Arial"/>
          <w:b/>
          <w:sz w:val="24"/>
          <w:szCs w:val="24"/>
        </w:rPr>
      </w:pPr>
      <w:r w:rsidRPr="00AC2F94">
        <w:rPr>
          <w:rFonts w:ascii="Arial" w:hAnsi="Arial" w:cs="Arial"/>
          <w:b/>
          <w:sz w:val="24"/>
          <w:szCs w:val="24"/>
        </w:rPr>
        <w:t>After School Job</w:t>
      </w:r>
    </w:p>
    <w:p w14:paraId="156187FF" w14:textId="77777777" w:rsidR="00B70902" w:rsidRPr="00AC2F94" w:rsidRDefault="00080261" w:rsidP="00386B89">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 xml:space="preserve">We believe that DES providers should be able to register and </w:t>
      </w:r>
      <w:r w:rsidR="00B70902" w:rsidRPr="00AC2F94">
        <w:rPr>
          <w:rFonts w:ascii="Arial" w:hAnsi="Arial" w:cs="Arial"/>
          <w:sz w:val="24"/>
          <w:szCs w:val="24"/>
        </w:rPr>
        <w:t>support</w:t>
      </w:r>
      <w:r w:rsidRPr="00AC2F94">
        <w:rPr>
          <w:rFonts w:ascii="Arial" w:hAnsi="Arial" w:cs="Arial"/>
          <w:sz w:val="24"/>
          <w:szCs w:val="24"/>
        </w:rPr>
        <w:t xml:space="preserve"> full-time student</w:t>
      </w:r>
      <w:r w:rsidR="00B70902" w:rsidRPr="00AC2F94">
        <w:rPr>
          <w:rFonts w:ascii="Arial" w:hAnsi="Arial" w:cs="Arial"/>
          <w:sz w:val="24"/>
          <w:szCs w:val="24"/>
        </w:rPr>
        <w:t xml:space="preserve">s with disability </w:t>
      </w:r>
      <w:r w:rsidRPr="00AC2F94">
        <w:rPr>
          <w:rFonts w:ascii="Arial" w:hAnsi="Arial" w:cs="Arial"/>
          <w:sz w:val="24"/>
          <w:szCs w:val="24"/>
        </w:rPr>
        <w:t>looking for part-time work.</w:t>
      </w:r>
      <w:r w:rsidR="00B70902" w:rsidRPr="00AC2F94">
        <w:rPr>
          <w:rFonts w:ascii="Arial" w:hAnsi="Arial" w:cs="Arial"/>
          <w:sz w:val="24"/>
          <w:szCs w:val="24"/>
        </w:rPr>
        <w:t xml:space="preserve"> </w:t>
      </w:r>
      <w:r w:rsidR="00101B75" w:rsidRPr="00AC2F94">
        <w:rPr>
          <w:rFonts w:ascii="Arial" w:hAnsi="Arial" w:cs="Arial"/>
          <w:sz w:val="24"/>
          <w:szCs w:val="24"/>
        </w:rPr>
        <w:t>The</w:t>
      </w:r>
      <w:r w:rsidR="00B70902" w:rsidRPr="00AC2F94">
        <w:rPr>
          <w:rFonts w:ascii="Arial" w:hAnsi="Arial" w:cs="Arial"/>
          <w:sz w:val="24"/>
          <w:szCs w:val="24"/>
        </w:rPr>
        <w:t xml:space="preserve"> after school job is a rite of passage that is often not available for young people with disability and can deliver vital employability skills and lead to employment post-school.  Research has demonstrated that a young person participating in part-time work whilst still at school is more likely, than stu</w:t>
      </w:r>
      <w:r w:rsidR="00B70902" w:rsidRPr="00AC2F94">
        <w:rPr>
          <w:rFonts w:ascii="Arial" w:hAnsi="Arial" w:cs="Arial"/>
          <w:sz w:val="24"/>
          <w:szCs w:val="24"/>
        </w:rPr>
        <w:lastRenderedPageBreak/>
        <w:t>dent peers who do not work, to experience higher levels of full-time employment and substantially lower unemployment post-school (Wakeford, 2009).</w:t>
      </w:r>
    </w:p>
    <w:p w14:paraId="59AAF350" w14:textId="77777777" w:rsidR="00B70902" w:rsidRPr="00AC2F94" w:rsidRDefault="00B70902" w:rsidP="00386B89">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 xml:space="preserve">Increasing numbers of young people are engaged in paid employment on a casual or part-time basis while still attending secondary school.  Australian Bureau of Statistics data in 2006 found that around 52 per cent of young people between the ages of 15 to 19 years are employed (ABS, 2006). </w:t>
      </w:r>
    </w:p>
    <w:p w14:paraId="0E452E50" w14:textId="77777777" w:rsidR="00B70902" w:rsidRPr="00AC2F94" w:rsidRDefault="00B70902" w:rsidP="00386B89">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 xml:space="preserve">Existing research suggests that part-time work can help facilitate the transition from school to work. Studies from within Australia and internationally have found a clear relationship between part-time employment while at school and a lower incidence of unemployment following completion of school. </w:t>
      </w:r>
    </w:p>
    <w:p w14:paraId="0F0E7C45" w14:textId="77777777" w:rsidR="00B70902" w:rsidRPr="00AC2F94" w:rsidRDefault="00B70902" w:rsidP="00386B89">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 xml:space="preserve">In Australia, the Australian Centre for Educational Research (ACER) 2001 has found that students who work part-time during Years 11 and 12 are less likely to be </w:t>
      </w:r>
      <w:r w:rsidRPr="00AC2F94">
        <w:rPr>
          <w:rFonts w:ascii="Arial" w:hAnsi="Arial" w:cs="Arial"/>
          <w:sz w:val="24"/>
          <w:szCs w:val="24"/>
        </w:rPr>
        <w:lastRenderedPageBreak/>
        <w:t xml:space="preserve">unemployed at the age of 19 than those who did not work during secondary school (NCVER, 2001). </w:t>
      </w:r>
    </w:p>
    <w:p w14:paraId="39C2284D" w14:textId="77777777" w:rsidR="00665E49" w:rsidRPr="00AC2F94" w:rsidRDefault="00665E49" w:rsidP="00386B89">
      <w:pPr>
        <w:pStyle w:val="Default"/>
        <w:spacing w:after="120" w:line="276" w:lineRule="auto"/>
        <w:rPr>
          <w:rFonts w:ascii="Arial" w:hAnsi="Arial" w:cs="Arial"/>
        </w:rPr>
      </w:pPr>
      <w:r w:rsidRPr="00AC2F94">
        <w:rPr>
          <w:rFonts w:ascii="Arial" w:hAnsi="Arial" w:cs="Arial"/>
          <w:b/>
        </w:rPr>
        <w:t>Recommendation:</w:t>
      </w:r>
      <w:r w:rsidRPr="00AC2F94">
        <w:rPr>
          <w:rFonts w:ascii="Arial" w:hAnsi="Arial" w:cs="Arial"/>
        </w:rPr>
        <w:t xml:space="preserve"> </w:t>
      </w:r>
    </w:p>
    <w:p w14:paraId="6890E584" w14:textId="77777777" w:rsidR="00880FCE" w:rsidRPr="00AC2F94" w:rsidRDefault="00880FCE" w:rsidP="001A29FC">
      <w:pPr>
        <w:pStyle w:val="Default"/>
        <w:spacing w:after="120" w:line="276" w:lineRule="auto"/>
        <w:rPr>
          <w:rFonts w:ascii="Arial" w:hAnsi="Arial" w:cs="Arial"/>
        </w:rPr>
      </w:pPr>
      <w:r w:rsidRPr="00AC2F94">
        <w:rPr>
          <w:rFonts w:ascii="Arial" w:hAnsi="Arial" w:cs="Arial"/>
        </w:rPr>
        <w:t>DES providers committed to supporting the longer-term transition and employment outcomes should be allowed to place and support a student in an after school job.</w:t>
      </w:r>
    </w:p>
    <w:p w14:paraId="19C1E71A" w14:textId="77777777" w:rsidR="00665E49" w:rsidRPr="00AC2F94" w:rsidRDefault="00665E49" w:rsidP="00386B89">
      <w:pPr>
        <w:autoSpaceDE w:val="0"/>
        <w:autoSpaceDN w:val="0"/>
        <w:adjustRightInd w:val="0"/>
        <w:spacing w:after="120" w:line="276" w:lineRule="auto"/>
        <w:rPr>
          <w:rFonts w:ascii="Arial" w:hAnsi="Arial" w:cs="Arial"/>
          <w:i/>
          <w:iCs/>
          <w:sz w:val="24"/>
          <w:szCs w:val="24"/>
        </w:rPr>
      </w:pPr>
    </w:p>
    <w:p w14:paraId="3ECB845F" w14:textId="77777777" w:rsidR="001F787D" w:rsidRPr="00AC2F94" w:rsidRDefault="00B70902" w:rsidP="00386B89">
      <w:pPr>
        <w:pStyle w:val="Default"/>
        <w:spacing w:after="120" w:line="276" w:lineRule="auto"/>
        <w:rPr>
          <w:rFonts w:ascii="Arial" w:hAnsi="Arial" w:cs="Arial"/>
          <w:b/>
          <w:color w:val="auto"/>
        </w:rPr>
      </w:pPr>
      <w:r w:rsidRPr="00AC2F94">
        <w:rPr>
          <w:rFonts w:ascii="Arial" w:hAnsi="Arial" w:cs="Arial"/>
          <w:b/>
          <w:color w:val="auto"/>
        </w:rPr>
        <w:t>Work experience</w:t>
      </w:r>
    </w:p>
    <w:p w14:paraId="20A205A2" w14:textId="77777777" w:rsidR="00355873" w:rsidRPr="00AC2F94" w:rsidRDefault="00355873" w:rsidP="00386B89">
      <w:pPr>
        <w:pStyle w:val="Default"/>
        <w:spacing w:after="120" w:line="276" w:lineRule="auto"/>
        <w:rPr>
          <w:rFonts w:ascii="Arial" w:hAnsi="Arial" w:cs="Arial"/>
          <w:color w:val="auto"/>
        </w:rPr>
      </w:pPr>
      <w:r w:rsidRPr="00AC2F94">
        <w:rPr>
          <w:rFonts w:ascii="Arial" w:hAnsi="Arial" w:cs="Arial"/>
          <w:color w:val="auto"/>
        </w:rPr>
        <w:t>For decades, research has shown the strong relationship between the expe</w:t>
      </w:r>
      <w:r w:rsidR="00915C56" w:rsidRPr="00AC2F94">
        <w:rPr>
          <w:rFonts w:ascii="Arial" w:hAnsi="Arial" w:cs="Arial"/>
          <w:color w:val="auto"/>
        </w:rPr>
        <w:t xml:space="preserve">rience of work during secondary </w:t>
      </w:r>
      <w:r w:rsidRPr="00AC2F94">
        <w:rPr>
          <w:rFonts w:ascii="Arial" w:hAnsi="Arial" w:cs="Arial"/>
          <w:color w:val="auto"/>
        </w:rPr>
        <w:t xml:space="preserve">school and higher post-school employment for </w:t>
      </w:r>
      <w:r w:rsidR="00613037" w:rsidRPr="00AC2F94">
        <w:rPr>
          <w:rFonts w:ascii="Arial" w:hAnsi="Arial" w:cs="Arial"/>
          <w:color w:val="auto"/>
        </w:rPr>
        <w:t>young people with disability</w:t>
      </w:r>
      <w:r w:rsidRPr="00AC2F94">
        <w:rPr>
          <w:rFonts w:ascii="Arial" w:hAnsi="Arial" w:cs="Arial"/>
          <w:color w:val="auto"/>
        </w:rPr>
        <w:t xml:space="preserve"> (Benz, Yovanoff &amp; Doren, 1997; Colley &amp; Jamison, 1998). However, as the continuing disappointing post-school employment rates for you</w:t>
      </w:r>
      <w:r w:rsidR="00670F60" w:rsidRPr="00AC2F94">
        <w:rPr>
          <w:rFonts w:ascii="Arial" w:hAnsi="Arial" w:cs="Arial"/>
          <w:color w:val="auto"/>
        </w:rPr>
        <w:t>ng people</w:t>
      </w:r>
      <w:r w:rsidRPr="00AC2F94">
        <w:rPr>
          <w:rFonts w:ascii="Arial" w:hAnsi="Arial" w:cs="Arial"/>
          <w:color w:val="auto"/>
        </w:rPr>
        <w:t xml:space="preserve"> with disabilit</w:t>
      </w:r>
      <w:r w:rsidR="00613037" w:rsidRPr="00AC2F94">
        <w:rPr>
          <w:rFonts w:ascii="Arial" w:hAnsi="Arial" w:cs="Arial"/>
          <w:color w:val="auto"/>
        </w:rPr>
        <w:t>y</w:t>
      </w:r>
      <w:r w:rsidRPr="00AC2F94">
        <w:rPr>
          <w:rFonts w:ascii="Arial" w:hAnsi="Arial" w:cs="Arial"/>
          <w:color w:val="auto"/>
        </w:rPr>
        <w:t xml:space="preserve"> suggest</w:t>
      </w:r>
      <w:r w:rsidR="00613037" w:rsidRPr="00AC2F94">
        <w:rPr>
          <w:rFonts w:ascii="Arial" w:hAnsi="Arial" w:cs="Arial"/>
          <w:color w:val="auto"/>
        </w:rPr>
        <w:t xml:space="preserve"> that</w:t>
      </w:r>
      <w:r w:rsidR="00795938" w:rsidRPr="00AC2F94">
        <w:rPr>
          <w:rFonts w:ascii="Arial" w:hAnsi="Arial" w:cs="Arial"/>
          <w:color w:val="auto"/>
        </w:rPr>
        <w:t>,</w:t>
      </w:r>
      <w:r w:rsidRPr="00AC2F94">
        <w:rPr>
          <w:rFonts w:ascii="Arial" w:hAnsi="Arial" w:cs="Arial"/>
          <w:color w:val="auto"/>
        </w:rPr>
        <w:t xml:space="preserve"> there remains a critical need to expand quality work-based learning opportunities for these young people and to integrate these </w:t>
      </w:r>
      <w:r w:rsidRPr="00AC2F94">
        <w:rPr>
          <w:rFonts w:ascii="Arial" w:hAnsi="Arial" w:cs="Arial"/>
          <w:color w:val="auto"/>
        </w:rPr>
        <w:lastRenderedPageBreak/>
        <w:t xml:space="preserve">experiences into secondary education. Indeed, Leucking (2010) states that </w:t>
      </w:r>
      <w:r w:rsidR="00613037" w:rsidRPr="00AC2F94">
        <w:rPr>
          <w:rFonts w:ascii="Arial" w:hAnsi="Arial" w:cs="Arial"/>
          <w:color w:val="auto"/>
        </w:rPr>
        <w:t>’</w:t>
      </w:r>
      <w:r w:rsidRPr="00AC2F94">
        <w:rPr>
          <w:rFonts w:ascii="Arial" w:hAnsi="Arial" w:cs="Arial"/>
          <w:color w:val="auto"/>
        </w:rPr>
        <w:t>while work experiences are beneficial to all youth, it has been found they are particularly valuable for young people with disabilities</w:t>
      </w:r>
      <w:r w:rsidR="00613037" w:rsidRPr="00AC2F94">
        <w:rPr>
          <w:rFonts w:ascii="Arial" w:hAnsi="Arial" w:cs="Arial"/>
          <w:color w:val="auto"/>
        </w:rPr>
        <w:t>’</w:t>
      </w:r>
      <w:r w:rsidRPr="00AC2F94">
        <w:rPr>
          <w:rFonts w:ascii="Arial" w:hAnsi="Arial" w:cs="Arial"/>
          <w:color w:val="auto"/>
        </w:rPr>
        <w:t xml:space="preserve">. </w:t>
      </w:r>
    </w:p>
    <w:p w14:paraId="02BED885" w14:textId="77777777" w:rsidR="00795938" w:rsidRPr="00AC2F94" w:rsidRDefault="00795938">
      <w:pPr>
        <w:rPr>
          <w:rFonts w:ascii="Arial" w:hAnsi="Arial" w:cs="Arial"/>
          <w:sz w:val="24"/>
          <w:szCs w:val="24"/>
        </w:rPr>
      </w:pPr>
      <w:r w:rsidRPr="00AC2F94">
        <w:rPr>
          <w:rFonts w:ascii="Arial" w:hAnsi="Arial" w:cs="Arial"/>
          <w:sz w:val="24"/>
          <w:szCs w:val="24"/>
        </w:rPr>
        <w:br w:type="page"/>
      </w:r>
    </w:p>
    <w:p w14:paraId="6E85106C" w14:textId="77777777" w:rsidR="0016040D" w:rsidRPr="00AC2F94" w:rsidRDefault="005272E1" w:rsidP="00386B89">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lastRenderedPageBreak/>
        <w:t>Our experience i</w:t>
      </w:r>
      <w:r w:rsidR="00795938" w:rsidRPr="00AC2F94">
        <w:rPr>
          <w:rFonts w:ascii="Arial" w:hAnsi="Arial" w:cs="Arial"/>
          <w:sz w:val="24"/>
          <w:szCs w:val="24"/>
        </w:rPr>
        <w:t xml:space="preserve">s that students with disability </w:t>
      </w:r>
      <w:r w:rsidRPr="00AC2F94">
        <w:rPr>
          <w:rFonts w:ascii="Arial" w:hAnsi="Arial" w:cs="Arial"/>
          <w:sz w:val="24"/>
          <w:szCs w:val="24"/>
        </w:rPr>
        <w:t xml:space="preserve">are not getting </w:t>
      </w:r>
      <w:r w:rsidR="005C75D4" w:rsidRPr="00AC2F94">
        <w:rPr>
          <w:rFonts w:ascii="Arial" w:hAnsi="Arial" w:cs="Arial"/>
          <w:sz w:val="24"/>
          <w:szCs w:val="24"/>
        </w:rPr>
        <w:t xml:space="preserve">vital </w:t>
      </w:r>
      <w:r w:rsidR="0074497A" w:rsidRPr="00AC2F94">
        <w:rPr>
          <w:rFonts w:ascii="Arial" w:hAnsi="Arial" w:cs="Arial"/>
          <w:sz w:val="24"/>
          <w:szCs w:val="24"/>
        </w:rPr>
        <w:t>work</w:t>
      </w:r>
      <w:r w:rsidRPr="00AC2F94">
        <w:rPr>
          <w:rFonts w:ascii="Arial" w:hAnsi="Arial" w:cs="Arial"/>
          <w:sz w:val="24"/>
          <w:szCs w:val="24"/>
        </w:rPr>
        <w:t xml:space="preserve"> experience</w:t>
      </w:r>
      <w:r w:rsidR="0074497A" w:rsidRPr="00AC2F94">
        <w:rPr>
          <w:rFonts w:ascii="Arial" w:hAnsi="Arial" w:cs="Arial"/>
          <w:sz w:val="24"/>
          <w:szCs w:val="24"/>
        </w:rPr>
        <w:t xml:space="preserve"> during their school year</w:t>
      </w:r>
      <w:r w:rsidR="005A1504" w:rsidRPr="00AC2F94">
        <w:rPr>
          <w:rFonts w:ascii="Arial" w:hAnsi="Arial" w:cs="Arial"/>
          <w:sz w:val="24"/>
          <w:szCs w:val="24"/>
        </w:rPr>
        <w:t>s</w:t>
      </w:r>
      <w:r w:rsidR="0074497A" w:rsidRPr="00AC2F94">
        <w:rPr>
          <w:rFonts w:ascii="Arial" w:hAnsi="Arial" w:cs="Arial"/>
          <w:sz w:val="24"/>
          <w:szCs w:val="24"/>
        </w:rPr>
        <w:t xml:space="preserve"> compared </w:t>
      </w:r>
      <w:r w:rsidR="00613037" w:rsidRPr="00AC2F94">
        <w:rPr>
          <w:rFonts w:ascii="Arial" w:hAnsi="Arial" w:cs="Arial"/>
          <w:sz w:val="24"/>
          <w:szCs w:val="24"/>
        </w:rPr>
        <w:t>with</w:t>
      </w:r>
      <w:r w:rsidR="0074497A" w:rsidRPr="00AC2F94">
        <w:rPr>
          <w:rFonts w:ascii="Arial" w:hAnsi="Arial" w:cs="Arial"/>
          <w:sz w:val="24"/>
          <w:szCs w:val="24"/>
        </w:rPr>
        <w:t xml:space="preserve"> their non</w:t>
      </w:r>
      <w:r w:rsidR="00795938" w:rsidRPr="00AC2F94">
        <w:rPr>
          <w:rFonts w:ascii="Arial" w:hAnsi="Arial" w:cs="Arial"/>
          <w:sz w:val="24"/>
          <w:szCs w:val="24"/>
        </w:rPr>
        <w:t>-</w:t>
      </w:r>
      <w:r w:rsidR="0074497A" w:rsidRPr="00AC2F94">
        <w:rPr>
          <w:rFonts w:ascii="Arial" w:hAnsi="Arial" w:cs="Arial"/>
          <w:sz w:val="24"/>
          <w:szCs w:val="24"/>
        </w:rPr>
        <w:t>disab</w:t>
      </w:r>
      <w:r w:rsidR="00613037" w:rsidRPr="00AC2F94">
        <w:rPr>
          <w:rFonts w:ascii="Arial" w:hAnsi="Arial" w:cs="Arial"/>
          <w:sz w:val="24"/>
          <w:szCs w:val="24"/>
        </w:rPr>
        <w:t>led</w:t>
      </w:r>
      <w:r w:rsidR="0074497A" w:rsidRPr="00AC2F94">
        <w:rPr>
          <w:rFonts w:ascii="Arial" w:hAnsi="Arial" w:cs="Arial"/>
          <w:sz w:val="24"/>
          <w:szCs w:val="24"/>
        </w:rPr>
        <w:t xml:space="preserve"> peers. Schools </w:t>
      </w:r>
      <w:r w:rsidR="0016040D" w:rsidRPr="00AC2F94">
        <w:rPr>
          <w:rFonts w:ascii="Arial" w:hAnsi="Arial" w:cs="Arial"/>
          <w:sz w:val="24"/>
          <w:szCs w:val="24"/>
        </w:rPr>
        <w:t xml:space="preserve">often </w:t>
      </w:r>
      <w:r w:rsidR="0074497A" w:rsidRPr="00AC2F94">
        <w:rPr>
          <w:rFonts w:ascii="Arial" w:hAnsi="Arial" w:cs="Arial"/>
          <w:sz w:val="24"/>
          <w:szCs w:val="24"/>
        </w:rPr>
        <w:t xml:space="preserve">feel that </w:t>
      </w:r>
      <w:r w:rsidR="0016040D" w:rsidRPr="00AC2F94">
        <w:rPr>
          <w:rFonts w:ascii="Arial" w:hAnsi="Arial" w:cs="Arial"/>
          <w:sz w:val="24"/>
          <w:szCs w:val="24"/>
        </w:rPr>
        <w:t xml:space="preserve">they </w:t>
      </w:r>
      <w:r w:rsidR="0074497A" w:rsidRPr="00AC2F94">
        <w:rPr>
          <w:rFonts w:ascii="Arial" w:hAnsi="Arial" w:cs="Arial"/>
          <w:sz w:val="24"/>
          <w:szCs w:val="24"/>
        </w:rPr>
        <w:t>are ill-equipped</w:t>
      </w:r>
      <w:r w:rsidR="0016040D" w:rsidRPr="00AC2F94">
        <w:rPr>
          <w:rFonts w:ascii="Arial" w:hAnsi="Arial" w:cs="Arial"/>
          <w:sz w:val="24"/>
          <w:szCs w:val="24"/>
        </w:rPr>
        <w:t>,</w:t>
      </w:r>
      <w:r w:rsidR="0074497A" w:rsidRPr="00AC2F94">
        <w:rPr>
          <w:rFonts w:ascii="Arial" w:hAnsi="Arial" w:cs="Arial"/>
          <w:sz w:val="24"/>
          <w:szCs w:val="24"/>
        </w:rPr>
        <w:t xml:space="preserve"> in </w:t>
      </w:r>
      <w:r w:rsidR="0016040D" w:rsidRPr="00AC2F94">
        <w:rPr>
          <w:rFonts w:ascii="Arial" w:hAnsi="Arial" w:cs="Arial"/>
          <w:sz w:val="24"/>
          <w:szCs w:val="24"/>
        </w:rPr>
        <w:t xml:space="preserve">terms of </w:t>
      </w:r>
      <w:r w:rsidR="0074497A" w:rsidRPr="00AC2F94">
        <w:rPr>
          <w:rFonts w:ascii="Arial" w:hAnsi="Arial" w:cs="Arial"/>
          <w:sz w:val="24"/>
          <w:szCs w:val="24"/>
        </w:rPr>
        <w:t xml:space="preserve">both knowledge </w:t>
      </w:r>
      <w:r w:rsidR="0016040D" w:rsidRPr="00AC2F94">
        <w:rPr>
          <w:rFonts w:ascii="Arial" w:hAnsi="Arial" w:cs="Arial"/>
          <w:sz w:val="24"/>
          <w:szCs w:val="24"/>
        </w:rPr>
        <w:t xml:space="preserve">and </w:t>
      </w:r>
      <w:r w:rsidR="00680937" w:rsidRPr="00AC2F94">
        <w:rPr>
          <w:rFonts w:ascii="Arial" w:hAnsi="Arial" w:cs="Arial"/>
          <w:sz w:val="24"/>
          <w:szCs w:val="24"/>
        </w:rPr>
        <w:t>skills</w:t>
      </w:r>
      <w:r w:rsidR="0016040D" w:rsidRPr="00AC2F94">
        <w:rPr>
          <w:rFonts w:ascii="Arial" w:hAnsi="Arial" w:cs="Arial"/>
          <w:sz w:val="24"/>
          <w:szCs w:val="24"/>
        </w:rPr>
        <w:t>,</w:t>
      </w:r>
      <w:r w:rsidR="00680937" w:rsidRPr="00AC2F94">
        <w:rPr>
          <w:rFonts w:ascii="Arial" w:hAnsi="Arial" w:cs="Arial"/>
          <w:sz w:val="24"/>
          <w:szCs w:val="24"/>
        </w:rPr>
        <w:t xml:space="preserve"> to arrange and support work experience for students with disability. It is interesting </w:t>
      </w:r>
      <w:r w:rsidR="0016040D" w:rsidRPr="00AC2F94">
        <w:rPr>
          <w:rFonts w:ascii="Arial" w:hAnsi="Arial" w:cs="Arial"/>
          <w:sz w:val="24"/>
          <w:szCs w:val="24"/>
        </w:rPr>
        <w:t xml:space="preserve">to note </w:t>
      </w:r>
      <w:r w:rsidR="00680937" w:rsidRPr="00AC2F94">
        <w:rPr>
          <w:rFonts w:ascii="Arial" w:hAnsi="Arial" w:cs="Arial"/>
          <w:sz w:val="24"/>
          <w:szCs w:val="24"/>
        </w:rPr>
        <w:t xml:space="preserve">that in </w:t>
      </w:r>
      <w:r w:rsidR="0016040D" w:rsidRPr="00AC2F94">
        <w:rPr>
          <w:rFonts w:ascii="Arial" w:hAnsi="Arial" w:cs="Arial"/>
          <w:sz w:val="24"/>
          <w:szCs w:val="24"/>
        </w:rPr>
        <w:t xml:space="preserve">the </w:t>
      </w:r>
      <w:r w:rsidR="00680937" w:rsidRPr="00AC2F94">
        <w:rPr>
          <w:rFonts w:ascii="Arial" w:hAnsi="Arial" w:cs="Arial"/>
          <w:sz w:val="24"/>
          <w:szCs w:val="24"/>
        </w:rPr>
        <w:t xml:space="preserve">United States their DES equivalent </w:t>
      </w:r>
      <w:r w:rsidR="0016040D" w:rsidRPr="00AC2F94">
        <w:rPr>
          <w:rFonts w:ascii="Arial" w:hAnsi="Arial" w:cs="Arial"/>
          <w:sz w:val="24"/>
          <w:szCs w:val="24"/>
        </w:rPr>
        <w:t>organisations are</w:t>
      </w:r>
      <w:r w:rsidR="00680937" w:rsidRPr="00AC2F94">
        <w:rPr>
          <w:rFonts w:ascii="Arial" w:hAnsi="Arial" w:cs="Arial"/>
          <w:sz w:val="24"/>
          <w:szCs w:val="24"/>
        </w:rPr>
        <w:t xml:space="preserve"> penalised </w:t>
      </w:r>
      <w:r w:rsidR="0016040D" w:rsidRPr="00AC2F94">
        <w:rPr>
          <w:rFonts w:ascii="Arial" w:hAnsi="Arial" w:cs="Arial"/>
          <w:sz w:val="24"/>
          <w:szCs w:val="24"/>
        </w:rPr>
        <w:t>(in funding terms)</w:t>
      </w:r>
      <w:r w:rsidR="00680937" w:rsidRPr="00AC2F94">
        <w:rPr>
          <w:rFonts w:ascii="Arial" w:hAnsi="Arial" w:cs="Arial"/>
          <w:sz w:val="24"/>
          <w:szCs w:val="24"/>
        </w:rPr>
        <w:t xml:space="preserve"> if they do not engage with schools and support a student’s transition</w:t>
      </w:r>
      <w:r w:rsidR="0016040D" w:rsidRPr="00AC2F94">
        <w:rPr>
          <w:rFonts w:ascii="Arial" w:hAnsi="Arial" w:cs="Arial"/>
          <w:sz w:val="24"/>
          <w:szCs w:val="24"/>
        </w:rPr>
        <w:t>,</w:t>
      </w:r>
      <w:r w:rsidR="005A1504" w:rsidRPr="00AC2F94">
        <w:rPr>
          <w:rFonts w:ascii="Arial" w:hAnsi="Arial" w:cs="Arial"/>
          <w:sz w:val="24"/>
          <w:szCs w:val="24"/>
        </w:rPr>
        <w:t xml:space="preserve"> including supporting</w:t>
      </w:r>
      <w:r w:rsidR="0016040D" w:rsidRPr="00AC2F94">
        <w:rPr>
          <w:rFonts w:ascii="Arial" w:hAnsi="Arial" w:cs="Arial"/>
          <w:sz w:val="24"/>
          <w:szCs w:val="24"/>
        </w:rPr>
        <w:t>/brokering</w:t>
      </w:r>
      <w:r w:rsidR="005A1504" w:rsidRPr="00AC2F94">
        <w:rPr>
          <w:rFonts w:ascii="Arial" w:hAnsi="Arial" w:cs="Arial"/>
          <w:sz w:val="24"/>
          <w:szCs w:val="24"/>
        </w:rPr>
        <w:t xml:space="preserve"> work experience. </w:t>
      </w:r>
      <w:r w:rsidR="00680937" w:rsidRPr="00AC2F94">
        <w:rPr>
          <w:rFonts w:ascii="Arial" w:hAnsi="Arial" w:cs="Arial"/>
          <w:sz w:val="24"/>
          <w:szCs w:val="24"/>
        </w:rPr>
        <w:t xml:space="preserve"> </w:t>
      </w:r>
    </w:p>
    <w:p w14:paraId="01D40297" w14:textId="77777777" w:rsidR="00665E49" w:rsidRPr="00AC2F94" w:rsidRDefault="00665E49" w:rsidP="00386B89">
      <w:pPr>
        <w:pStyle w:val="Default"/>
        <w:spacing w:after="120" w:line="276" w:lineRule="auto"/>
        <w:rPr>
          <w:rFonts w:ascii="Arial" w:hAnsi="Arial" w:cs="Arial"/>
        </w:rPr>
      </w:pPr>
      <w:r w:rsidRPr="00AC2F94">
        <w:rPr>
          <w:rFonts w:ascii="Arial" w:hAnsi="Arial" w:cs="Arial"/>
          <w:b/>
        </w:rPr>
        <w:t>Recommendation:</w:t>
      </w:r>
      <w:r w:rsidRPr="00AC2F94">
        <w:rPr>
          <w:rFonts w:ascii="Arial" w:hAnsi="Arial" w:cs="Arial"/>
        </w:rPr>
        <w:t xml:space="preserve"> </w:t>
      </w:r>
    </w:p>
    <w:p w14:paraId="3D740EEE" w14:textId="77777777" w:rsidR="00880FCE" w:rsidRPr="00AC2F94" w:rsidRDefault="00880FCE" w:rsidP="001A29FC">
      <w:pPr>
        <w:pStyle w:val="Default"/>
        <w:spacing w:after="120" w:line="276" w:lineRule="auto"/>
        <w:rPr>
          <w:rFonts w:ascii="Arial" w:hAnsi="Arial" w:cs="Arial"/>
        </w:rPr>
      </w:pPr>
      <w:r w:rsidRPr="00AC2F94">
        <w:rPr>
          <w:rFonts w:ascii="Arial" w:hAnsi="Arial" w:cs="Arial"/>
        </w:rPr>
        <w:t xml:space="preserve">DES providers should be able to arrange and support authentic individualised work experience while </w:t>
      </w:r>
      <w:r w:rsidR="00B333BA" w:rsidRPr="00AC2F94">
        <w:rPr>
          <w:rFonts w:ascii="Arial" w:hAnsi="Arial" w:cs="Arial"/>
        </w:rPr>
        <w:t>a</w:t>
      </w:r>
      <w:r w:rsidRPr="00AC2F94">
        <w:rPr>
          <w:rFonts w:ascii="Arial" w:hAnsi="Arial" w:cs="Arial"/>
        </w:rPr>
        <w:t xml:space="preserve"> student is still at school. </w:t>
      </w:r>
    </w:p>
    <w:p w14:paraId="286DA385" w14:textId="77777777" w:rsidR="00915C56" w:rsidRPr="00AC2F94" w:rsidRDefault="00915C56" w:rsidP="008445FB">
      <w:pPr>
        <w:pStyle w:val="Heading2"/>
        <w:spacing w:before="0" w:after="120" w:line="276" w:lineRule="auto"/>
        <w:rPr>
          <w:rFonts w:ascii="Arial" w:hAnsi="Arial" w:cs="Arial"/>
          <w:color w:val="auto"/>
          <w:sz w:val="24"/>
          <w:szCs w:val="24"/>
        </w:rPr>
      </w:pPr>
    </w:p>
    <w:p w14:paraId="1126F4BE" w14:textId="77777777" w:rsidR="006E0D94" w:rsidRPr="00AC2F94" w:rsidRDefault="00514850" w:rsidP="009A1187">
      <w:pPr>
        <w:pStyle w:val="Heading2"/>
        <w:spacing w:before="0" w:after="120" w:line="276" w:lineRule="auto"/>
        <w:rPr>
          <w:rFonts w:ascii="Arial" w:hAnsi="Arial" w:cs="Arial"/>
          <w:color w:val="auto"/>
          <w:sz w:val="24"/>
          <w:szCs w:val="24"/>
        </w:rPr>
      </w:pPr>
      <w:bookmarkStart w:id="4" w:name="_Toc419281991"/>
      <w:r w:rsidRPr="00AC2F94">
        <w:rPr>
          <w:rFonts w:ascii="Arial" w:hAnsi="Arial" w:cs="Arial"/>
          <w:color w:val="auto"/>
          <w:sz w:val="24"/>
          <w:szCs w:val="24"/>
        </w:rPr>
        <w:t>DES and School P</w:t>
      </w:r>
      <w:r w:rsidR="006E0D94" w:rsidRPr="00AC2F94">
        <w:rPr>
          <w:rFonts w:ascii="Arial" w:hAnsi="Arial" w:cs="Arial"/>
          <w:color w:val="auto"/>
          <w:sz w:val="24"/>
          <w:szCs w:val="24"/>
        </w:rPr>
        <w:t>artnerships</w:t>
      </w:r>
      <w:bookmarkEnd w:id="4"/>
    </w:p>
    <w:p w14:paraId="1E87E52F" w14:textId="77777777" w:rsidR="00D6266D" w:rsidRPr="00AC2F94" w:rsidRDefault="005E2293" w:rsidP="00386B89">
      <w:pPr>
        <w:pStyle w:val="Default"/>
        <w:spacing w:after="120" w:line="276" w:lineRule="auto"/>
        <w:rPr>
          <w:rFonts w:ascii="Arial" w:hAnsi="Arial" w:cs="Arial"/>
        </w:rPr>
      </w:pPr>
      <w:r w:rsidRPr="00AC2F94">
        <w:rPr>
          <w:rFonts w:ascii="Arial" w:hAnsi="Arial" w:cs="Arial"/>
        </w:rPr>
        <w:t xml:space="preserve">In the ESL </w:t>
      </w:r>
      <w:r w:rsidR="007D77C5" w:rsidRPr="00AC2F94">
        <w:rPr>
          <w:rFonts w:ascii="Arial" w:hAnsi="Arial" w:cs="Arial"/>
        </w:rPr>
        <w:t>G</w:t>
      </w:r>
      <w:r w:rsidRPr="00AC2F94">
        <w:rPr>
          <w:rFonts w:ascii="Arial" w:hAnsi="Arial" w:cs="Arial"/>
        </w:rPr>
        <w:t>uidelines</w:t>
      </w:r>
      <w:r w:rsidR="00613037" w:rsidRPr="00AC2F94">
        <w:rPr>
          <w:rFonts w:ascii="Arial" w:hAnsi="Arial" w:cs="Arial"/>
        </w:rPr>
        <w:t>,</w:t>
      </w:r>
      <w:r w:rsidRPr="00AC2F94">
        <w:rPr>
          <w:rFonts w:ascii="Arial" w:hAnsi="Arial" w:cs="Arial"/>
        </w:rPr>
        <w:t xml:space="preserve"> t</w:t>
      </w:r>
      <w:r w:rsidR="006E0D94" w:rsidRPr="00AC2F94">
        <w:rPr>
          <w:rFonts w:ascii="Arial" w:hAnsi="Arial" w:cs="Arial"/>
        </w:rPr>
        <w:t xml:space="preserve">he inclusion of a statement regarding the importance and value of DES and school partnerships working together to develop student employment skills is welcomed.  </w:t>
      </w:r>
      <w:r w:rsidR="00667F37" w:rsidRPr="00AC2F94">
        <w:rPr>
          <w:rFonts w:ascii="Arial" w:hAnsi="Arial" w:cs="Arial"/>
        </w:rPr>
        <w:t>We welcome the recognition of the major barriers to open employment and the considerable assistance on</w:t>
      </w:r>
      <w:r w:rsidR="00613037" w:rsidRPr="00AC2F94">
        <w:rPr>
          <w:rFonts w:ascii="Arial" w:hAnsi="Arial" w:cs="Arial"/>
        </w:rPr>
        <w:t xml:space="preserve"> the part of</w:t>
      </w:r>
      <w:r w:rsidR="00667F37" w:rsidRPr="00AC2F94">
        <w:rPr>
          <w:rFonts w:ascii="Arial" w:hAnsi="Arial" w:cs="Arial"/>
        </w:rPr>
        <w:t xml:space="preserve"> </w:t>
      </w:r>
      <w:r w:rsidR="00D425E1" w:rsidRPr="00AC2F94">
        <w:rPr>
          <w:rFonts w:ascii="Arial" w:hAnsi="Arial" w:cs="Arial"/>
        </w:rPr>
        <w:t xml:space="preserve">DES </w:t>
      </w:r>
      <w:r w:rsidR="00667F37" w:rsidRPr="00AC2F94">
        <w:rPr>
          <w:rFonts w:ascii="Arial" w:hAnsi="Arial" w:cs="Arial"/>
        </w:rPr>
        <w:t xml:space="preserve">providers to prepare and train </w:t>
      </w:r>
      <w:r w:rsidR="00613037" w:rsidRPr="00AC2F94">
        <w:rPr>
          <w:rFonts w:ascii="Arial" w:hAnsi="Arial" w:cs="Arial"/>
        </w:rPr>
        <w:t>a</w:t>
      </w:r>
      <w:r w:rsidR="00667F37" w:rsidRPr="00AC2F94">
        <w:rPr>
          <w:rFonts w:ascii="Arial" w:hAnsi="Arial" w:cs="Arial"/>
        </w:rPr>
        <w:t xml:space="preserve"> participant to be ready for open employment.  </w:t>
      </w:r>
      <w:r w:rsidR="006E0D94" w:rsidRPr="00AC2F94">
        <w:rPr>
          <w:rFonts w:ascii="Arial" w:hAnsi="Arial" w:cs="Arial"/>
        </w:rPr>
        <w:t>Ticket to Work</w:t>
      </w:r>
      <w:r w:rsidR="006E0D94" w:rsidRPr="00AC2F94">
        <w:rPr>
          <w:rFonts w:ascii="Arial" w:hAnsi="Arial" w:cs="Arial"/>
          <w:i/>
        </w:rPr>
        <w:t xml:space="preserve"> </w:t>
      </w:r>
      <w:r w:rsidR="006E0D94" w:rsidRPr="00AC2F94">
        <w:rPr>
          <w:rFonts w:ascii="Arial" w:hAnsi="Arial" w:cs="Arial"/>
        </w:rPr>
        <w:t>has found that schools have greatly appreciated a real partnership with a DES</w:t>
      </w:r>
      <w:r w:rsidR="006C0355" w:rsidRPr="00AC2F94">
        <w:rPr>
          <w:rFonts w:ascii="Arial" w:hAnsi="Arial" w:cs="Arial"/>
        </w:rPr>
        <w:t xml:space="preserve"> as school</w:t>
      </w:r>
      <w:r w:rsidR="007D77C5" w:rsidRPr="00AC2F94">
        <w:rPr>
          <w:rFonts w:ascii="Arial" w:hAnsi="Arial" w:cs="Arial"/>
        </w:rPr>
        <w:t>s</w:t>
      </w:r>
      <w:r w:rsidR="006C0355" w:rsidRPr="00AC2F94">
        <w:rPr>
          <w:rFonts w:ascii="Arial" w:hAnsi="Arial" w:cs="Arial"/>
        </w:rPr>
        <w:t xml:space="preserve"> do </w:t>
      </w:r>
      <w:r w:rsidR="006E0D94" w:rsidRPr="00AC2F94">
        <w:rPr>
          <w:rFonts w:ascii="Arial" w:hAnsi="Arial" w:cs="Arial"/>
        </w:rPr>
        <w:t>not necessarily have the knowledge and skills to adequately support their students’ transition to employment. Many schools look to DES providers as disability employment experts and partnerships between these two sectors ha</w:t>
      </w:r>
      <w:r w:rsidR="007D77C5" w:rsidRPr="00AC2F94">
        <w:rPr>
          <w:rFonts w:ascii="Arial" w:hAnsi="Arial" w:cs="Arial"/>
        </w:rPr>
        <w:t>ve</w:t>
      </w:r>
      <w:r w:rsidR="006E0D94" w:rsidRPr="00AC2F94">
        <w:rPr>
          <w:rFonts w:ascii="Arial" w:hAnsi="Arial" w:cs="Arial"/>
        </w:rPr>
        <w:t xml:space="preserve"> resulted in positive outcomes for students. </w:t>
      </w:r>
    </w:p>
    <w:p w14:paraId="5E6FEC7A" w14:textId="77777777" w:rsidR="006E0D94" w:rsidRPr="00AC2F94" w:rsidRDefault="006E0D94" w:rsidP="00386B89">
      <w:pPr>
        <w:pStyle w:val="Default"/>
        <w:spacing w:after="120" w:line="276" w:lineRule="auto"/>
        <w:rPr>
          <w:rFonts w:ascii="Arial" w:hAnsi="Arial" w:cs="Arial"/>
        </w:rPr>
      </w:pPr>
      <w:r w:rsidRPr="00AC2F94">
        <w:rPr>
          <w:rFonts w:ascii="Arial" w:hAnsi="Arial" w:cs="Arial"/>
        </w:rPr>
        <w:lastRenderedPageBreak/>
        <w:t>Ticket to Work</w:t>
      </w:r>
      <w:r w:rsidRPr="00AC2F94">
        <w:rPr>
          <w:rFonts w:ascii="Arial" w:hAnsi="Arial" w:cs="Arial"/>
          <w:i/>
        </w:rPr>
        <w:t xml:space="preserve"> </w:t>
      </w:r>
      <w:r w:rsidRPr="00AC2F94">
        <w:rPr>
          <w:rFonts w:ascii="Arial" w:hAnsi="Arial" w:cs="Arial"/>
        </w:rPr>
        <w:t xml:space="preserve">takes a partnership approach and brings together a range of local partners (including industry, DES providers, schools, youth organisations and training providers) in local regions who work together to provide students with career development, workplace preparation, work experience and apprenticeships and traineeships. These organisations bring their various skills and expertise together to collectively address youth disability employment issues in their local community.  Acknowledgement in the </w:t>
      </w:r>
      <w:r w:rsidR="007D77C5" w:rsidRPr="00AC2F94">
        <w:rPr>
          <w:rFonts w:ascii="Arial" w:hAnsi="Arial" w:cs="Arial"/>
        </w:rPr>
        <w:t>G</w:t>
      </w:r>
      <w:r w:rsidRPr="00AC2F94">
        <w:rPr>
          <w:rFonts w:ascii="Arial" w:hAnsi="Arial" w:cs="Arial"/>
        </w:rPr>
        <w:t xml:space="preserve">uidelines that partnerships between DES and schools are encouraged </w:t>
      </w:r>
      <w:r w:rsidR="002A7318" w:rsidRPr="00AC2F94">
        <w:rPr>
          <w:rFonts w:ascii="Arial" w:hAnsi="Arial" w:cs="Arial"/>
        </w:rPr>
        <w:t>will undoubtedly lead to greater levels of collaboration and cross-sectoral development.</w:t>
      </w:r>
    </w:p>
    <w:p w14:paraId="06CFEB33" w14:textId="77777777" w:rsidR="00670F60" w:rsidRPr="00AC2F94" w:rsidRDefault="00680937" w:rsidP="00386B89">
      <w:pPr>
        <w:pStyle w:val="Default"/>
        <w:spacing w:after="120" w:line="276" w:lineRule="auto"/>
        <w:rPr>
          <w:rFonts w:ascii="Arial" w:hAnsi="Arial" w:cs="Arial"/>
        </w:rPr>
      </w:pPr>
      <w:r w:rsidRPr="00AC2F94">
        <w:rPr>
          <w:rFonts w:ascii="Arial" w:hAnsi="Arial" w:cs="Arial"/>
        </w:rPr>
        <w:t>Th</w:t>
      </w:r>
      <w:r w:rsidR="00D425E1" w:rsidRPr="00AC2F94">
        <w:rPr>
          <w:rFonts w:ascii="Arial" w:hAnsi="Arial" w:cs="Arial"/>
        </w:rPr>
        <w:t>r</w:t>
      </w:r>
      <w:r w:rsidRPr="00AC2F94">
        <w:rPr>
          <w:rFonts w:ascii="Arial" w:hAnsi="Arial" w:cs="Arial"/>
        </w:rPr>
        <w:t xml:space="preserve">ough our work </w:t>
      </w:r>
      <w:r w:rsidR="00667F37" w:rsidRPr="00AC2F94">
        <w:rPr>
          <w:rFonts w:ascii="Arial" w:hAnsi="Arial" w:cs="Arial"/>
        </w:rPr>
        <w:t>in</w:t>
      </w:r>
      <w:r w:rsidRPr="00AC2F94">
        <w:rPr>
          <w:rFonts w:ascii="Arial" w:hAnsi="Arial" w:cs="Arial"/>
        </w:rPr>
        <w:t xml:space="preserve"> improving transition from school for young people with disability</w:t>
      </w:r>
      <w:r w:rsidR="00667F37" w:rsidRPr="00AC2F94">
        <w:rPr>
          <w:rFonts w:ascii="Arial" w:hAnsi="Arial" w:cs="Arial"/>
        </w:rPr>
        <w:t>,</w:t>
      </w:r>
      <w:r w:rsidRPr="00AC2F94">
        <w:rPr>
          <w:rFonts w:ascii="Arial" w:hAnsi="Arial" w:cs="Arial"/>
        </w:rPr>
        <w:t xml:space="preserve"> </w:t>
      </w:r>
      <w:r w:rsidR="00667F37" w:rsidRPr="00AC2F94">
        <w:rPr>
          <w:rFonts w:ascii="Arial" w:hAnsi="Arial" w:cs="Arial"/>
        </w:rPr>
        <w:t>we have found that</w:t>
      </w:r>
      <w:r w:rsidRPr="00AC2F94">
        <w:rPr>
          <w:rFonts w:ascii="Arial" w:hAnsi="Arial" w:cs="Arial"/>
        </w:rPr>
        <w:t xml:space="preserve"> many </w:t>
      </w:r>
      <w:r w:rsidR="005A1504" w:rsidRPr="00AC2F94">
        <w:rPr>
          <w:rFonts w:ascii="Arial" w:hAnsi="Arial" w:cs="Arial"/>
        </w:rPr>
        <w:t xml:space="preserve">DES </w:t>
      </w:r>
      <w:r w:rsidR="00667F37" w:rsidRPr="00AC2F94">
        <w:rPr>
          <w:rFonts w:ascii="Arial" w:hAnsi="Arial" w:cs="Arial"/>
        </w:rPr>
        <w:t xml:space="preserve">providers </w:t>
      </w:r>
      <w:r w:rsidRPr="00AC2F94">
        <w:rPr>
          <w:rFonts w:ascii="Arial" w:hAnsi="Arial" w:cs="Arial"/>
        </w:rPr>
        <w:t>will not engage with schools or register students in their last year of school</w:t>
      </w:r>
      <w:r w:rsidR="00667F37" w:rsidRPr="00AC2F94">
        <w:rPr>
          <w:rFonts w:ascii="Arial" w:hAnsi="Arial" w:cs="Arial"/>
        </w:rPr>
        <w:t xml:space="preserve">. These providers </w:t>
      </w:r>
      <w:r w:rsidRPr="00AC2F94">
        <w:rPr>
          <w:rFonts w:ascii="Arial" w:hAnsi="Arial" w:cs="Arial"/>
        </w:rPr>
        <w:t xml:space="preserve">state that </w:t>
      </w:r>
      <w:r w:rsidR="00667F37" w:rsidRPr="00AC2F94">
        <w:rPr>
          <w:rFonts w:ascii="Arial" w:hAnsi="Arial" w:cs="Arial"/>
        </w:rPr>
        <w:t xml:space="preserve">doing so </w:t>
      </w:r>
      <w:r w:rsidRPr="00AC2F94">
        <w:rPr>
          <w:rFonts w:ascii="Arial" w:hAnsi="Arial" w:cs="Arial"/>
        </w:rPr>
        <w:t xml:space="preserve">will negatively </w:t>
      </w:r>
      <w:r w:rsidR="00D425E1" w:rsidRPr="00AC2F94">
        <w:rPr>
          <w:rFonts w:ascii="Arial" w:hAnsi="Arial" w:cs="Arial"/>
        </w:rPr>
        <w:t>a</w:t>
      </w:r>
      <w:r w:rsidRPr="00AC2F94">
        <w:rPr>
          <w:rFonts w:ascii="Arial" w:hAnsi="Arial" w:cs="Arial"/>
        </w:rPr>
        <w:t xml:space="preserve">ffect their star </w:t>
      </w:r>
      <w:r w:rsidRPr="00AC2F94">
        <w:rPr>
          <w:rFonts w:ascii="Arial" w:hAnsi="Arial" w:cs="Arial"/>
        </w:rPr>
        <w:lastRenderedPageBreak/>
        <w:t>rating</w:t>
      </w:r>
      <w:r w:rsidR="00667F37" w:rsidRPr="00AC2F94">
        <w:rPr>
          <w:rFonts w:ascii="Arial" w:hAnsi="Arial" w:cs="Arial"/>
        </w:rPr>
        <w:t xml:space="preserve"> and ability to win further tenders</w:t>
      </w:r>
      <w:r w:rsidRPr="00AC2F94">
        <w:rPr>
          <w:rFonts w:ascii="Arial" w:hAnsi="Arial" w:cs="Arial"/>
        </w:rPr>
        <w:t xml:space="preserve">. We have been </w:t>
      </w:r>
      <w:r w:rsidR="007D77C5" w:rsidRPr="00AC2F94">
        <w:rPr>
          <w:rFonts w:ascii="Arial" w:hAnsi="Arial" w:cs="Arial"/>
        </w:rPr>
        <w:t>advised</w:t>
      </w:r>
      <w:r w:rsidRPr="00AC2F94">
        <w:rPr>
          <w:rFonts w:ascii="Arial" w:hAnsi="Arial" w:cs="Arial"/>
        </w:rPr>
        <w:t xml:space="preserve"> that i</w:t>
      </w:r>
      <w:r w:rsidR="00667F37" w:rsidRPr="00AC2F94">
        <w:rPr>
          <w:rFonts w:ascii="Arial" w:hAnsi="Arial" w:cs="Arial"/>
        </w:rPr>
        <w:t>f</w:t>
      </w:r>
      <w:r w:rsidRPr="00AC2F94">
        <w:rPr>
          <w:rFonts w:ascii="Arial" w:hAnsi="Arial" w:cs="Arial"/>
        </w:rPr>
        <w:t xml:space="preserve"> </w:t>
      </w:r>
      <w:r w:rsidR="00D425E1" w:rsidRPr="00AC2F94">
        <w:rPr>
          <w:rFonts w:ascii="Arial" w:hAnsi="Arial" w:cs="Arial"/>
        </w:rPr>
        <w:t xml:space="preserve">a provider does not achieve </w:t>
      </w:r>
      <w:r w:rsidRPr="00AC2F94">
        <w:rPr>
          <w:rFonts w:ascii="Arial" w:hAnsi="Arial" w:cs="Arial"/>
        </w:rPr>
        <w:t>an employment outcome for a person with disability in a six month period</w:t>
      </w:r>
      <w:r w:rsidR="007D77C5" w:rsidRPr="00AC2F94">
        <w:rPr>
          <w:rFonts w:ascii="Arial" w:hAnsi="Arial" w:cs="Arial"/>
        </w:rPr>
        <w:t>,</w:t>
      </w:r>
      <w:r w:rsidRPr="00AC2F94">
        <w:rPr>
          <w:rFonts w:ascii="Arial" w:hAnsi="Arial" w:cs="Arial"/>
        </w:rPr>
        <w:t xml:space="preserve"> the provide</w:t>
      </w:r>
      <w:r w:rsidR="00B333BA" w:rsidRPr="00AC2F94">
        <w:rPr>
          <w:rFonts w:ascii="Arial" w:hAnsi="Arial" w:cs="Arial"/>
        </w:rPr>
        <w:t>r’s</w:t>
      </w:r>
      <w:r w:rsidRPr="00AC2F94">
        <w:rPr>
          <w:rFonts w:ascii="Arial" w:hAnsi="Arial" w:cs="Arial"/>
        </w:rPr>
        <w:t xml:space="preserve"> star rating</w:t>
      </w:r>
      <w:r w:rsidR="00667F37" w:rsidRPr="00AC2F94">
        <w:rPr>
          <w:rFonts w:ascii="Arial" w:hAnsi="Arial" w:cs="Arial"/>
        </w:rPr>
        <w:t xml:space="preserve"> may be </w:t>
      </w:r>
      <w:r w:rsidR="00D425E1" w:rsidRPr="00AC2F94">
        <w:rPr>
          <w:rFonts w:ascii="Arial" w:hAnsi="Arial" w:cs="Arial"/>
        </w:rPr>
        <w:t>a</w:t>
      </w:r>
      <w:r w:rsidR="00667F37" w:rsidRPr="00AC2F94">
        <w:rPr>
          <w:rFonts w:ascii="Arial" w:hAnsi="Arial" w:cs="Arial"/>
        </w:rPr>
        <w:t>ffected</w:t>
      </w:r>
      <w:r w:rsidRPr="00AC2F94">
        <w:rPr>
          <w:rFonts w:ascii="Arial" w:hAnsi="Arial" w:cs="Arial"/>
        </w:rPr>
        <w:t>.</w:t>
      </w:r>
      <w:r w:rsidR="00D425E1" w:rsidRPr="00AC2F94">
        <w:rPr>
          <w:rFonts w:ascii="Arial" w:hAnsi="Arial" w:cs="Arial"/>
        </w:rPr>
        <w:t xml:space="preserve"> Those same providers feel that it may take six months or more to achieve an outcome with a young person, given that they are young and may not have had any workplace </w:t>
      </w:r>
      <w:r w:rsidR="008C1716" w:rsidRPr="00AC2F94">
        <w:rPr>
          <w:rFonts w:ascii="Arial" w:hAnsi="Arial" w:cs="Arial"/>
        </w:rPr>
        <w:t xml:space="preserve">experience or pathways planning previously. </w:t>
      </w:r>
      <w:r w:rsidRPr="00AC2F94">
        <w:rPr>
          <w:rFonts w:ascii="Arial" w:hAnsi="Arial" w:cs="Arial"/>
        </w:rPr>
        <w:t>Therefore</w:t>
      </w:r>
      <w:r w:rsidR="007D77C5" w:rsidRPr="00AC2F94">
        <w:rPr>
          <w:rFonts w:ascii="Arial" w:hAnsi="Arial" w:cs="Arial"/>
        </w:rPr>
        <w:t>,</w:t>
      </w:r>
      <w:r w:rsidRPr="00AC2F94">
        <w:rPr>
          <w:rFonts w:ascii="Arial" w:hAnsi="Arial" w:cs="Arial"/>
        </w:rPr>
        <w:t xml:space="preserve"> some providers are not willing to </w:t>
      </w:r>
      <w:r w:rsidR="00667F37" w:rsidRPr="00AC2F94">
        <w:rPr>
          <w:rFonts w:ascii="Arial" w:hAnsi="Arial" w:cs="Arial"/>
        </w:rPr>
        <w:t>give</w:t>
      </w:r>
      <w:r w:rsidRPr="00AC2F94">
        <w:rPr>
          <w:rFonts w:ascii="Arial" w:hAnsi="Arial" w:cs="Arial"/>
        </w:rPr>
        <w:t xml:space="preserve"> that </w:t>
      </w:r>
      <w:r w:rsidR="00667F37" w:rsidRPr="00AC2F94">
        <w:rPr>
          <w:rFonts w:ascii="Arial" w:hAnsi="Arial" w:cs="Arial"/>
        </w:rPr>
        <w:t xml:space="preserve">considerable assistance required to prepare and train the </w:t>
      </w:r>
      <w:r w:rsidR="005A1504" w:rsidRPr="00AC2F94">
        <w:rPr>
          <w:rFonts w:ascii="Arial" w:hAnsi="Arial" w:cs="Arial"/>
        </w:rPr>
        <w:t xml:space="preserve">school based </w:t>
      </w:r>
      <w:r w:rsidR="00667F37" w:rsidRPr="00AC2F94">
        <w:rPr>
          <w:rFonts w:ascii="Arial" w:hAnsi="Arial" w:cs="Arial"/>
        </w:rPr>
        <w:t xml:space="preserve">participant to be ready for open employment.  </w:t>
      </w:r>
    </w:p>
    <w:p w14:paraId="717EC610" w14:textId="77777777" w:rsidR="001A29FC" w:rsidRPr="00AC2F94" w:rsidRDefault="002A7318" w:rsidP="001A29FC">
      <w:pPr>
        <w:pStyle w:val="Default"/>
        <w:spacing w:after="120" w:line="276" w:lineRule="auto"/>
        <w:rPr>
          <w:rFonts w:ascii="Arial" w:hAnsi="Arial" w:cs="Arial"/>
          <w:color w:val="auto"/>
        </w:rPr>
      </w:pPr>
      <w:r w:rsidRPr="00AC2F94">
        <w:rPr>
          <w:rFonts w:ascii="Arial" w:hAnsi="Arial" w:cs="Arial"/>
          <w:b/>
          <w:color w:val="auto"/>
        </w:rPr>
        <w:t>Recommendation:</w:t>
      </w:r>
      <w:r w:rsidRPr="00AC2F94">
        <w:rPr>
          <w:rFonts w:ascii="Arial" w:hAnsi="Arial" w:cs="Arial"/>
          <w:color w:val="auto"/>
        </w:rPr>
        <w:t xml:space="preserve"> </w:t>
      </w:r>
    </w:p>
    <w:p w14:paraId="2781390B" w14:textId="77777777" w:rsidR="00E50195" w:rsidRPr="00AC2F94" w:rsidRDefault="00E50195" w:rsidP="00E50195">
      <w:pPr>
        <w:autoSpaceDE w:val="0"/>
        <w:autoSpaceDN w:val="0"/>
        <w:adjustRightInd w:val="0"/>
        <w:spacing w:after="120" w:line="276" w:lineRule="auto"/>
        <w:jc w:val="both"/>
        <w:rPr>
          <w:rFonts w:ascii="Arial" w:hAnsi="Arial" w:cs="Arial"/>
          <w:color w:val="000000"/>
          <w:sz w:val="24"/>
          <w:szCs w:val="24"/>
          <w:lang w:eastAsia="en-AU"/>
        </w:rPr>
      </w:pPr>
      <w:r w:rsidRPr="00AC2F94">
        <w:rPr>
          <w:rFonts w:ascii="Arial" w:hAnsi="Arial" w:cs="Arial"/>
          <w:sz w:val="24"/>
          <w:szCs w:val="24"/>
        </w:rPr>
        <w:t xml:space="preserve">DES providers’ Star Rating should not negatively affected by engaging with schools and supporting work preparation.  Students participating in DES should be excluded from the Star Ratings until the student is able to </w:t>
      </w:r>
      <w:r w:rsidRPr="00AC2F94">
        <w:rPr>
          <w:rFonts w:ascii="Arial" w:hAnsi="Arial" w:cs="Arial"/>
          <w:sz w:val="24"/>
          <w:szCs w:val="24"/>
        </w:rPr>
        <w:lastRenderedPageBreak/>
        <w:t xml:space="preserve">begin employment, eg when finished school or when starting a school based traineeship/apprenticeship.  </w:t>
      </w:r>
    </w:p>
    <w:p w14:paraId="23761DC2" w14:textId="77777777" w:rsidR="006667CE" w:rsidRPr="00AC2F94" w:rsidRDefault="006667CE" w:rsidP="007D77C5">
      <w:pPr>
        <w:rPr>
          <w:rFonts w:ascii="Arial" w:hAnsi="Arial" w:cs="Arial"/>
        </w:rPr>
      </w:pPr>
    </w:p>
    <w:p w14:paraId="05606F40" w14:textId="77777777" w:rsidR="00AE405D" w:rsidRPr="00AC2F94" w:rsidRDefault="002A7318" w:rsidP="007D77C5">
      <w:pPr>
        <w:pStyle w:val="Heading1"/>
        <w:spacing w:before="0" w:after="120" w:line="276" w:lineRule="auto"/>
        <w:rPr>
          <w:rFonts w:ascii="Arial" w:hAnsi="Arial" w:cs="Arial"/>
          <w:color w:val="auto"/>
        </w:rPr>
      </w:pPr>
      <w:bookmarkStart w:id="5" w:name="_Toc419281992"/>
      <w:r w:rsidRPr="00AC2F94">
        <w:rPr>
          <w:rFonts w:ascii="Arial" w:hAnsi="Arial" w:cs="Arial"/>
          <w:color w:val="auto"/>
        </w:rPr>
        <w:t>Eligible School L</w:t>
      </w:r>
      <w:r w:rsidR="00FA6182" w:rsidRPr="00AC2F94">
        <w:rPr>
          <w:rFonts w:ascii="Arial" w:hAnsi="Arial" w:cs="Arial"/>
          <w:color w:val="auto"/>
        </w:rPr>
        <w:t>eaver</w:t>
      </w:r>
      <w:r w:rsidR="00CC03E8" w:rsidRPr="00AC2F94">
        <w:rPr>
          <w:rFonts w:ascii="Arial" w:hAnsi="Arial" w:cs="Arial"/>
          <w:color w:val="auto"/>
        </w:rPr>
        <w:t xml:space="preserve"> and DES</w:t>
      </w:r>
      <w:r w:rsidR="00FA6182" w:rsidRPr="00AC2F94">
        <w:rPr>
          <w:rFonts w:ascii="Arial" w:hAnsi="Arial" w:cs="Arial"/>
          <w:color w:val="auto"/>
        </w:rPr>
        <w:t xml:space="preserve"> G</w:t>
      </w:r>
      <w:r w:rsidR="00AE405D" w:rsidRPr="00AC2F94">
        <w:rPr>
          <w:rFonts w:ascii="Arial" w:hAnsi="Arial" w:cs="Arial"/>
          <w:color w:val="auto"/>
        </w:rPr>
        <w:t>uidelines</w:t>
      </w:r>
      <w:bookmarkEnd w:id="5"/>
    </w:p>
    <w:p w14:paraId="5F98A092" w14:textId="77777777" w:rsidR="00D5532A" w:rsidRPr="00AC2F94" w:rsidRDefault="00D5532A" w:rsidP="004A4EF8">
      <w:pPr>
        <w:keepNext/>
        <w:keepLines/>
        <w:spacing w:after="120" w:line="276" w:lineRule="auto"/>
        <w:outlineLvl w:val="1"/>
        <w:rPr>
          <w:rFonts w:ascii="Arial" w:eastAsiaTheme="majorEastAsia" w:hAnsi="Arial" w:cs="Arial"/>
          <w:b/>
          <w:bCs/>
          <w:sz w:val="24"/>
          <w:szCs w:val="24"/>
          <w:lang w:eastAsia="en-AU"/>
        </w:rPr>
      </w:pPr>
      <w:bookmarkStart w:id="6" w:name="_Toc379188696"/>
      <w:bookmarkStart w:id="7" w:name="_Toc419281993"/>
      <w:r w:rsidRPr="00AC2F94">
        <w:rPr>
          <w:rFonts w:ascii="Arial" w:eastAsiaTheme="majorEastAsia" w:hAnsi="Arial" w:cs="Arial"/>
          <w:b/>
          <w:bCs/>
          <w:sz w:val="24"/>
          <w:szCs w:val="24"/>
          <w:lang w:eastAsia="en-AU"/>
        </w:rPr>
        <w:t>Registration of Eligible School Leaver at a School involved in Ticket to Work</w:t>
      </w:r>
      <w:bookmarkEnd w:id="6"/>
      <w:bookmarkEnd w:id="7"/>
    </w:p>
    <w:p w14:paraId="7D54F553" w14:textId="77777777" w:rsidR="00D5532A" w:rsidRPr="00AC2F94" w:rsidRDefault="00D5532A" w:rsidP="00386B89">
      <w:pPr>
        <w:autoSpaceDE w:val="0"/>
        <w:autoSpaceDN w:val="0"/>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 xml:space="preserve">The DES Employment Service Area (ESA) restrictions have impacted on the support provided to Ticket to Work students. We have found that, while a proactive DES may be engaging with schools/parents/students around work preparation and ASbATs, the home location of a student dictates whether that DES can register and support the students it has built a rapport with. </w:t>
      </w:r>
    </w:p>
    <w:p w14:paraId="3F546DC2" w14:textId="77777777" w:rsidR="00D5532A" w:rsidRPr="00AC2F94" w:rsidRDefault="00D5532A" w:rsidP="00386B89">
      <w:pPr>
        <w:autoSpaceDE w:val="0"/>
        <w:autoSpaceDN w:val="0"/>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We have found that there are limited numbers of special schools and</w:t>
      </w:r>
      <w:r w:rsidR="00AB2CCD"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as a result</w:t>
      </w:r>
      <w:r w:rsidR="00AB2CCD"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some students must travel considerable distance, and from a neighbouring ESA, to attend their closest school.  This can mean that</w:t>
      </w:r>
      <w:r w:rsidR="00AB2CCD"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w:t>
      </w:r>
      <w:r w:rsidRPr="00AC2F94">
        <w:rPr>
          <w:rFonts w:ascii="Arial" w:hAnsi="Arial" w:cs="Arial"/>
          <w:color w:val="000000"/>
          <w:sz w:val="24"/>
          <w:szCs w:val="24"/>
          <w:lang w:eastAsia="en-AU"/>
        </w:rPr>
        <w:lastRenderedPageBreak/>
        <w:t>while their school is located in a specific ESA region</w:t>
      </w:r>
      <w:r w:rsidR="00AB2CCD"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the student’s home is located in another and the DES working with the school to support potential ASbAT students cannot support and work with some ‘out-of-region’ students.  We know that some students have missed out on participating in a </w:t>
      </w:r>
      <w:r w:rsidRPr="00AC2F94">
        <w:rPr>
          <w:rFonts w:ascii="Arial" w:hAnsi="Arial" w:cs="Arial"/>
          <w:i/>
          <w:iCs/>
          <w:color w:val="000000"/>
          <w:sz w:val="24"/>
          <w:szCs w:val="24"/>
          <w:lang w:eastAsia="en-AU"/>
        </w:rPr>
        <w:t xml:space="preserve">Ticket to Work </w:t>
      </w:r>
      <w:r w:rsidRPr="00AC2F94">
        <w:rPr>
          <w:rFonts w:ascii="Arial" w:hAnsi="Arial" w:cs="Arial"/>
          <w:color w:val="000000"/>
          <w:sz w:val="24"/>
          <w:szCs w:val="24"/>
          <w:lang w:eastAsia="en-AU"/>
        </w:rPr>
        <w:t>ASbAT</w:t>
      </w:r>
      <w:r w:rsidR="00AB2CCD"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whereas </w:t>
      </w:r>
      <w:r w:rsidR="00AB2CCD" w:rsidRPr="00AC2F94">
        <w:rPr>
          <w:rFonts w:ascii="Arial" w:hAnsi="Arial" w:cs="Arial"/>
          <w:color w:val="000000"/>
          <w:sz w:val="24"/>
          <w:szCs w:val="24"/>
          <w:lang w:eastAsia="en-AU"/>
        </w:rPr>
        <w:t xml:space="preserve">a </w:t>
      </w:r>
      <w:r w:rsidRPr="00AC2F94">
        <w:rPr>
          <w:rFonts w:ascii="Arial" w:hAnsi="Arial" w:cs="Arial"/>
          <w:color w:val="000000"/>
          <w:sz w:val="24"/>
          <w:szCs w:val="24"/>
          <w:lang w:eastAsia="en-AU"/>
        </w:rPr>
        <w:t>peer sitting next to them in class</w:t>
      </w:r>
      <w:r w:rsidR="001A29FC" w:rsidRPr="00AC2F94">
        <w:rPr>
          <w:rFonts w:ascii="Arial" w:hAnsi="Arial" w:cs="Arial"/>
          <w:color w:val="000000"/>
          <w:sz w:val="24"/>
          <w:szCs w:val="24"/>
          <w:lang w:eastAsia="en-AU"/>
        </w:rPr>
        <w:t xml:space="preserve"> is able participate</w:t>
      </w:r>
      <w:r w:rsidRPr="00AC2F94">
        <w:rPr>
          <w:rFonts w:ascii="Arial" w:hAnsi="Arial" w:cs="Arial"/>
          <w:color w:val="000000"/>
          <w:sz w:val="24"/>
          <w:szCs w:val="24"/>
          <w:lang w:eastAsia="en-AU"/>
        </w:rPr>
        <w:t xml:space="preserve"> just because of where they live. </w:t>
      </w:r>
    </w:p>
    <w:p w14:paraId="25038804" w14:textId="77777777" w:rsidR="00D5532A" w:rsidRPr="00AC2F94" w:rsidRDefault="00D5532A" w:rsidP="00386B89">
      <w:pPr>
        <w:autoSpaceDE w:val="0"/>
        <w:autoSpaceDN w:val="0"/>
        <w:spacing w:after="120" w:line="276" w:lineRule="auto"/>
        <w:rPr>
          <w:rFonts w:ascii="Arial" w:hAnsi="Arial" w:cs="Arial"/>
          <w:iCs/>
          <w:color w:val="000000"/>
          <w:sz w:val="24"/>
          <w:szCs w:val="24"/>
          <w:lang w:eastAsia="en-AU"/>
        </w:rPr>
      </w:pPr>
      <w:r w:rsidRPr="00AC2F94">
        <w:rPr>
          <w:rFonts w:ascii="Arial" w:hAnsi="Arial" w:cs="Arial"/>
          <w:b/>
          <w:bCs/>
          <w:iCs/>
          <w:color w:val="000000"/>
          <w:sz w:val="24"/>
          <w:szCs w:val="24"/>
          <w:lang w:eastAsia="en-AU"/>
        </w:rPr>
        <w:t>Recommendation:</w:t>
      </w:r>
      <w:r w:rsidRPr="00AC2F94">
        <w:rPr>
          <w:rFonts w:ascii="Arial" w:hAnsi="Arial" w:cs="Arial"/>
          <w:iCs/>
          <w:color w:val="000000"/>
          <w:sz w:val="24"/>
          <w:szCs w:val="24"/>
          <w:lang w:eastAsia="en-AU"/>
        </w:rPr>
        <w:t xml:space="preserve"> </w:t>
      </w:r>
    </w:p>
    <w:p w14:paraId="1385C172" w14:textId="77777777" w:rsidR="00880FCE" w:rsidRPr="00AC2F94" w:rsidRDefault="00880FCE" w:rsidP="001A29FC">
      <w:pPr>
        <w:pStyle w:val="Default"/>
        <w:spacing w:after="120" w:line="276" w:lineRule="auto"/>
        <w:rPr>
          <w:rFonts w:ascii="Arial" w:hAnsi="Arial" w:cs="Arial"/>
          <w:lang w:eastAsia="en-AU"/>
        </w:rPr>
      </w:pPr>
      <w:bookmarkStart w:id="8" w:name="_Toc379188697"/>
      <w:r w:rsidRPr="00AC2F94">
        <w:rPr>
          <w:rFonts w:ascii="Arial" w:hAnsi="Arial" w:cs="Arial"/>
        </w:rPr>
        <w:t xml:space="preserve">Update the guidelines to state </w:t>
      </w:r>
      <w:r w:rsidR="00AB2CCD" w:rsidRPr="00AC2F94">
        <w:rPr>
          <w:rFonts w:ascii="Arial" w:hAnsi="Arial" w:cs="Arial"/>
        </w:rPr>
        <w:t xml:space="preserve">that </w:t>
      </w:r>
      <w:r w:rsidRPr="00AC2F94">
        <w:rPr>
          <w:rFonts w:ascii="Arial" w:hAnsi="Arial" w:cs="Arial"/>
        </w:rPr>
        <w:t xml:space="preserve">ESLs can be registered with their preferred DES in the DES ESA region in which they live </w:t>
      </w:r>
      <w:r w:rsidRPr="00AC2F94">
        <w:rPr>
          <w:rFonts w:ascii="Arial" w:hAnsi="Arial" w:cs="Arial"/>
          <w:b/>
        </w:rPr>
        <w:t>OR attend school.</w:t>
      </w:r>
      <w:r w:rsidRPr="00AC2F94">
        <w:rPr>
          <w:rFonts w:ascii="Arial" w:hAnsi="Arial" w:cs="Arial"/>
        </w:rPr>
        <w:t xml:space="preserve"> </w:t>
      </w:r>
    </w:p>
    <w:p w14:paraId="0D5AEA8A" w14:textId="77777777" w:rsidR="00915C56" w:rsidRPr="00AC2F94" w:rsidRDefault="00915C56" w:rsidP="008445FB">
      <w:pPr>
        <w:keepNext/>
        <w:keepLines/>
        <w:spacing w:after="120" w:line="276" w:lineRule="auto"/>
        <w:outlineLvl w:val="1"/>
        <w:rPr>
          <w:rFonts w:ascii="Arial" w:eastAsiaTheme="majorEastAsia" w:hAnsi="Arial" w:cs="Arial"/>
          <w:b/>
          <w:bCs/>
          <w:sz w:val="24"/>
          <w:szCs w:val="24"/>
          <w:lang w:eastAsia="en-AU"/>
        </w:rPr>
      </w:pPr>
    </w:p>
    <w:p w14:paraId="73E4657B" w14:textId="77777777" w:rsidR="00D85ABB" w:rsidRPr="00AC2F94" w:rsidRDefault="00D85ABB" w:rsidP="009A1187">
      <w:pPr>
        <w:keepNext/>
        <w:keepLines/>
        <w:spacing w:after="120" w:line="276" w:lineRule="auto"/>
        <w:outlineLvl w:val="1"/>
        <w:rPr>
          <w:rFonts w:ascii="Arial" w:eastAsiaTheme="majorEastAsia" w:hAnsi="Arial" w:cs="Arial"/>
          <w:b/>
          <w:bCs/>
          <w:sz w:val="24"/>
          <w:szCs w:val="24"/>
          <w:lang w:eastAsia="en-AU"/>
        </w:rPr>
      </w:pPr>
      <w:bookmarkStart w:id="9" w:name="_Toc419281994"/>
      <w:r w:rsidRPr="00AC2F94">
        <w:rPr>
          <w:rFonts w:ascii="Arial" w:eastAsiaTheme="majorEastAsia" w:hAnsi="Arial" w:cs="Arial"/>
          <w:b/>
          <w:bCs/>
          <w:sz w:val="24"/>
          <w:szCs w:val="24"/>
          <w:lang w:eastAsia="en-AU"/>
        </w:rPr>
        <w:t>ASbAT hours vs. DES employment requirements</w:t>
      </w:r>
      <w:bookmarkEnd w:id="8"/>
      <w:bookmarkEnd w:id="9"/>
      <w:r w:rsidRPr="00AC2F94">
        <w:rPr>
          <w:rFonts w:ascii="Arial" w:eastAsiaTheme="majorEastAsia" w:hAnsi="Arial" w:cs="Arial"/>
          <w:b/>
          <w:bCs/>
          <w:sz w:val="24"/>
          <w:szCs w:val="24"/>
          <w:lang w:eastAsia="en-AU"/>
        </w:rPr>
        <w:t xml:space="preserve"> </w:t>
      </w:r>
    </w:p>
    <w:p w14:paraId="1C16061D" w14:textId="77777777" w:rsidR="00D85ABB" w:rsidRPr="00AC2F94" w:rsidRDefault="00D85ABB" w:rsidP="00386B89">
      <w:pPr>
        <w:spacing w:after="120" w:line="276" w:lineRule="auto"/>
        <w:rPr>
          <w:rFonts w:ascii="Arial" w:hAnsi="Arial" w:cs="Arial"/>
          <w:bCs/>
          <w:sz w:val="24"/>
          <w:szCs w:val="24"/>
          <w:lang w:eastAsia="en-AU"/>
        </w:rPr>
      </w:pPr>
      <w:r w:rsidRPr="00AC2F94">
        <w:rPr>
          <w:rFonts w:ascii="Arial" w:hAnsi="Arial" w:cs="Arial"/>
          <w:bCs/>
          <w:sz w:val="24"/>
          <w:szCs w:val="24"/>
          <w:lang w:eastAsia="en-AU"/>
        </w:rPr>
        <w:t xml:space="preserve">It is important to note that the DES Guidelines are not compatible with the ASbAT guidelines and the general structure of an ASbAT. </w:t>
      </w:r>
    </w:p>
    <w:p w14:paraId="13F545B4" w14:textId="77777777" w:rsidR="00D85ABB" w:rsidRPr="00AC2F94" w:rsidRDefault="00D85ABB" w:rsidP="00386B89">
      <w:pPr>
        <w:spacing w:after="120" w:line="276" w:lineRule="auto"/>
        <w:rPr>
          <w:rFonts w:ascii="Arial" w:hAnsi="Arial" w:cs="Arial"/>
          <w:bCs/>
          <w:sz w:val="24"/>
          <w:szCs w:val="24"/>
          <w:lang w:eastAsia="en-AU"/>
        </w:rPr>
      </w:pPr>
      <w:r w:rsidRPr="00AC2F94">
        <w:rPr>
          <w:rFonts w:ascii="Arial" w:hAnsi="Arial" w:cs="Arial"/>
          <w:bCs/>
          <w:sz w:val="24"/>
          <w:szCs w:val="24"/>
          <w:lang w:eastAsia="en-AU"/>
        </w:rPr>
        <w:lastRenderedPageBreak/>
        <w:t>In most jurisdictions</w:t>
      </w:r>
      <w:r w:rsidR="00AB2CCD" w:rsidRPr="00AC2F94">
        <w:rPr>
          <w:rFonts w:ascii="Arial" w:hAnsi="Arial" w:cs="Arial"/>
          <w:bCs/>
          <w:sz w:val="24"/>
          <w:szCs w:val="24"/>
          <w:lang w:eastAsia="en-AU"/>
        </w:rPr>
        <w:t>,</w:t>
      </w:r>
      <w:r w:rsidRPr="00AC2F94">
        <w:rPr>
          <w:rFonts w:ascii="Arial" w:hAnsi="Arial" w:cs="Arial"/>
          <w:bCs/>
          <w:sz w:val="24"/>
          <w:szCs w:val="24"/>
          <w:lang w:eastAsia="en-AU"/>
        </w:rPr>
        <w:t xml:space="preserve"> an ASbAT student usually undertakes 13 hours a week of combined training and employment. Most ASbATs are structured around </w:t>
      </w:r>
      <w:r w:rsidR="00AB2CCD" w:rsidRPr="00AC2F94">
        <w:rPr>
          <w:rFonts w:ascii="Arial" w:hAnsi="Arial" w:cs="Arial"/>
          <w:bCs/>
          <w:sz w:val="24"/>
          <w:szCs w:val="24"/>
          <w:lang w:eastAsia="en-AU"/>
        </w:rPr>
        <w:t>seven</w:t>
      </w:r>
      <w:r w:rsidRPr="00AC2F94">
        <w:rPr>
          <w:rFonts w:ascii="Arial" w:hAnsi="Arial" w:cs="Arial"/>
          <w:bCs/>
          <w:sz w:val="24"/>
          <w:szCs w:val="24"/>
          <w:lang w:eastAsia="en-AU"/>
        </w:rPr>
        <w:t xml:space="preserve"> hours of employment and </w:t>
      </w:r>
      <w:r w:rsidR="00AB2CCD" w:rsidRPr="00AC2F94">
        <w:rPr>
          <w:rFonts w:ascii="Arial" w:hAnsi="Arial" w:cs="Arial"/>
          <w:bCs/>
          <w:sz w:val="24"/>
          <w:szCs w:val="24"/>
          <w:lang w:eastAsia="en-AU"/>
        </w:rPr>
        <w:t>six</w:t>
      </w:r>
      <w:r w:rsidRPr="00AC2F94">
        <w:rPr>
          <w:rFonts w:ascii="Arial" w:hAnsi="Arial" w:cs="Arial"/>
          <w:bCs/>
          <w:sz w:val="24"/>
          <w:szCs w:val="24"/>
          <w:lang w:eastAsia="en-AU"/>
        </w:rPr>
        <w:t xml:space="preserve"> hours of training per week. This arrangement supports student</w:t>
      </w:r>
      <w:r w:rsidR="004A4EF8" w:rsidRPr="00AC2F94">
        <w:rPr>
          <w:rFonts w:ascii="Arial" w:hAnsi="Arial" w:cs="Arial"/>
          <w:bCs/>
          <w:sz w:val="24"/>
          <w:szCs w:val="24"/>
          <w:lang w:eastAsia="en-AU"/>
        </w:rPr>
        <w:t>s</w:t>
      </w:r>
      <w:r w:rsidRPr="00AC2F94">
        <w:rPr>
          <w:rFonts w:ascii="Arial" w:hAnsi="Arial" w:cs="Arial"/>
          <w:bCs/>
          <w:sz w:val="24"/>
          <w:szCs w:val="24"/>
          <w:lang w:eastAsia="en-AU"/>
        </w:rPr>
        <w:t xml:space="preserve"> to successfully complete their ASbAT as well as their school studies. </w:t>
      </w:r>
    </w:p>
    <w:p w14:paraId="437FC296" w14:textId="77777777" w:rsidR="00D85ABB" w:rsidRPr="00AC2F94" w:rsidRDefault="00D85ABB" w:rsidP="00386B89">
      <w:pPr>
        <w:spacing w:after="120" w:line="276" w:lineRule="auto"/>
        <w:rPr>
          <w:rFonts w:ascii="Arial" w:hAnsi="Arial" w:cs="Arial"/>
          <w:bCs/>
          <w:sz w:val="24"/>
          <w:szCs w:val="24"/>
          <w:lang w:eastAsia="en-AU"/>
        </w:rPr>
      </w:pPr>
      <w:r w:rsidRPr="00AC2F94">
        <w:rPr>
          <w:rFonts w:ascii="Arial" w:hAnsi="Arial" w:cs="Arial"/>
          <w:bCs/>
          <w:sz w:val="24"/>
          <w:szCs w:val="24"/>
          <w:lang w:eastAsia="en-AU"/>
        </w:rPr>
        <w:t xml:space="preserve">To make it possible for </w:t>
      </w:r>
      <w:r w:rsidR="004A4EF8" w:rsidRPr="00AC2F94">
        <w:rPr>
          <w:rFonts w:ascii="Arial" w:hAnsi="Arial" w:cs="Arial"/>
          <w:bCs/>
          <w:sz w:val="24"/>
          <w:szCs w:val="24"/>
          <w:lang w:eastAsia="en-AU"/>
        </w:rPr>
        <w:t>a</w:t>
      </w:r>
      <w:r w:rsidRPr="00AC2F94">
        <w:rPr>
          <w:rFonts w:ascii="Arial" w:hAnsi="Arial" w:cs="Arial"/>
          <w:bCs/>
          <w:sz w:val="24"/>
          <w:szCs w:val="24"/>
          <w:lang w:eastAsia="en-AU"/>
        </w:rPr>
        <w:t xml:space="preserve"> student to complete their senior qualification as well as their ASbAT qualification</w:t>
      </w:r>
      <w:r w:rsidR="004A4EF8" w:rsidRPr="00AC2F94">
        <w:rPr>
          <w:rFonts w:ascii="Arial" w:hAnsi="Arial" w:cs="Arial"/>
          <w:bCs/>
          <w:sz w:val="24"/>
          <w:szCs w:val="24"/>
          <w:lang w:eastAsia="en-AU"/>
        </w:rPr>
        <w:t>,</w:t>
      </w:r>
      <w:r w:rsidRPr="00AC2F94">
        <w:rPr>
          <w:rFonts w:ascii="Arial" w:hAnsi="Arial" w:cs="Arial"/>
          <w:bCs/>
          <w:sz w:val="24"/>
          <w:szCs w:val="24"/>
          <w:lang w:eastAsia="en-AU"/>
        </w:rPr>
        <w:t xml:space="preserve"> schools structure the ASbAT into their timetable. This is often structured as one day in ASbAT employment, one day</w:t>
      </w:r>
      <w:r w:rsidR="00CE2C60" w:rsidRPr="00AC2F94">
        <w:rPr>
          <w:rFonts w:ascii="Arial" w:hAnsi="Arial" w:cs="Arial"/>
          <w:bCs/>
          <w:sz w:val="24"/>
          <w:szCs w:val="24"/>
          <w:lang w:eastAsia="en-AU"/>
        </w:rPr>
        <w:t xml:space="preserve"> in</w:t>
      </w:r>
      <w:r w:rsidRPr="00AC2F94">
        <w:rPr>
          <w:rFonts w:ascii="Arial" w:hAnsi="Arial" w:cs="Arial"/>
          <w:bCs/>
          <w:sz w:val="24"/>
          <w:szCs w:val="24"/>
          <w:lang w:eastAsia="en-AU"/>
        </w:rPr>
        <w:t xml:space="preserve"> ASbAT training and the remaining three days at school to undertake their senior school qualification (eg in Victoria this is usually VCAL).  </w:t>
      </w:r>
      <w:r w:rsidR="004A4EF8" w:rsidRPr="00AC2F94">
        <w:rPr>
          <w:rFonts w:ascii="Arial" w:hAnsi="Arial" w:cs="Arial"/>
          <w:bCs/>
          <w:sz w:val="24"/>
          <w:szCs w:val="24"/>
          <w:lang w:eastAsia="en-AU"/>
        </w:rPr>
        <w:t>A</w:t>
      </w:r>
      <w:r w:rsidRPr="00AC2F94">
        <w:rPr>
          <w:rFonts w:ascii="Arial" w:hAnsi="Arial" w:cs="Arial"/>
          <w:bCs/>
          <w:sz w:val="24"/>
          <w:szCs w:val="24"/>
          <w:lang w:eastAsia="en-AU"/>
        </w:rPr>
        <w:t>t the end of the student’s secondary career</w:t>
      </w:r>
      <w:r w:rsidR="004A4EF8" w:rsidRPr="00AC2F94">
        <w:rPr>
          <w:rFonts w:ascii="Arial" w:hAnsi="Arial" w:cs="Arial"/>
          <w:bCs/>
          <w:sz w:val="24"/>
          <w:szCs w:val="24"/>
          <w:lang w:eastAsia="en-AU"/>
        </w:rPr>
        <w:t>,</w:t>
      </w:r>
      <w:r w:rsidRPr="00AC2F94">
        <w:rPr>
          <w:rFonts w:ascii="Arial" w:hAnsi="Arial" w:cs="Arial"/>
          <w:bCs/>
          <w:sz w:val="24"/>
          <w:szCs w:val="24"/>
          <w:lang w:eastAsia="en-AU"/>
        </w:rPr>
        <w:t xml:space="preserve"> he or she</w:t>
      </w:r>
      <w:r w:rsidR="004A4EF8" w:rsidRPr="00AC2F94">
        <w:rPr>
          <w:rFonts w:ascii="Arial" w:hAnsi="Arial" w:cs="Arial"/>
          <w:bCs/>
          <w:sz w:val="24"/>
          <w:szCs w:val="24"/>
          <w:lang w:eastAsia="en-AU"/>
        </w:rPr>
        <w:t xml:space="preserve"> then</w:t>
      </w:r>
      <w:r w:rsidRPr="00AC2F94">
        <w:rPr>
          <w:rFonts w:ascii="Arial" w:hAnsi="Arial" w:cs="Arial"/>
          <w:bCs/>
          <w:sz w:val="24"/>
          <w:szCs w:val="24"/>
          <w:lang w:eastAsia="en-AU"/>
        </w:rPr>
        <w:t xml:space="preserve"> leaves with multiple qualifications and experience which then make him or her very employable. </w:t>
      </w:r>
      <w:r w:rsidRPr="00AC2F94">
        <w:rPr>
          <w:rFonts w:ascii="Arial" w:hAnsi="Arial" w:cs="Arial"/>
          <w:bCs/>
          <w:sz w:val="24"/>
          <w:szCs w:val="24"/>
          <w:vertAlign w:val="superscript"/>
          <w:lang w:eastAsia="en-AU"/>
        </w:rPr>
        <w:endnoteReference w:id="2"/>
      </w:r>
    </w:p>
    <w:p w14:paraId="1758D72D" w14:textId="77777777" w:rsidR="00D85ABB" w:rsidRPr="00AC2F94" w:rsidRDefault="00D85ABB" w:rsidP="00386B89">
      <w:pPr>
        <w:spacing w:after="120" w:line="276" w:lineRule="auto"/>
        <w:rPr>
          <w:rFonts w:ascii="Arial" w:hAnsi="Arial" w:cs="Arial"/>
          <w:bCs/>
          <w:sz w:val="24"/>
          <w:szCs w:val="24"/>
          <w:lang w:eastAsia="en-AU"/>
        </w:rPr>
      </w:pPr>
      <w:r w:rsidRPr="00AC2F94">
        <w:rPr>
          <w:rFonts w:ascii="Arial" w:hAnsi="Arial" w:cs="Arial"/>
          <w:bCs/>
          <w:sz w:val="24"/>
          <w:szCs w:val="24"/>
          <w:lang w:eastAsia="en-AU"/>
        </w:rPr>
        <w:lastRenderedPageBreak/>
        <w:t>An issue arises when an ASbAT student is also a DES client. The DES Guidelines require that any student undertaking an ASbAT must work for a full 8 paid hours of work per week.  As this amount is not inclusive of a lunch break, if a student does take a break (as they are legally entitled) during their work day</w:t>
      </w:r>
      <w:r w:rsidR="004A4EF8" w:rsidRPr="00AC2F94">
        <w:rPr>
          <w:rFonts w:ascii="Arial" w:hAnsi="Arial" w:cs="Arial"/>
          <w:bCs/>
          <w:sz w:val="24"/>
          <w:szCs w:val="24"/>
          <w:lang w:eastAsia="en-AU"/>
        </w:rPr>
        <w:t>,</w:t>
      </w:r>
      <w:r w:rsidRPr="00AC2F94">
        <w:rPr>
          <w:rFonts w:ascii="Arial" w:hAnsi="Arial" w:cs="Arial"/>
          <w:bCs/>
          <w:sz w:val="24"/>
          <w:szCs w:val="24"/>
          <w:lang w:eastAsia="en-AU"/>
        </w:rPr>
        <w:t xml:space="preserve"> they will then not meet the 8 paid hours of employment they must as a DES client.</w:t>
      </w:r>
    </w:p>
    <w:p w14:paraId="4643954A" w14:textId="77777777" w:rsidR="00D85ABB" w:rsidRPr="00AC2F94" w:rsidRDefault="00D85ABB" w:rsidP="00386B89">
      <w:pPr>
        <w:spacing w:after="120" w:line="276" w:lineRule="auto"/>
        <w:rPr>
          <w:rFonts w:ascii="Arial" w:hAnsi="Arial" w:cs="Arial"/>
          <w:sz w:val="24"/>
          <w:szCs w:val="24"/>
          <w:lang w:eastAsia="en-AU"/>
        </w:rPr>
      </w:pPr>
      <w:r w:rsidRPr="00AC2F94">
        <w:rPr>
          <w:rFonts w:ascii="Arial" w:hAnsi="Arial" w:cs="Arial"/>
          <w:bCs/>
          <w:sz w:val="24"/>
          <w:szCs w:val="24"/>
          <w:lang w:eastAsia="en-AU"/>
        </w:rPr>
        <w:t xml:space="preserve">The </w:t>
      </w:r>
      <w:r w:rsidRPr="00AC2F94">
        <w:rPr>
          <w:rFonts w:ascii="Arial" w:hAnsi="Arial" w:cs="Arial"/>
          <w:sz w:val="24"/>
          <w:szCs w:val="24"/>
          <w:lang w:eastAsia="en-AU"/>
        </w:rPr>
        <w:t>National Employment Standards (NES) provide that the maximum weekly hours that a full-time employee can be required to work is 38 hours and that individual</w:t>
      </w:r>
      <w:r w:rsidR="004A4EF8" w:rsidRPr="00AC2F94">
        <w:rPr>
          <w:rFonts w:ascii="Arial" w:hAnsi="Arial" w:cs="Arial"/>
          <w:sz w:val="24"/>
          <w:szCs w:val="24"/>
          <w:lang w:eastAsia="en-AU"/>
        </w:rPr>
        <w:t>s must</w:t>
      </w:r>
      <w:r w:rsidR="00A07D52" w:rsidRPr="00AC2F94">
        <w:rPr>
          <w:rFonts w:ascii="Arial" w:hAnsi="Arial" w:cs="Arial"/>
          <w:sz w:val="24"/>
          <w:szCs w:val="24"/>
          <w:lang w:eastAsia="en-AU"/>
        </w:rPr>
        <w:t xml:space="preserve"> not work in excess of 5</w:t>
      </w:r>
      <w:r w:rsidRPr="00AC2F94">
        <w:rPr>
          <w:rFonts w:ascii="Arial" w:hAnsi="Arial" w:cs="Arial"/>
          <w:sz w:val="24"/>
          <w:szCs w:val="24"/>
          <w:lang w:eastAsia="en-AU"/>
        </w:rPr>
        <w:t xml:space="preserve"> hours without a meal break. A meal break in most workplaces is not paid</w:t>
      </w:r>
      <w:r w:rsidR="00A07D52" w:rsidRPr="00AC2F94">
        <w:rPr>
          <w:rFonts w:ascii="Arial" w:hAnsi="Arial" w:cs="Arial"/>
          <w:sz w:val="24"/>
          <w:szCs w:val="24"/>
          <w:lang w:eastAsia="en-AU"/>
        </w:rPr>
        <w:t xml:space="preserve"> and</w:t>
      </w:r>
      <w:r w:rsidRPr="00AC2F94">
        <w:rPr>
          <w:rFonts w:ascii="Arial" w:hAnsi="Arial" w:cs="Arial"/>
          <w:sz w:val="24"/>
          <w:szCs w:val="24"/>
          <w:lang w:eastAsia="en-AU"/>
        </w:rPr>
        <w:t xml:space="preserve"> because of this, the standard working day is</w:t>
      </w:r>
      <w:r w:rsidR="004A4EF8" w:rsidRPr="00AC2F94">
        <w:rPr>
          <w:rFonts w:ascii="Arial" w:hAnsi="Arial" w:cs="Arial"/>
          <w:sz w:val="24"/>
          <w:szCs w:val="24"/>
          <w:lang w:eastAsia="en-AU"/>
        </w:rPr>
        <w:t>,</w:t>
      </w:r>
      <w:r w:rsidRPr="00AC2F94">
        <w:rPr>
          <w:rFonts w:ascii="Arial" w:hAnsi="Arial" w:cs="Arial"/>
          <w:sz w:val="24"/>
          <w:szCs w:val="24"/>
          <w:lang w:eastAsia="en-AU"/>
        </w:rPr>
        <w:t xml:space="preserve"> therefore</w:t>
      </w:r>
      <w:r w:rsidR="004A4EF8" w:rsidRPr="00AC2F94">
        <w:rPr>
          <w:rFonts w:ascii="Arial" w:hAnsi="Arial" w:cs="Arial"/>
          <w:sz w:val="24"/>
          <w:szCs w:val="24"/>
          <w:lang w:eastAsia="en-AU"/>
        </w:rPr>
        <w:t>,</w:t>
      </w:r>
      <w:r w:rsidRPr="00AC2F94">
        <w:rPr>
          <w:rFonts w:ascii="Arial" w:hAnsi="Arial" w:cs="Arial"/>
          <w:sz w:val="24"/>
          <w:szCs w:val="24"/>
          <w:lang w:eastAsia="en-AU"/>
        </w:rPr>
        <w:t xml:space="preserve"> 7 hours and 36 minutes. </w:t>
      </w:r>
      <w:r w:rsidRPr="00AC2F94">
        <w:rPr>
          <w:rFonts w:ascii="Arial" w:hAnsi="Arial" w:cs="Arial"/>
          <w:sz w:val="24"/>
          <w:szCs w:val="24"/>
          <w:vertAlign w:val="superscript"/>
          <w:lang w:eastAsia="en-AU"/>
        </w:rPr>
        <w:endnoteReference w:id="3"/>
      </w:r>
    </w:p>
    <w:p w14:paraId="29C31DB6" w14:textId="77777777" w:rsidR="00D85ABB" w:rsidRPr="00AC2F94" w:rsidRDefault="00D85ABB" w:rsidP="00386B89">
      <w:pPr>
        <w:spacing w:after="120" w:line="276" w:lineRule="auto"/>
        <w:rPr>
          <w:rFonts w:ascii="Arial" w:hAnsi="Arial" w:cs="Arial"/>
          <w:sz w:val="24"/>
          <w:szCs w:val="24"/>
          <w:lang w:eastAsia="en-AU"/>
        </w:rPr>
      </w:pPr>
      <w:r w:rsidRPr="00AC2F94">
        <w:rPr>
          <w:rFonts w:ascii="Arial" w:hAnsi="Arial" w:cs="Arial"/>
          <w:sz w:val="24"/>
          <w:szCs w:val="24"/>
          <w:lang w:eastAsia="en-AU"/>
        </w:rPr>
        <w:t xml:space="preserve">If an ASbAT student is employed for 8 hours per week by their employer, and takes an unpaid lunch break during that time, they will not receive DES support.  To </w:t>
      </w:r>
      <w:r w:rsidRPr="00AC2F94">
        <w:rPr>
          <w:rFonts w:ascii="Arial" w:hAnsi="Arial" w:cs="Arial"/>
          <w:sz w:val="24"/>
          <w:szCs w:val="24"/>
          <w:lang w:eastAsia="en-AU"/>
        </w:rPr>
        <w:lastRenderedPageBreak/>
        <w:t>extend the student’s work day, just to ensure that a full 8 paid hours are worked, may not be feasible with their employer.  Similarly, to spread the student’s paid work over two days to ensure that a full 8 paid hours are worked may not be feasible with the employer or would lead to the student missing important hours in their secondary schooling or VET training.</w:t>
      </w:r>
    </w:p>
    <w:p w14:paraId="3D57A330" w14:textId="77777777" w:rsidR="00D85ABB" w:rsidRPr="00AC2F94" w:rsidRDefault="00A07D52" w:rsidP="00386B89">
      <w:pPr>
        <w:spacing w:after="120" w:line="276" w:lineRule="auto"/>
        <w:rPr>
          <w:rFonts w:ascii="Arial" w:hAnsi="Arial" w:cs="Arial"/>
          <w:sz w:val="24"/>
          <w:szCs w:val="24"/>
          <w:lang w:eastAsia="en-AU"/>
        </w:rPr>
      </w:pPr>
      <w:r w:rsidRPr="00AC2F94">
        <w:rPr>
          <w:rFonts w:ascii="Arial" w:hAnsi="Arial" w:cs="Arial"/>
          <w:sz w:val="24"/>
          <w:szCs w:val="24"/>
          <w:lang w:eastAsia="en-AU"/>
        </w:rPr>
        <w:t>T</w:t>
      </w:r>
      <w:r w:rsidR="004A4EF8" w:rsidRPr="00AC2F94">
        <w:rPr>
          <w:rFonts w:ascii="Arial" w:hAnsi="Arial" w:cs="Arial"/>
          <w:sz w:val="24"/>
          <w:szCs w:val="24"/>
          <w:lang w:eastAsia="en-AU"/>
        </w:rPr>
        <w:t>he</w:t>
      </w:r>
      <w:r w:rsidR="00D85ABB" w:rsidRPr="00AC2F94">
        <w:rPr>
          <w:rFonts w:ascii="Arial" w:hAnsi="Arial" w:cs="Arial"/>
          <w:sz w:val="24"/>
          <w:szCs w:val="24"/>
          <w:lang w:eastAsia="en-AU"/>
        </w:rPr>
        <w:t xml:space="preserve"> ‘8 paid employment hours’ requirement is imposed on students with disability wanting DES support and undertaking an </w:t>
      </w:r>
      <w:r w:rsidR="00880FCE" w:rsidRPr="00AC2F94">
        <w:rPr>
          <w:rFonts w:ascii="Arial" w:hAnsi="Arial" w:cs="Arial"/>
          <w:sz w:val="24"/>
          <w:szCs w:val="24"/>
          <w:lang w:eastAsia="en-AU"/>
        </w:rPr>
        <w:t>ASbAT</w:t>
      </w:r>
      <w:r w:rsidR="00D85ABB" w:rsidRPr="00AC2F94">
        <w:rPr>
          <w:rFonts w:ascii="Arial" w:hAnsi="Arial" w:cs="Arial"/>
          <w:sz w:val="24"/>
          <w:szCs w:val="24"/>
          <w:lang w:eastAsia="en-AU"/>
        </w:rPr>
        <w:t xml:space="preserve"> when this requirement is not imposed on ASbAT students without disability</w:t>
      </w:r>
      <w:r w:rsidRPr="00AC2F94">
        <w:rPr>
          <w:rFonts w:ascii="Arial" w:hAnsi="Arial" w:cs="Arial"/>
          <w:sz w:val="24"/>
          <w:szCs w:val="24"/>
          <w:lang w:eastAsia="en-AU"/>
        </w:rPr>
        <w:t>.</w:t>
      </w:r>
      <w:r w:rsidR="00D85ABB" w:rsidRPr="00AC2F94">
        <w:rPr>
          <w:rFonts w:ascii="Arial" w:hAnsi="Arial" w:cs="Arial"/>
          <w:sz w:val="24"/>
          <w:szCs w:val="24"/>
          <w:lang w:eastAsia="en-AU"/>
        </w:rPr>
        <w:t xml:space="preserve">  The one day of work enables mainstream schools to meet their ASbAT work, training and senior school qualification requirements per week; and the minimum employment requirements makes the arrangement more acceptable to a range of employers. Mainstream schools are reluctant to get involved in Ticket to </w:t>
      </w:r>
      <w:r w:rsidR="004A4EF8" w:rsidRPr="00AC2F94">
        <w:rPr>
          <w:rFonts w:ascii="Arial" w:hAnsi="Arial" w:cs="Arial"/>
          <w:sz w:val="24"/>
          <w:szCs w:val="24"/>
          <w:lang w:eastAsia="en-AU"/>
        </w:rPr>
        <w:t>W</w:t>
      </w:r>
      <w:r w:rsidR="00D85ABB" w:rsidRPr="00AC2F94">
        <w:rPr>
          <w:rFonts w:ascii="Arial" w:hAnsi="Arial" w:cs="Arial"/>
          <w:sz w:val="24"/>
          <w:szCs w:val="24"/>
          <w:lang w:eastAsia="en-AU"/>
        </w:rPr>
        <w:t xml:space="preserve">ork ASbAT as they do </w:t>
      </w:r>
      <w:r w:rsidR="00D85ABB" w:rsidRPr="00AC2F94">
        <w:rPr>
          <w:rFonts w:ascii="Arial" w:hAnsi="Arial" w:cs="Arial"/>
          <w:sz w:val="24"/>
          <w:szCs w:val="24"/>
          <w:lang w:eastAsia="en-AU"/>
        </w:rPr>
        <w:lastRenderedPageBreak/>
        <w:t xml:space="preserve">not fit with the current school curriculum and the school has limited flexibility to change timetables.  </w:t>
      </w:r>
    </w:p>
    <w:p w14:paraId="661C3AA2" w14:textId="77777777" w:rsidR="00D85ABB" w:rsidRPr="00AC2F94" w:rsidRDefault="00D85ABB" w:rsidP="00386B89">
      <w:pPr>
        <w:autoSpaceDE w:val="0"/>
        <w:autoSpaceDN w:val="0"/>
        <w:spacing w:after="120" w:line="276" w:lineRule="auto"/>
        <w:rPr>
          <w:rFonts w:ascii="Arial" w:hAnsi="Arial" w:cs="Arial"/>
          <w:iCs/>
          <w:color w:val="000000"/>
          <w:sz w:val="24"/>
          <w:szCs w:val="24"/>
          <w:lang w:eastAsia="en-AU"/>
        </w:rPr>
      </w:pPr>
      <w:r w:rsidRPr="00AC2F94">
        <w:rPr>
          <w:rFonts w:ascii="Arial" w:hAnsi="Arial" w:cs="Arial"/>
          <w:b/>
          <w:bCs/>
          <w:iCs/>
          <w:color w:val="000000"/>
          <w:sz w:val="24"/>
          <w:szCs w:val="24"/>
          <w:lang w:eastAsia="en-AU"/>
        </w:rPr>
        <w:t>Recommendation:</w:t>
      </w:r>
      <w:r w:rsidRPr="00AC2F94">
        <w:rPr>
          <w:rFonts w:ascii="Arial" w:hAnsi="Arial" w:cs="Arial"/>
          <w:iCs/>
          <w:color w:val="000000"/>
          <w:sz w:val="24"/>
          <w:szCs w:val="24"/>
          <w:lang w:eastAsia="en-AU"/>
        </w:rPr>
        <w:t xml:space="preserve"> </w:t>
      </w:r>
    </w:p>
    <w:p w14:paraId="64023CA7" w14:textId="77777777" w:rsidR="00880FCE" w:rsidRPr="00AC2F94" w:rsidRDefault="00880FCE" w:rsidP="001A29FC">
      <w:pPr>
        <w:pStyle w:val="Default"/>
        <w:spacing w:after="120" w:line="276" w:lineRule="auto"/>
        <w:rPr>
          <w:rFonts w:ascii="Arial" w:hAnsi="Arial" w:cs="Arial"/>
          <w:lang w:eastAsia="en-AU"/>
        </w:rPr>
      </w:pPr>
      <w:r w:rsidRPr="00AC2F94">
        <w:rPr>
          <w:rFonts w:ascii="Arial" w:hAnsi="Arial" w:cs="Arial"/>
          <w:lang w:eastAsia="en-AU"/>
        </w:rPr>
        <w:t xml:space="preserve">Time in a ASbAT hours (being both VET and Employment) is considered when looking at minimum hours for the DES guidelines </w:t>
      </w:r>
      <w:r w:rsidRPr="00AC2F94">
        <w:rPr>
          <w:rFonts w:ascii="Arial" w:hAnsi="Arial" w:cs="Arial"/>
          <w:b/>
          <w:lang w:eastAsia="en-AU"/>
        </w:rPr>
        <w:t>OR</w:t>
      </w:r>
      <w:r w:rsidRPr="00AC2F94">
        <w:rPr>
          <w:rFonts w:ascii="Arial" w:hAnsi="Arial" w:cs="Arial"/>
          <w:lang w:eastAsia="en-AU"/>
        </w:rPr>
        <w:t xml:space="preserve"> that ASbAT refer back to the requirement of the state bodies in determining ASbAT minimum paid work hours. </w:t>
      </w:r>
    </w:p>
    <w:p w14:paraId="44DDD0C6" w14:textId="77777777" w:rsidR="0044749A" w:rsidRPr="00AC2F94" w:rsidRDefault="0044749A" w:rsidP="00386B89">
      <w:pPr>
        <w:spacing w:after="120" w:line="276" w:lineRule="auto"/>
        <w:rPr>
          <w:rFonts w:ascii="Arial" w:hAnsi="Arial" w:cs="Arial"/>
          <w:b/>
          <w:sz w:val="24"/>
          <w:szCs w:val="24"/>
        </w:rPr>
      </w:pPr>
    </w:p>
    <w:p w14:paraId="0C9F0A4F" w14:textId="77777777" w:rsidR="006E461E" w:rsidRPr="00AC2F94" w:rsidRDefault="006E461E" w:rsidP="008445FB">
      <w:pPr>
        <w:keepNext/>
        <w:keepLines/>
        <w:spacing w:after="120" w:line="276" w:lineRule="auto"/>
        <w:outlineLvl w:val="1"/>
        <w:rPr>
          <w:rFonts w:ascii="Arial" w:eastAsiaTheme="majorEastAsia" w:hAnsi="Arial" w:cs="Arial"/>
          <w:b/>
          <w:bCs/>
          <w:sz w:val="24"/>
          <w:szCs w:val="24"/>
          <w:lang w:eastAsia="en-AU"/>
        </w:rPr>
      </w:pPr>
      <w:bookmarkStart w:id="10" w:name="_Toc379188698"/>
      <w:bookmarkStart w:id="11" w:name="_Toc419281995"/>
      <w:r w:rsidRPr="00AC2F94">
        <w:rPr>
          <w:rFonts w:ascii="Arial" w:eastAsiaTheme="majorEastAsia" w:hAnsi="Arial" w:cs="Arial"/>
          <w:b/>
          <w:bCs/>
          <w:sz w:val="24"/>
          <w:szCs w:val="24"/>
          <w:lang w:eastAsia="en-AU"/>
        </w:rPr>
        <w:t>Permissible Breaks – School Camps and Excursions</w:t>
      </w:r>
      <w:bookmarkEnd w:id="10"/>
      <w:bookmarkEnd w:id="11"/>
    </w:p>
    <w:p w14:paraId="4C5B2C06"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Ticket to Work participants have a number of roles in their young lives and they have responsibilit</w:t>
      </w:r>
      <w:r w:rsidR="004A4EF8" w:rsidRPr="00AC2F94">
        <w:rPr>
          <w:rFonts w:ascii="Arial" w:hAnsi="Arial" w:cs="Arial"/>
          <w:color w:val="000000"/>
          <w:sz w:val="24"/>
          <w:szCs w:val="24"/>
          <w:lang w:eastAsia="en-AU"/>
        </w:rPr>
        <w:t>ies</w:t>
      </w:r>
      <w:r w:rsidRPr="00AC2F94">
        <w:rPr>
          <w:rFonts w:ascii="Arial" w:hAnsi="Arial" w:cs="Arial"/>
          <w:color w:val="000000"/>
          <w:sz w:val="24"/>
          <w:szCs w:val="24"/>
          <w:lang w:eastAsia="en-AU"/>
        </w:rPr>
        <w:t xml:space="preserve"> across each of these areas. They are a secondary aged student, a family member and a worker, apprentice or trainee. </w:t>
      </w:r>
    </w:p>
    <w:p w14:paraId="60B4CC47"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lastRenderedPageBreak/>
        <w:t>Our partners, and ourselves, are keen to ensure that students who participate in Ticket to Work complete their secondary education as well as their Australian School Based Traineeship or Apprenticeship (ASbAT). That is, we do not want students to forgo their school experience in order to participate in a Ticket to Work ASbAT.  This is particularly important given that the evidence shows young people with disability are far more likely to have a lifetime trajectory of employment if they can combine work with school completion during those critical transition years.  We are very careful to ensure that no student who undertakes a Ticket to Work ASbAT is disadvantaged by taking part in the program; by missing out on school experiences and curriculum-focussed activities that could jeopardise their school completion or school experience.</w:t>
      </w:r>
    </w:p>
    <w:p w14:paraId="130DA16D"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 xml:space="preserve">Advice from our DES partners is that if Ticket to Work participants attend a </w:t>
      </w:r>
      <w:r w:rsidR="002E601A" w:rsidRPr="00AC2F94">
        <w:rPr>
          <w:rFonts w:ascii="Arial" w:hAnsi="Arial" w:cs="Arial"/>
          <w:color w:val="000000"/>
          <w:sz w:val="24"/>
          <w:szCs w:val="24"/>
          <w:lang w:eastAsia="en-AU"/>
        </w:rPr>
        <w:t>s</w:t>
      </w:r>
      <w:r w:rsidRPr="00AC2F94">
        <w:rPr>
          <w:rFonts w:ascii="Arial" w:hAnsi="Arial" w:cs="Arial"/>
          <w:color w:val="000000"/>
          <w:sz w:val="24"/>
          <w:szCs w:val="24"/>
          <w:lang w:eastAsia="en-AU"/>
        </w:rPr>
        <w:t xml:space="preserve">chool </w:t>
      </w:r>
      <w:r w:rsidR="002E601A" w:rsidRPr="00AC2F94">
        <w:rPr>
          <w:rFonts w:ascii="Arial" w:hAnsi="Arial" w:cs="Arial"/>
          <w:color w:val="000000"/>
          <w:sz w:val="24"/>
          <w:szCs w:val="24"/>
          <w:lang w:eastAsia="en-AU"/>
        </w:rPr>
        <w:t>c</w:t>
      </w:r>
      <w:r w:rsidRPr="00AC2F94">
        <w:rPr>
          <w:rFonts w:ascii="Arial" w:hAnsi="Arial" w:cs="Arial"/>
          <w:color w:val="000000"/>
          <w:sz w:val="24"/>
          <w:szCs w:val="24"/>
          <w:lang w:eastAsia="en-AU"/>
        </w:rPr>
        <w:t xml:space="preserve">amp or a </w:t>
      </w:r>
      <w:r w:rsidR="002E601A" w:rsidRPr="00AC2F94">
        <w:rPr>
          <w:rFonts w:ascii="Arial" w:hAnsi="Arial" w:cs="Arial"/>
          <w:color w:val="000000"/>
          <w:sz w:val="24"/>
          <w:szCs w:val="24"/>
          <w:lang w:eastAsia="en-AU"/>
        </w:rPr>
        <w:t>s</w:t>
      </w:r>
      <w:r w:rsidRPr="00AC2F94">
        <w:rPr>
          <w:rFonts w:ascii="Arial" w:hAnsi="Arial" w:cs="Arial"/>
          <w:color w:val="000000"/>
          <w:sz w:val="24"/>
          <w:szCs w:val="24"/>
          <w:lang w:eastAsia="en-AU"/>
        </w:rPr>
        <w:t xml:space="preserve">chool </w:t>
      </w:r>
      <w:r w:rsidR="002E601A" w:rsidRPr="00AC2F94">
        <w:rPr>
          <w:rFonts w:ascii="Arial" w:hAnsi="Arial" w:cs="Arial"/>
          <w:color w:val="000000"/>
          <w:sz w:val="24"/>
          <w:szCs w:val="24"/>
          <w:lang w:eastAsia="en-AU"/>
        </w:rPr>
        <w:t>e</w:t>
      </w:r>
      <w:r w:rsidRPr="00AC2F94">
        <w:rPr>
          <w:rFonts w:ascii="Arial" w:hAnsi="Arial" w:cs="Arial"/>
          <w:color w:val="000000"/>
          <w:sz w:val="24"/>
          <w:szCs w:val="24"/>
          <w:lang w:eastAsia="en-AU"/>
        </w:rPr>
        <w:t xml:space="preserve">xcursion </w:t>
      </w:r>
      <w:r w:rsidRPr="00AC2F94">
        <w:rPr>
          <w:rFonts w:ascii="Arial" w:hAnsi="Arial" w:cs="Arial"/>
          <w:color w:val="000000"/>
          <w:sz w:val="24"/>
          <w:szCs w:val="24"/>
          <w:lang w:eastAsia="en-AU"/>
        </w:rPr>
        <w:lastRenderedPageBreak/>
        <w:t>(even where their absence has prior-approva</w:t>
      </w:r>
      <w:r w:rsidR="00D85ABB" w:rsidRPr="00AC2F94">
        <w:rPr>
          <w:rFonts w:ascii="Arial" w:hAnsi="Arial" w:cs="Arial"/>
          <w:color w:val="000000"/>
          <w:sz w:val="24"/>
          <w:szCs w:val="24"/>
          <w:lang w:eastAsia="en-AU"/>
        </w:rPr>
        <w:t>l from the employer and family)</w:t>
      </w:r>
      <w:r w:rsidR="002E601A" w:rsidRPr="00AC2F94">
        <w:rPr>
          <w:rFonts w:ascii="Arial" w:hAnsi="Arial" w:cs="Arial"/>
          <w:color w:val="000000"/>
          <w:sz w:val="24"/>
          <w:szCs w:val="24"/>
          <w:lang w:eastAsia="en-AU"/>
        </w:rPr>
        <w:t>,</w:t>
      </w:r>
      <w:r w:rsidR="003007BB" w:rsidRPr="00AC2F94">
        <w:rPr>
          <w:rFonts w:ascii="Arial" w:hAnsi="Arial" w:cs="Arial"/>
          <w:color w:val="000000"/>
          <w:sz w:val="24"/>
          <w:szCs w:val="24"/>
          <w:lang w:eastAsia="en-AU"/>
        </w:rPr>
        <w:t xml:space="preserve"> it</w:t>
      </w:r>
      <w:r w:rsidRPr="00AC2F94">
        <w:rPr>
          <w:rFonts w:ascii="Arial" w:hAnsi="Arial" w:cs="Arial"/>
          <w:color w:val="000000"/>
          <w:sz w:val="24"/>
          <w:szCs w:val="24"/>
          <w:lang w:eastAsia="en-AU"/>
        </w:rPr>
        <w:t xml:space="preserve"> is not classed as a permissible break. Therefore</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if a student were to attend school camp</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the DES would have to start the student back at Employment</w:t>
      </w:r>
      <w:r w:rsidRPr="00AC2F94">
        <w:rPr>
          <w:rFonts w:ascii="Arial" w:hAnsi="Arial" w:cs="Arial"/>
          <w:color w:val="FF0000"/>
          <w:sz w:val="24"/>
          <w:szCs w:val="24"/>
          <w:lang w:eastAsia="en-AU"/>
        </w:rPr>
        <w:t xml:space="preserve"> </w:t>
      </w:r>
      <w:r w:rsidRPr="00AC2F94">
        <w:rPr>
          <w:rFonts w:ascii="Arial" w:hAnsi="Arial" w:cs="Arial"/>
          <w:sz w:val="24"/>
          <w:szCs w:val="24"/>
          <w:lang w:eastAsia="en-AU"/>
        </w:rPr>
        <w:t>Assistance phase.</w:t>
      </w:r>
      <w:r w:rsidRPr="00AC2F94">
        <w:rPr>
          <w:rFonts w:ascii="Arial" w:hAnsi="Arial" w:cs="Arial"/>
          <w:color w:val="000000"/>
          <w:sz w:val="24"/>
          <w:szCs w:val="24"/>
          <w:lang w:eastAsia="en-AU"/>
        </w:rPr>
        <w:t xml:space="preserve"> </w:t>
      </w:r>
    </w:p>
    <w:p w14:paraId="0CF6A014"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As part of an ASbAT</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a student may be required to attend</w:t>
      </w:r>
      <w:r w:rsidR="00101B75" w:rsidRPr="00AC2F94">
        <w:rPr>
          <w:rFonts w:ascii="Arial" w:hAnsi="Arial" w:cs="Arial"/>
          <w:color w:val="000000"/>
          <w:sz w:val="24"/>
          <w:szCs w:val="24"/>
          <w:lang w:eastAsia="en-AU"/>
        </w:rPr>
        <w:t xml:space="preserve"> their registered </w:t>
      </w:r>
      <w:r w:rsidR="003007BB" w:rsidRPr="00AC2F94">
        <w:rPr>
          <w:rFonts w:ascii="Arial" w:hAnsi="Arial" w:cs="Arial"/>
          <w:color w:val="000000"/>
          <w:sz w:val="24"/>
          <w:szCs w:val="24"/>
          <w:lang w:eastAsia="en-AU"/>
        </w:rPr>
        <w:t>t</w:t>
      </w:r>
      <w:r w:rsidR="00101B75" w:rsidRPr="00AC2F94">
        <w:rPr>
          <w:rFonts w:ascii="Arial" w:hAnsi="Arial" w:cs="Arial"/>
          <w:color w:val="000000"/>
          <w:sz w:val="24"/>
          <w:szCs w:val="24"/>
          <w:lang w:eastAsia="en-AU"/>
        </w:rPr>
        <w:t xml:space="preserve">raining organisation’s </w:t>
      </w:r>
      <w:r w:rsidRPr="00AC2F94">
        <w:rPr>
          <w:rFonts w:ascii="Arial" w:hAnsi="Arial" w:cs="Arial"/>
          <w:color w:val="000000"/>
          <w:sz w:val="24"/>
          <w:szCs w:val="24"/>
          <w:lang w:eastAsia="en-AU"/>
        </w:rPr>
        <w:t xml:space="preserve">‘block release’ training, something that usually occurs during the school holidays.  As a result, during the student’s ‘block release’ training they are not in ASbAT paid employment during that week. </w:t>
      </w:r>
    </w:p>
    <w:p w14:paraId="6C67CBB2"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 xml:space="preserve">It was my impression that the spirit of the ESL Guidelines was to ensure that a student continues to complete his or her secondary school experience and the training component of the ASbAT.  However, this ‘permissible breaks’ anomaly disadvantages students with disabilities and forces the student and their family to </w:t>
      </w:r>
      <w:r w:rsidR="003007BB" w:rsidRPr="00AC2F94">
        <w:rPr>
          <w:rFonts w:ascii="Arial" w:hAnsi="Arial" w:cs="Arial"/>
          <w:color w:val="000000"/>
          <w:sz w:val="24"/>
          <w:szCs w:val="24"/>
          <w:lang w:eastAsia="en-AU"/>
        </w:rPr>
        <w:t>choose</w:t>
      </w:r>
      <w:r w:rsidRPr="00AC2F94">
        <w:rPr>
          <w:rFonts w:ascii="Arial" w:hAnsi="Arial" w:cs="Arial"/>
          <w:color w:val="000000"/>
          <w:sz w:val="24"/>
          <w:szCs w:val="24"/>
          <w:lang w:eastAsia="en-AU"/>
        </w:rPr>
        <w:t xml:space="preserve"> between school, the training part of their SBAT </w:t>
      </w:r>
      <w:r w:rsidRPr="00AC2F94">
        <w:rPr>
          <w:rFonts w:ascii="Arial" w:hAnsi="Arial" w:cs="Arial"/>
          <w:color w:val="000000"/>
          <w:sz w:val="24"/>
          <w:szCs w:val="24"/>
          <w:lang w:eastAsia="en-AU"/>
        </w:rPr>
        <w:lastRenderedPageBreak/>
        <w:t>and the employment aspect of their ASbAT, whereas</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the three are meant to complement each other.  Young people without disabilit</w:t>
      </w:r>
      <w:r w:rsidR="003007BB" w:rsidRPr="00AC2F94">
        <w:rPr>
          <w:rFonts w:ascii="Arial" w:hAnsi="Arial" w:cs="Arial"/>
          <w:color w:val="000000"/>
          <w:sz w:val="24"/>
          <w:szCs w:val="24"/>
          <w:lang w:eastAsia="en-AU"/>
        </w:rPr>
        <w:t>y</w:t>
      </w:r>
      <w:r w:rsidRPr="00AC2F94">
        <w:rPr>
          <w:rFonts w:ascii="Arial" w:hAnsi="Arial" w:cs="Arial"/>
          <w:color w:val="000000"/>
          <w:sz w:val="24"/>
          <w:szCs w:val="24"/>
          <w:lang w:eastAsia="en-AU"/>
        </w:rPr>
        <w:t xml:space="preserve"> are able to negotiate absences to attend important school activities/events/ASbAT training with their ASbAT employer and we want to ensure that young people with significant disability can do the same.</w:t>
      </w:r>
    </w:p>
    <w:p w14:paraId="64FE60DA"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 xml:space="preserve">As Ticket to Work ASbAT students are generally in work one day per week, when we talk about this issue we are talking about students being absent from the workplace (with prior approval) for one or two days (over the course of a full year) to attend school events. </w:t>
      </w:r>
    </w:p>
    <w:p w14:paraId="0DD66856" w14:textId="77777777" w:rsidR="0053340F" w:rsidRPr="00AC2F94" w:rsidRDefault="0053340F" w:rsidP="00386B89">
      <w:pPr>
        <w:autoSpaceDE w:val="0"/>
        <w:autoSpaceDN w:val="0"/>
        <w:spacing w:after="120" w:line="276" w:lineRule="auto"/>
        <w:rPr>
          <w:rFonts w:ascii="Arial" w:hAnsi="Arial" w:cs="Arial"/>
          <w:iCs/>
          <w:color w:val="000000"/>
          <w:sz w:val="24"/>
          <w:szCs w:val="24"/>
          <w:lang w:eastAsia="en-AU"/>
        </w:rPr>
      </w:pPr>
      <w:r w:rsidRPr="00AC2F94">
        <w:rPr>
          <w:rFonts w:ascii="Arial" w:hAnsi="Arial" w:cs="Arial"/>
          <w:b/>
          <w:bCs/>
          <w:iCs/>
          <w:color w:val="000000"/>
          <w:sz w:val="24"/>
          <w:szCs w:val="24"/>
          <w:lang w:eastAsia="en-AU"/>
        </w:rPr>
        <w:t>Recommendations:</w:t>
      </w:r>
      <w:r w:rsidRPr="00AC2F94">
        <w:rPr>
          <w:rFonts w:ascii="Arial" w:hAnsi="Arial" w:cs="Arial"/>
          <w:iCs/>
          <w:color w:val="000000"/>
          <w:sz w:val="24"/>
          <w:szCs w:val="24"/>
          <w:lang w:eastAsia="en-AU"/>
        </w:rPr>
        <w:t xml:space="preserve"> </w:t>
      </w:r>
    </w:p>
    <w:p w14:paraId="756D5640" w14:textId="4264895B" w:rsidR="00880FCE" w:rsidRPr="00AC2F94" w:rsidRDefault="00880FCE" w:rsidP="001A29FC">
      <w:pPr>
        <w:autoSpaceDE w:val="0"/>
        <w:autoSpaceDN w:val="0"/>
        <w:spacing w:after="120" w:line="276" w:lineRule="auto"/>
        <w:rPr>
          <w:rFonts w:ascii="Arial" w:hAnsi="Arial" w:cs="Arial"/>
          <w:color w:val="000000"/>
          <w:sz w:val="24"/>
          <w:szCs w:val="24"/>
          <w:lang w:eastAsia="en-AU"/>
        </w:rPr>
      </w:pPr>
      <w:r w:rsidRPr="00AC2F94">
        <w:rPr>
          <w:rFonts w:ascii="Arial" w:hAnsi="Arial" w:cs="Arial"/>
          <w:iCs/>
          <w:color w:val="000000"/>
          <w:sz w:val="24"/>
          <w:szCs w:val="24"/>
          <w:lang w:eastAsia="en-AU"/>
        </w:rPr>
        <w:t xml:space="preserve">Broaden the Permissible Break definition in the DES Guidelines for ASbAT participants to recognise   school students may have a requirement to take leave to complete their schooling requirements, ASbAT training and </w:t>
      </w:r>
      <w:r w:rsidRPr="00AC2F94">
        <w:rPr>
          <w:rFonts w:ascii="Arial" w:hAnsi="Arial" w:cs="Arial"/>
          <w:iCs/>
          <w:color w:val="000000"/>
          <w:sz w:val="24"/>
          <w:szCs w:val="24"/>
          <w:lang w:eastAsia="en-AU"/>
        </w:rPr>
        <w:lastRenderedPageBreak/>
        <w:t xml:space="preserve">participate in significant school events where approved by the employer. </w:t>
      </w:r>
    </w:p>
    <w:p w14:paraId="7E92B920" w14:textId="77777777" w:rsidR="0053340F" w:rsidRPr="00AC2F94" w:rsidRDefault="0053340F" w:rsidP="00386B89">
      <w:pPr>
        <w:spacing w:after="120" w:line="276" w:lineRule="auto"/>
        <w:rPr>
          <w:rFonts w:ascii="Arial" w:hAnsi="Arial" w:cs="Arial"/>
          <w:color w:val="000000"/>
          <w:sz w:val="24"/>
          <w:szCs w:val="24"/>
          <w:lang w:eastAsia="en-AU"/>
        </w:rPr>
      </w:pPr>
    </w:p>
    <w:p w14:paraId="5DD505C5" w14:textId="77777777" w:rsidR="006E461E" w:rsidRPr="00AC2F94" w:rsidRDefault="006E461E" w:rsidP="008445FB">
      <w:pPr>
        <w:keepNext/>
        <w:keepLines/>
        <w:spacing w:after="120" w:line="276" w:lineRule="auto"/>
        <w:outlineLvl w:val="1"/>
        <w:rPr>
          <w:rFonts w:ascii="Arial" w:eastAsiaTheme="majorEastAsia" w:hAnsi="Arial" w:cs="Arial"/>
          <w:b/>
          <w:bCs/>
          <w:sz w:val="24"/>
          <w:szCs w:val="24"/>
          <w:lang w:eastAsia="en-AU"/>
        </w:rPr>
      </w:pPr>
      <w:bookmarkStart w:id="12" w:name="_Toc379188699"/>
      <w:bookmarkStart w:id="13" w:name="_Toc419281996"/>
      <w:r w:rsidRPr="00AC2F94">
        <w:rPr>
          <w:rFonts w:ascii="Arial" w:eastAsiaTheme="majorEastAsia" w:hAnsi="Arial" w:cs="Arial"/>
          <w:b/>
          <w:bCs/>
          <w:sz w:val="24"/>
          <w:szCs w:val="24"/>
          <w:lang w:eastAsia="en-AU"/>
        </w:rPr>
        <w:t>Permissible Breaks – Family Holidays</w:t>
      </w:r>
      <w:bookmarkEnd w:id="12"/>
      <w:bookmarkEnd w:id="13"/>
    </w:p>
    <w:p w14:paraId="504B4E3A"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A similar issue arises with relation to students taking a prior-approved break to attend a family holiday. </w:t>
      </w:r>
    </w:p>
    <w:p w14:paraId="7404E3FB"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 xml:space="preserve">Many of our student participants in Ticket to Work are 18, or will turn 18, during their ASbAT. All our Ticket to Work participants have significant disability and the majority have intellectual disability.  Despite the fact </w:t>
      </w:r>
      <w:r w:rsidR="003007BB" w:rsidRPr="00AC2F94">
        <w:rPr>
          <w:rFonts w:ascii="Arial" w:hAnsi="Arial" w:cs="Arial"/>
          <w:color w:val="000000"/>
          <w:sz w:val="24"/>
          <w:szCs w:val="24"/>
          <w:lang w:eastAsia="en-AU"/>
        </w:rPr>
        <w:t xml:space="preserve">that </w:t>
      </w:r>
      <w:r w:rsidRPr="00AC2F94">
        <w:rPr>
          <w:rFonts w:ascii="Arial" w:hAnsi="Arial" w:cs="Arial"/>
          <w:color w:val="000000"/>
          <w:sz w:val="24"/>
          <w:szCs w:val="24"/>
          <w:lang w:eastAsia="en-AU"/>
        </w:rPr>
        <w:t>these students might be 18</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it is unreasonable and a potential safety issue</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for these students to have to care for themselves if their parent or guardian was to travel away from the family home just so that they could meet Guidelines pertaining to Permissible Breaks ASbAT. </w:t>
      </w:r>
    </w:p>
    <w:p w14:paraId="7AAAF703"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lastRenderedPageBreak/>
        <w:t xml:space="preserve">Parents involved in Ticket to Work have been horrified </w:t>
      </w:r>
      <w:r w:rsidR="003007BB" w:rsidRPr="00AC2F94">
        <w:rPr>
          <w:rFonts w:ascii="Arial" w:hAnsi="Arial" w:cs="Arial"/>
          <w:color w:val="000000"/>
          <w:sz w:val="24"/>
          <w:szCs w:val="24"/>
          <w:lang w:eastAsia="en-AU"/>
        </w:rPr>
        <w:t>at</w:t>
      </w:r>
      <w:r w:rsidRPr="00AC2F94">
        <w:rPr>
          <w:rFonts w:ascii="Arial" w:hAnsi="Arial" w:cs="Arial"/>
          <w:color w:val="000000"/>
          <w:sz w:val="24"/>
          <w:szCs w:val="24"/>
          <w:lang w:eastAsia="en-AU"/>
        </w:rPr>
        <w:t xml:space="preserve"> the thought that they would have to leave their son or daughter (18 years and with an Intellectual disability) behind if they were to go on holiday.  Many of our parents have planned, saved and paid for their family holiday and feel they should not have to choose between their child doing an ASbAT or the family holiday. </w:t>
      </w:r>
    </w:p>
    <w:p w14:paraId="0BD31E69"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As Ticket to Work ASbATs are generally one or two days in work per week, when we talk about this issue we are talking about students being absent from the workplace (with prior approval) for one or two days to attend a family holiday.</w:t>
      </w:r>
    </w:p>
    <w:p w14:paraId="3D426069"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t>While every attempt would be made to ensure students make up any time not in paid employment (due to school camps, block release training or a family holiday)</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this may not always be feasible in light of students</w:t>
      </w:r>
      <w:r w:rsidR="003007BB" w:rsidRPr="00AC2F94">
        <w:rPr>
          <w:rFonts w:ascii="Arial" w:hAnsi="Arial" w:cs="Arial"/>
          <w:color w:val="000000"/>
          <w:sz w:val="24"/>
          <w:szCs w:val="24"/>
          <w:lang w:eastAsia="en-AU"/>
        </w:rPr>
        <w:t>’</w:t>
      </w:r>
      <w:r w:rsidRPr="00AC2F94">
        <w:rPr>
          <w:rFonts w:ascii="Arial" w:hAnsi="Arial" w:cs="Arial"/>
          <w:color w:val="000000"/>
          <w:sz w:val="24"/>
          <w:szCs w:val="24"/>
          <w:lang w:eastAsia="en-AU"/>
        </w:rPr>
        <w:t xml:space="preserve"> structured lives which require them to be attending school, work and training in any given week. </w:t>
      </w:r>
    </w:p>
    <w:p w14:paraId="367973D0" w14:textId="77777777" w:rsidR="006E461E" w:rsidRPr="00AC2F94" w:rsidRDefault="006E461E" w:rsidP="00386B89">
      <w:pPr>
        <w:spacing w:after="120" w:line="276" w:lineRule="auto"/>
        <w:rPr>
          <w:rFonts w:ascii="Arial" w:hAnsi="Arial" w:cs="Arial"/>
          <w:color w:val="000000"/>
          <w:sz w:val="24"/>
          <w:szCs w:val="24"/>
          <w:lang w:eastAsia="en-AU"/>
        </w:rPr>
      </w:pPr>
      <w:r w:rsidRPr="00AC2F94">
        <w:rPr>
          <w:rFonts w:ascii="Arial" w:hAnsi="Arial" w:cs="Arial"/>
          <w:color w:val="000000"/>
          <w:sz w:val="24"/>
          <w:szCs w:val="24"/>
          <w:lang w:eastAsia="en-AU"/>
        </w:rPr>
        <w:lastRenderedPageBreak/>
        <w:t xml:space="preserve">As stated above; </w:t>
      </w:r>
      <w:r w:rsidR="003007BB" w:rsidRPr="00AC2F94">
        <w:rPr>
          <w:rFonts w:ascii="Arial" w:hAnsi="Arial" w:cs="Arial"/>
          <w:color w:val="000000"/>
          <w:sz w:val="24"/>
          <w:szCs w:val="24"/>
          <w:lang w:eastAsia="en-AU"/>
        </w:rPr>
        <w:t>y</w:t>
      </w:r>
      <w:r w:rsidRPr="00AC2F94">
        <w:rPr>
          <w:rFonts w:ascii="Arial" w:hAnsi="Arial" w:cs="Arial"/>
          <w:color w:val="000000"/>
          <w:sz w:val="24"/>
          <w:szCs w:val="24"/>
          <w:lang w:eastAsia="en-AU"/>
        </w:rPr>
        <w:t>oung people without disabilit</w:t>
      </w:r>
      <w:r w:rsidR="003007BB" w:rsidRPr="00AC2F94">
        <w:rPr>
          <w:rFonts w:ascii="Arial" w:hAnsi="Arial" w:cs="Arial"/>
          <w:color w:val="000000"/>
          <w:sz w:val="24"/>
          <w:szCs w:val="24"/>
          <w:lang w:eastAsia="en-AU"/>
        </w:rPr>
        <w:t>y</w:t>
      </w:r>
      <w:r w:rsidRPr="00AC2F94">
        <w:rPr>
          <w:rFonts w:ascii="Arial" w:hAnsi="Arial" w:cs="Arial"/>
          <w:color w:val="000000"/>
          <w:sz w:val="24"/>
          <w:szCs w:val="24"/>
          <w:lang w:eastAsia="en-AU"/>
        </w:rPr>
        <w:t xml:space="preserve"> are able to negotiate absences with their ASbAT employer and we want to ensure that young people with significant disability can do the same and are not penalised by the removal of employment support. The interpretation of the DES </w:t>
      </w:r>
      <w:r w:rsidR="003007BB" w:rsidRPr="00AC2F94">
        <w:rPr>
          <w:rFonts w:ascii="Arial" w:hAnsi="Arial" w:cs="Arial"/>
          <w:color w:val="000000"/>
          <w:sz w:val="24"/>
          <w:szCs w:val="24"/>
          <w:lang w:eastAsia="en-AU"/>
        </w:rPr>
        <w:t>G</w:t>
      </w:r>
      <w:r w:rsidRPr="00AC2F94">
        <w:rPr>
          <w:rFonts w:ascii="Arial" w:hAnsi="Arial" w:cs="Arial"/>
          <w:color w:val="000000"/>
          <w:sz w:val="24"/>
          <w:szCs w:val="24"/>
          <w:lang w:eastAsia="en-AU"/>
        </w:rPr>
        <w:t>uidelines effectively take</w:t>
      </w:r>
      <w:r w:rsidR="003007BB" w:rsidRPr="00AC2F94">
        <w:rPr>
          <w:rFonts w:ascii="Arial" w:hAnsi="Arial" w:cs="Arial"/>
          <w:color w:val="000000"/>
          <w:sz w:val="24"/>
          <w:szCs w:val="24"/>
          <w:lang w:eastAsia="en-AU"/>
        </w:rPr>
        <w:t>s</w:t>
      </w:r>
      <w:r w:rsidRPr="00AC2F94">
        <w:rPr>
          <w:rFonts w:ascii="Arial" w:hAnsi="Arial" w:cs="Arial"/>
          <w:color w:val="000000"/>
          <w:sz w:val="24"/>
          <w:szCs w:val="24"/>
          <w:lang w:eastAsia="en-AU"/>
        </w:rPr>
        <w:t xml:space="preserve"> over the role of parent, employer and school in dictating </w:t>
      </w:r>
      <w:r w:rsidR="003007BB" w:rsidRPr="00AC2F94">
        <w:rPr>
          <w:rFonts w:ascii="Arial" w:hAnsi="Arial" w:cs="Arial"/>
          <w:color w:val="000000"/>
          <w:sz w:val="24"/>
          <w:szCs w:val="24"/>
          <w:lang w:eastAsia="en-AU"/>
        </w:rPr>
        <w:t xml:space="preserve">the </w:t>
      </w:r>
      <w:r w:rsidRPr="00AC2F94">
        <w:rPr>
          <w:rFonts w:ascii="Arial" w:hAnsi="Arial" w:cs="Arial"/>
          <w:color w:val="000000"/>
          <w:sz w:val="24"/>
          <w:szCs w:val="24"/>
          <w:lang w:eastAsia="en-AU"/>
        </w:rPr>
        <w:t xml:space="preserve">conditions that a young person negotiates </w:t>
      </w:r>
      <w:r w:rsidR="003007BB" w:rsidRPr="00AC2F94">
        <w:rPr>
          <w:rFonts w:ascii="Arial" w:hAnsi="Arial" w:cs="Arial"/>
          <w:color w:val="000000"/>
          <w:sz w:val="24"/>
          <w:szCs w:val="24"/>
          <w:lang w:eastAsia="en-AU"/>
        </w:rPr>
        <w:t xml:space="preserve">during </w:t>
      </w:r>
      <w:r w:rsidRPr="00AC2F94">
        <w:rPr>
          <w:rFonts w:ascii="Arial" w:hAnsi="Arial" w:cs="Arial"/>
          <w:color w:val="000000"/>
          <w:sz w:val="24"/>
          <w:szCs w:val="24"/>
          <w:lang w:eastAsia="en-AU"/>
        </w:rPr>
        <w:t xml:space="preserve">their lives. </w:t>
      </w:r>
    </w:p>
    <w:p w14:paraId="6C5CB9F7" w14:textId="77777777" w:rsidR="006E461E" w:rsidRPr="00AC2F94" w:rsidRDefault="006E461E" w:rsidP="00386B89">
      <w:pPr>
        <w:autoSpaceDE w:val="0"/>
        <w:autoSpaceDN w:val="0"/>
        <w:spacing w:after="120" w:line="276" w:lineRule="auto"/>
        <w:rPr>
          <w:rFonts w:ascii="Arial" w:hAnsi="Arial" w:cs="Arial"/>
          <w:iCs/>
          <w:color w:val="000000"/>
          <w:sz w:val="24"/>
          <w:szCs w:val="24"/>
          <w:lang w:eastAsia="en-AU"/>
        </w:rPr>
      </w:pPr>
      <w:r w:rsidRPr="00AC2F94">
        <w:rPr>
          <w:rFonts w:ascii="Arial" w:hAnsi="Arial" w:cs="Arial"/>
          <w:b/>
          <w:bCs/>
          <w:iCs/>
          <w:color w:val="000000"/>
          <w:sz w:val="24"/>
          <w:szCs w:val="24"/>
          <w:lang w:eastAsia="en-AU"/>
        </w:rPr>
        <w:t>Recommendations:</w:t>
      </w:r>
      <w:r w:rsidRPr="00AC2F94">
        <w:rPr>
          <w:rFonts w:ascii="Arial" w:hAnsi="Arial" w:cs="Arial"/>
          <w:iCs/>
          <w:color w:val="000000"/>
          <w:sz w:val="24"/>
          <w:szCs w:val="24"/>
          <w:lang w:eastAsia="en-AU"/>
        </w:rPr>
        <w:t xml:space="preserve"> </w:t>
      </w:r>
    </w:p>
    <w:p w14:paraId="3C573CE8" w14:textId="77777777" w:rsidR="00880FCE" w:rsidRPr="00AC2F94" w:rsidRDefault="00880FCE" w:rsidP="001A29FC">
      <w:pPr>
        <w:autoSpaceDE w:val="0"/>
        <w:autoSpaceDN w:val="0"/>
        <w:spacing w:after="120" w:line="276" w:lineRule="auto"/>
        <w:rPr>
          <w:rFonts w:ascii="Arial" w:hAnsi="Arial" w:cs="Arial"/>
          <w:color w:val="000000"/>
          <w:sz w:val="24"/>
          <w:szCs w:val="24"/>
          <w:lang w:eastAsia="en-AU"/>
        </w:rPr>
      </w:pPr>
      <w:r w:rsidRPr="00AC2F94">
        <w:rPr>
          <w:rFonts w:ascii="Arial" w:hAnsi="Arial" w:cs="Arial"/>
          <w:iCs/>
          <w:color w:val="000000"/>
          <w:sz w:val="24"/>
          <w:szCs w:val="24"/>
          <w:lang w:eastAsia="en-AU"/>
        </w:rPr>
        <w:t xml:space="preserve">Broaden the Permissible Break definition in the ESL Guidelines to acknowledge that when a student undertaking an ASbAT turns 18 they may not have the capacity to care for him or herself if a parent or guardian travels away from the home.  The individual may have to take leave if there is a family holiday; where approved by the employer. </w:t>
      </w:r>
    </w:p>
    <w:p w14:paraId="79C853A3" w14:textId="77777777" w:rsidR="002E601A" w:rsidRPr="00AC2F94" w:rsidRDefault="002E601A" w:rsidP="008445FB">
      <w:pPr>
        <w:pStyle w:val="Heading2"/>
        <w:spacing w:before="0" w:after="120" w:line="276" w:lineRule="auto"/>
        <w:rPr>
          <w:rFonts w:ascii="Arial" w:hAnsi="Arial" w:cs="Arial"/>
          <w:color w:val="auto"/>
          <w:sz w:val="24"/>
          <w:szCs w:val="24"/>
        </w:rPr>
      </w:pPr>
    </w:p>
    <w:p w14:paraId="153D9FBC" w14:textId="77777777" w:rsidR="00FA6182" w:rsidRPr="00AC2F94" w:rsidRDefault="00FA6182" w:rsidP="008445FB">
      <w:pPr>
        <w:pStyle w:val="Heading2"/>
        <w:spacing w:before="0" w:after="120" w:line="276" w:lineRule="auto"/>
        <w:rPr>
          <w:rFonts w:ascii="Arial" w:hAnsi="Arial" w:cs="Arial"/>
          <w:color w:val="auto"/>
          <w:sz w:val="24"/>
          <w:szCs w:val="24"/>
        </w:rPr>
      </w:pPr>
      <w:bookmarkStart w:id="14" w:name="_Toc419281997"/>
      <w:r w:rsidRPr="00AC2F94">
        <w:rPr>
          <w:rFonts w:ascii="Arial" w:hAnsi="Arial" w:cs="Arial"/>
          <w:color w:val="auto"/>
          <w:sz w:val="24"/>
          <w:szCs w:val="24"/>
        </w:rPr>
        <w:t>Definition</w:t>
      </w:r>
      <w:r w:rsidR="001F787D" w:rsidRPr="00AC2F94">
        <w:rPr>
          <w:rFonts w:ascii="Arial" w:hAnsi="Arial" w:cs="Arial"/>
          <w:color w:val="auto"/>
          <w:sz w:val="24"/>
          <w:szCs w:val="24"/>
        </w:rPr>
        <w:t xml:space="preserve"> of an Eligible School Leaver (ESL)</w:t>
      </w:r>
      <w:bookmarkEnd w:id="14"/>
    </w:p>
    <w:p w14:paraId="7825AB29" w14:textId="77777777" w:rsidR="00FA6182" w:rsidRPr="00AC2F94" w:rsidRDefault="00FA6182" w:rsidP="00386B89">
      <w:pPr>
        <w:spacing w:after="120" w:line="276" w:lineRule="auto"/>
        <w:rPr>
          <w:rFonts w:ascii="Arial" w:hAnsi="Arial" w:cs="Arial"/>
          <w:sz w:val="24"/>
          <w:szCs w:val="24"/>
        </w:rPr>
      </w:pPr>
      <w:r w:rsidRPr="00AC2F94">
        <w:rPr>
          <w:rFonts w:ascii="Arial" w:hAnsi="Arial" w:cs="Arial"/>
          <w:sz w:val="24"/>
          <w:szCs w:val="24"/>
        </w:rPr>
        <w:t xml:space="preserve">We </w:t>
      </w:r>
      <w:r w:rsidR="00B46CCC" w:rsidRPr="00AC2F94">
        <w:rPr>
          <w:rFonts w:ascii="Arial" w:hAnsi="Arial" w:cs="Arial"/>
          <w:sz w:val="24"/>
          <w:szCs w:val="24"/>
        </w:rPr>
        <w:t xml:space="preserve">do </w:t>
      </w:r>
      <w:r w:rsidR="008C1716" w:rsidRPr="00AC2F94">
        <w:rPr>
          <w:rFonts w:ascii="Arial" w:hAnsi="Arial" w:cs="Arial"/>
          <w:sz w:val="24"/>
          <w:szCs w:val="24"/>
        </w:rPr>
        <w:t xml:space="preserve">not </w:t>
      </w:r>
      <w:r w:rsidR="00B46CCC" w:rsidRPr="00AC2F94">
        <w:rPr>
          <w:rFonts w:ascii="Arial" w:hAnsi="Arial" w:cs="Arial"/>
          <w:sz w:val="24"/>
          <w:szCs w:val="24"/>
        </w:rPr>
        <w:t xml:space="preserve">believe that registration </w:t>
      </w:r>
      <w:r w:rsidR="008C1716" w:rsidRPr="00AC2F94">
        <w:rPr>
          <w:rFonts w:ascii="Arial" w:hAnsi="Arial" w:cs="Arial"/>
          <w:sz w:val="24"/>
          <w:szCs w:val="24"/>
        </w:rPr>
        <w:t>in</w:t>
      </w:r>
      <w:r w:rsidR="00065CC1" w:rsidRPr="00AC2F94">
        <w:rPr>
          <w:rFonts w:ascii="Arial" w:hAnsi="Arial" w:cs="Arial"/>
          <w:sz w:val="24"/>
          <w:szCs w:val="24"/>
        </w:rPr>
        <w:t xml:space="preserve"> </w:t>
      </w:r>
      <w:r w:rsidR="003007BB" w:rsidRPr="00AC2F94">
        <w:rPr>
          <w:rFonts w:ascii="Arial" w:hAnsi="Arial" w:cs="Arial"/>
          <w:sz w:val="24"/>
          <w:szCs w:val="24"/>
        </w:rPr>
        <w:t>a</w:t>
      </w:r>
      <w:r w:rsidR="00065CC1" w:rsidRPr="00AC2F94">
        <w:rPr>
          <w:rFonts w:ascii="Arial" w:hAnsi="Arial" w:cs="Arial"/>
          <w:sz w:val="24"/>
          <w:szCs w:val="24"/>
        </w:rPr>
        <w:t xml:space="preserve"> student’s final year</w:t>
      </w:r>
      <w:r w:rsidR="00B46CCC" w:rsidRPr="00AC2F94">
        <w:rPr>
          <w:rFonts w:ascii="Arial" w:hAnsi="Arial" w:cs="Arial"/>
          <w:sz w:val="24"/>
          <w:szCs w:val="24"/>
        </w:rPr>
        <w:t xml:space="preserve"> is adequate</w:t>
      </w:r>
      <w:r w:rsidR="00317B0A" w:rsidRPr="00AC2F94">
        <w:rPr>
          <w:rFonts w:ascii="Arial" w:hAnsi="Arial" w:cs="Arial"/>
          <w:sz w:val="24"/>
          <w:szCs w:val="24"/>
        </w:rPr>
        <w:t xml:space="preserve"> or </w:t>
      </w:r>
      <w:r w:rsidR="003007BB" w:rsidRPr="00AC2F94">
        <w:rPr>
          <w:rFonts w:ascii="Arial" w:hAnsi="Arial" w:cs="Arial"/>
          <w:sz w:val="24"/>
          <w:szCs w:val="24"/>
        </w:rPr>
        <w:t>Y</w:t>
      </w:r>
      <w:r w:rsidR="00317B0A" w:rsidRPr="00AC2F94">
        <w:rPr>
          <w:rFonts w:ascii="Arial" w:hAnsi="Arial" w:cs="Arial"/>
          <w:sz w:val="24"/>
          <w:szCs w:val="24"/>
        </w:rPr>
        <w:t>ear 11 if completing school based traineeship</w:t>
      </w:r>
      <w:r w:rsidR="00B46CCC" w:rsidRPr="00AC2F94">
        <w:rPr>
          <w:rFonts w:ascii="Arial" w:hAnsi="Arial" w:cs="Arial"/>
          <w:sz w:val="24"/>
          <w:szCs w:val="24"/>
        </w:rPr>
        <w:t xml:space="preserve">. </w:t>
      </w:r>
    </w:p>
    <w:p w14:paraId="5824491E" w14:textId="77777777" w:rsidR="001C6B6C" w:rsidRPr="00AC2F94" w:rsidRDefault="00617FDA" w:rsidP="00386B89">
      <w:pPr>
        <w:spacing w:after="120" w:line="276" w:lineRule="auto"/>
        <w:rPr>
          <w:rFonts w:ascii="Arial" w:hAnsi="Arial" w:cs="Arial"/>
          <w:sz w:val="24"/>
          <w:szCs w:val="24"/>
        </w:rPr>
      </w:pPr>
      <w:r w:rsidRPr="00AC2F94">
        <w:rPr>
          <w:rFonts w:ascii="Arial" w:hAnsi="Arial" w:cs="Arial"/>
          <w:sz w:val="24"/>
          <w:szCs w:val="24"/>
        </w:rPr>
        <w:t xml:space="preserve">A student with disability </w:t>
      </w:r>
      <w:r w:rsidR="009E2845" w:rsidRPr="00AC2F94">
        <w:rPr>
          <w:rFonts w:ascii="Arial" w:hAnsi="Arial" w:cs="Arial"/>
          <w:sz w:val="24"/>
          <w:szCs w:val="24"/>
        </w:rPr>
        <w:t xml:space="preserve">is </w:t>
      </w:r>
      <w:r w:rsidR="008C1716" w:rsidRPr="00AC2F94">
        <w:rPr>
          <w:rFonts w:ascii="Arial" w:hAnsi="Arial" w:cs="Arial"/>
          <w:sz w:val="24"/>
          <w:szCs w:val="24"/>
        </w:rPr>
        <w:t xml:space="preserve">less </w:t>
      </w:r>
      <w:r w:rsidRPr="00AC2F94">
        <w:rPr>
          <w:rFonts w:ascii="Arial" w:hAnsi="Arial" w:cs="Arial"/>
          <w:sz w:val="24"/>
          <w:szCs w:val="24"/>
        </w:rPr>
        <w:t>likely</w:t>
      </w:r>
      <w:r w:rsidR="009E2845" w:rsidRPr="00AC2F94">
        <w:rPr>
          <w:rFonts w:ascii="Arial" w:hAnsi="Arial" w:cs="Arial"/>
          <w:sz w:val="24"/>
          <w:szCs w:val="24"/>
        </w:rPr>
        <w:t xml:space="preserve"> than their non-disabled peers </w:t>
      </w:r>
      <w:r w:rsidRPr="00AC2F94">
        <w:rPr>
          <w:rFonts w:ascii="Arial" w:hAnsi="Arial" w:cs="Arial"/>
          <w:sz w:val="24"/>
          <w:szCs w:val="24"/>
        </w:rPr>
        <w:t>to complete their secondary education</w:t>
      </w:r>
      <w:r w:rsidR="009E2845" w:rsidRPr="00AC2F94">
        <w:rPr>
          <w:rFonts w:ascii="Arial" w:hAnsi="Arial" w:cs="Arial"/>
          <w:sz w:val="24"/>
          <w:szCs w:val="24"/>
        </w:rPr>
        <w:t>.</w:t>
      </w:r>
      <w:r w:rsidRPr="00AC2F94">
        <w:rPr>
          <w:rFonts w:ascii="Arial" w:hAnsi="Arial" w:cs="Arial"/>
          <w:sz w:val="24"/>
          <w:szCs w:val="24"/>
        </w:rPr>
        <w:t xml:space="preserve"> </w:t>
      </w:r>
      <w:r w:rsidR="009E2845" w:rsidRPr="00AC2F94">
        <w:rPr>
          <w:rFonts w:ascii="Arial" w:hAnsi="Arial" w:cs="Arial"/>
          <w:sz w:val="24"/>
          <w:szCs w:val="24"/>
        </w:rPr>
        <w:t>ABS data (</w:t>
      </w:r>
      <w:r w:rsidR="004F09BC" w:rsidRPr="00AC2F94">
        <w:rPr>
          <w:rFonts w:ascii="Arial" w:hAnsi="Arial" w:cs="Arial"/>
          <w:sz w:val="24"/>
          <w:szCs w:val="24"/>
        </w:rPr>
        <w:t>2012</w:t>
      </w:r>
      <w:r w:rsidR="009E2845" w:rsidRPr="00AC2F94">
        <w:rPr>
          <w:rFonts w:ascii="Arial" w:hAnsi="Arial" w:cs="Arial"/>
          <w:sz w:val="24"/>
          <w:szCs w:val="24"/>
        </w:rPr>
        <w:t>) revealed that a staggeringly low</w:t>
      </w:r>
      <w:r w:rsidR="004F09BC" w:rsidRPr="00AC2F94">
        <w:rPr>
          <w:rFonts w:ascii="Arial" w:hAnsi="Arial" w:cs="Arial"/>
          <w:sz w:val="24"/>
          <w:szCs w:val="24"/>
        </w:rPr>
        <w:t xml:space="preserve"> 36% of </w:t>
      </w:r>
      <w:r w:rsidR="009E2845" w:rsidRPr="00AC2F94">
        <w:rPr>
          <w:rFonts w:ascii="Arial" w:hAnsi="Arial" w:cs="Arial"/>
          <w:sz w:val="24"/>
          <w:szCs w:val="24"/>
        </w:rPr>
        <w:t xml:space="preserve">all </w:t>
      </w:r>
      <w:r w:rsidR="003632E0" w:rsidRPr="00AC2F94">
        <w:rPr>
          <w:rFonts w:ascii="Arial" w:hAnsi="Arial" w:cs="Arial"/>
          <w:sz w:val="24"/>
          <w:szCs w:val="24"/>
        </w:rPr>
        <w:t xml:space="preserve">Australians </w:t>
      </w:r>
      <w:r w:rsidR="004F09BC" w:rsidRPr="00AC2F94">
        <w:rPr>
          <w:rFonts w:ascii="Arial" w:hAnsi="Arial" w:cs="Arial"/>
          <w:sz w:val="24"/>
          <w:szCs w:val="24"/>
        </w:rPr>
        <w:t xml:space="preserve">with disability </w:t>
      </w:r>
      <w:r w:rsidR="003632E0" w:rsidRPr="00AC2F94">
        <w:rPr>
          <w:rFonts w:ascii="Arial" w:hAnsi="Arial" w:cs="Arial"/>
          <w:sz w:val="24"/>
          <w:szCs w:val="24"/>
        </w:rPr>
        <w:t>aged 15 to 64 years</w:t>
      </w:r>
      <w:r w:rsidR="004F09BC" w:rsidRPr="00AC2F94">
        <w:rPr>
          <w:rFonts w:ascii="Arial" w:hAnsi="Arial" w:cs="Arial"/>
          <w:sz w:val="24"/>
          <w:szCs w:val="24"/>
        </w:rPr>
        <w:t xml:space="preserve"> ha</w:t>
      </w:r>
      <w:r w:rsidR="008C1716" w:rsidRPr="00AC2F94">
        <w:rPr>
          <w:rFonts w:ascii="Arial" w:hAnsi="Arial" w:cs="Arial"/>
          <w:sz w:val="24"/>
          <w:szCs w:val="24"/>
        </w:rPr>
        <w:t>d</w:t>
      </w:r>
      <w:r w:rsidR="004F09BC" w:rsidRPr="00AC2F94">
        <w:rPr>
          <w:rFonts w:ascii="Arial" w:hAnsi="Arial" w:cs="Arial"/>
          <w:sz w:val="24"/>
          <w:szCs w:val="24"/>
        </w:rPr>
        <w:t xml:space="preserve"> </w:t>
      </w:r>
      <w:r w:rsidR="003632E0" w:rsidRPr="00AC2F94">
        <w:rPr>
          <w:rFonts w:ascii="Arial" w:hAnsi="Arial" w:cs="Arial"/>
          <w:sz w:val="24"/>
          <w:szCs w:val="24"/>
        </w:rPr>
        <w:t>completed high school (</w:t>
      </w:r>
      <w:r w:rsidR="009E2845" w:rsidRPr="00AC2F94">
        <w:rPr>
          <w:rFonts w:ascii="Arial" w:hAnsi="Arial" w:cs="Arial"/>
          <w:sz w:val="24"/>
          <w:szCs w:val="24"/>
        </w:rPr>
        <w:t>Y</w:t>
      </w:r>
      <w:r w:rsidR="003632E0" w:rsidRPr="00AC2F94">
        <w:rPr>
          <w:rFonts w:ascii="Arial" w:hAnsi="Arial" w:cs="Arial"/>
          <w:sz w:val="24"/>
          <w:szCs w:val="24"/>
        </w:rPr>
        <w:t>ear 12 or equiv</w:t>
      </w:r>
      <w:r w:rsidR="004F09BC" w:rsidRPr="00AC2F94">
        <w:rPr>
          <w:rFonts w:ascii="Arial" w:hAnsi="Arial" w:cs="Arial"/>
          <w:sz w:val="24"/>
          <w:szCs w:val="24"/>
        </w:rPr>
        <w:t xml:space="preserve">alent) </w:t>
      </w:r>
      <w:r w:rsidR="009E2845" w:rsidRPr="00AC2F94">
        <w:rPr>
          <w:rFonts w:ascii="Arial" w:hAnsi="Arial" w:cs="Arial"/>
          <w:sz w:val="24"/>
          <w:szCs w:val="24"/>
        </w:rPr>
        <w:t>which was nearl</w:t>
      </w:r>
      <w:r w:rsidRPr="00AC2F94">
        <w:rPr>
          <w:rFonts w:ascii="Arial" w:hAnsi="Arial" w:cs="Arial"/>
          <w:sz w:val="24"/>
          <w:szCs w:val="24"/>
        </w:rPr>
        <w:t>y</w:t>
      </w:r>
      <w:r w:rsidR="004F09BC" w:rsidRPr="00AC2F94">
        <w:rPr>
          <w:rFonts w:ascii="Arial" w:hAnsi="Arial" w:cs="Arial"/>
          <w:sz w:val="24"/>
          <w:szCs w:val="24"/>
        </w:rPr>
        <w:t xml:space="preserve"> half that of the</w:t>
      </w:r>
      <w:r w:rsidR="009E2845" w:rsidRPr="00AC2F94">
        <w:rPr>
          <w:rFonts w:ascii="Arial" w:hAnsi="Arial" w:cs="Arial"/>
          <w:sz w:val="24"/>
          <w:szCs w:val="24"/>
        </w:rPr>
        <w:t>ir</w:t>
      </w:r>
      <w:r w:rsidR="004F09BC" w:rsidRPr="00AC2F94">
        <w:rPr>
          <w:rFonts w:ascii="Arial" w:hAnsi="Arial" w:cs="Arial"/>
          <w:sz w:val="24"/>
          <w:szCs w:val="24"/>
        </w:rPr>
        <w:t xml:space="preserve"> non</w:t>
      </w:r>
      <w:r w:rsidR="009E2845" w:rsidRPr="00AC2F94">
        <w:rPr>
          <w:rFonts w:ascii="Arial" w:hAnsi="Arial" w:cs="Arial"/>
          <w:sz w:val="24"/>
          <w:szCs w:val="24"/>
        </w:rPr>
        <w:t>-</w:t>
      </w:r>
      <w:r w:rsidR="00CE01A3" w:rsidRPr="00AC2F94">
        <w:rPr>
          <w:rFonts w:ascii="Arial" w:hAnsi="Arial" w:cs="Arial"/>
          <w:sz w:val="24"/>
          <w:szCs w:val="24"/>
        </w:rPr>
        <w:t>disabled</w:t>
      </w:r>
      <w:r w:rsidR="004F09BC" w:rsidRPr="00AC2F94">
        <w:rPr>
          <w:rFonts w:ascii="Arial" w:hAnsi="Arial" w:cs="Arial"/>
          <w:sz w:val="24"/>
          <w:szCs w:val="24"/>
        </w:rPr>
        <w:t xml:space="preserve"> peers</w:t>
      </w:r>
      <w:r w:rsidR="003632E0" w:rsidRPr="00AC2F94">
        <w:rPr>
          <w:rFonts w:ascii="Arial" w:hAnsi="Arial" w:cs="Arial"/>
          <w:sz w:val="24"/>
          <w:szCs w:val="24"/>
        </w:rPr>
        <w:t xml:space="preserve">. </w:t>
      </w:r>
      <w:r w:rsidR="004F09BC" w:rsidRPr="00AC2F94">
        <w:rPr>
          <w:rFonts w:ascii="Arial" w:hAnsi="Arial" w:cs="Arial"/>
          <w:sz w:val="24"/>
          <w:szCs w:val="24"/>
        </w:rPr>
        <w:t xml:space="preserve"> </w:t>
      </w:r>
    </w:p>
    <w:p w14:paraId="0315DC3E" w14:textId="77777777" w:rsidR="00FA6182" w:rsidRPr="00AC2F94" w:rsidRDefault="00617FDA" w:rsidP="00386B89">
      <w:pPr>
        <w:spacing w:after="120" w:line="276" w:lineRule="auto"/>
        <w:rPr>
          <w:rFonts w:ascii="Arial" w:hAnsi="Arial" w:cs="Arial"/>
          <w:sz w:val="24"/>
          <w:szCs w:val="24"/>
        </w:rPr>
      </w:pPr>
      <w:r w:rsidRPr="00AC2F94">
        <w:rPr>
          <w:rFonts w:ascii="Arial" w:hAnsi="Arial" w:cs="Arial"/>
          <w:sz w:val="24"/>
          <w:szCs w:val="24"/>
        </w:rPr>
        <w:t>Due to early school leaving and/or the stress around transition from school in the final year of school, we feel that it would be beneficial for DES provider</w:t>
      </w:r>
      <w:r w:rsidR="009E2845" w:rsidRPr="00AC2F94">
        <w:rPr>
          <w:rFonts w:ascii="Arial" w:hAnsi="Arial" w:cs="Arial"/>
          <w:sz w:val="24"/>
          <w:szCs w:val="24"/>
        </w:rPr>
        <w:t>s</w:t>
      </w:r>
      <w:r w:rsidRPr="00AC2F94">
        <w:rPr>
          <w:rFonts w:ascii="Arial" w:hAnsi="Arial" w:cs="Arial"/>
          <w:sz w:val="24"/>
          <w:szCs w:val="24"/>
        </w:rPr>
        <w:t xml:space="preserve"> to engage with student</w:t>
      </w:r>
      <w:r w:rsidR="009E2845" w:rsidRPr="00AC2F94">
        <w:rPr>
          <w:rFonts w:ascii="Arial" w:hAnsi="Arial" w:cs="Arial"/>
          <w:sz w:val="24"/>
          <w:szCs w:val="24"/>
        </w:rPr>
        <w:t>s</w:t>
      </w:r>
      <w:r w:rsidRPr="00AC2F94">
        <w:rPr>
          <w:rFonts w:ascii="Arial" w:hAnsi="Arial" w:cs="Arial"/>
          <w:sz w:val="24"/>
          <w:szCs w:val="24"/>
        </w:rPr>
        <w:t xml:space="preserve"> and their families early in the student</w:t>
      </w:r>
      <w:r w:rsidR="005A1504" w:rsidRPr="00AC2F94">
        <w:rPr>
          <w:rFonts w:ascii="Arial" w:hAnsi="Arial" w:cs="Arial"/>
          <w:sz w:val="24"/>
          <w:szCs w:val="24"/>
        </w:rPr>
        <w:t>’</w:t>
      </w:r>
      <w:r w:rsidRPr="00AC2F94">
        <w:rPr>
          <w:rFonts w:ascii="Arial" w:hAnsi="Arial" w:cs="Arial"/>
          <w:sz w:val="24"/>
          <w:szCs w:val="24"/>
        </w:rPr>
        <w:t>s school life. We have found o</w:t>
      </w:r>
      <w:r w:rsidR="00FA6182" w:rsidRPr="00AC2F94">
        <w:rPr>
          <w:rFonts w:ascii="Arial" w:hAnsi="Arial" w:cs="Arial"/>
          <w:sz w:val="24"/>
          <w:szCs w:val="24"/>
        </w:rPr>
        <w:t xml:space="preserve">ften the student’s pathway has already been decided by the school and the family </w:t>
      </w:r>
      <w:r w:rsidR="0016500C" w:rsidRPr="00AC2F94">
        <w:rPr>
          <w:rFonts w:ascii="Arial" w:hAnsi="Arial" w:cs="Arial"/>
          <w:sz w:val="24"/>
          <w:szCs w:val="24"/>
        </w:rPr>
        <w:lastRenderedPageBreak/>
        <w:t xml:space="preserve">before </w:t>
      </w:r>
      <w:r w:rsidRPr="00AC2F94">
        <w:rPr>
          <w:rFonts w:ascii="Arial" w:hAnsi="Arial" w:cs="Arial"/>
          <w:sz w:val="24"/>
          <w:szCs w:val="24"/>
        </w:rPr>
        <w:t>that final year and</w:t>
      </w:r>
      <w:r w:rsidR="003007BB" w:rsidRPr="00AC2F94">
        <w:rPr>
          <w:rFonts w:ascii="Arial" w:hAnsi="Arial" w:cs="Arial"/>
          <w:sz w:val="24"/>
          <w:szCs w:val="24"/>
        </w:rPr>
        <w:t>,</w:t>
      </w:r>
      <w:r w:rsidRPr="00AC2F94">
        <w:rPr>
          <w:rFonts w:ascii="Arial" w:hAnsi="Arial" w:cs="Arial"/>
          <w:sz w:val="24"/>
          <w:szCs w:val="24"/>
        </w:rPr>
        <w:t xml:space="preserve"> </w:t>
      </w:r>
      <w:r w:rsidR="00FA6182" w:rsidRPr="00AC2F94">
        <w:rPr>
          <w:rFonts w:ascii="Arial" w:hAnsi="Arial" w:cs="Arial"/>
          <w:sz w:val="24"/>
          <w:szCs w:val="24"/>
        </w:rPr>
        <w:t>in some cases</w:t>
      </w:r>
      <w:r w:rsidR="003007BB" w:rsidRPr="00AC2F94">
        <w:rPr>
          <w:rFonts w:ascii="Arial" w:hAnsi="Arial" w:cs="Arial"/>
          <w:sz w:val="24"/>
          <w:szCs w:val="24"/>
        </w:rPr>
        <w:t>,</w:t>
      </w:r>
      <w:r w:rsidR="00FA6182" w:rsidRPr="00AC2F94">
        <w:rPr>
          <w:rFonts w:ascii="Arial" w:hAnsi="Arial" w:cs="Arial"/>
          <w:sz w:val="24"/>
          <w:szCs w:val="24"/>
        </w:rPr>
        <w:t xml:space="preserve"> open employment</w:t>
      </w:r>
      <w:r w:rsidRPr="00AC2F94">
        <w:rPr>
          <w:rFonts w:ascii="Arial" w:hAnsi="Arial" w:cs="Arial"/>
          <w:sz w:val="24"/>
          <w:szCs w:val="24"/>
        </w:rPr>
        <w:t xml:space="preserve"> has not been considered</w:t>
      </w:r>
      <w:r w:rsidR="00FA6182" w:rsidRPr="00AC2F94">
        <w:rPr>
          <w:rFonts w:ascii="Arial" w:hAnsi="Arial" w:cs="Arial"/>
          <w:sz w:val="24"/>
          <w:szCs w:val="24"/>
        </w:rPr>
        <w:t xml:space="preserve">. </w:t>
      </w:r>
      <w:r w:rsidR="009E2845" w:rsidRPr="00AC2F94">
        <w:rPr>
          <w:rFonts w:ascii="Arial" w:hAnsi="Arial" w:cs="Arial"/>
          <w:sz w:val="24"/>
          <w:szCs w:val="24"/>
        </w:rPr>
        <w:t xml:space="preserve">Ferguson, Ferguson and Jones (1988) reported that parents of students with disability often </w:t>
      </w:r>
      <w:r w:rsidR="009E2845" w:rsidRPr="00AC2F94">
        <w:rPr>
          <w:rFonts w:ascii="Arial" w:hAnsi="Arial" w:cs="Arial"/>
          <w:bCs/>
          <w:sz w:val="24"/>
          <w:szCs w:val="24"/>
        </w:rPr>
        <w:t>feel abandoned and powerless in the transition process and with the post-school environment</w:t>
      </w:r>
      <w:r w:rsidR="009E2845" w:rsidRPr="00AC2F94">
        <w:rPr>
          <w:rFonts w:ascii="Arial" w:hAnsi="Arial" w:cs="Arial"/>
          <w:b/>
          <w:bCs/>
          <w:sz w:val="24"/>
          <w:szCs w:val="24"/>
        </w:rPr>
        <w:t xml:space="preserve">. </w:t>
      </w:r>
      <w:r w:rsidR="009E2845" w:rsidRPr="00AC2F94">
        <w:rPr>
          <w:rFonts w:ascii="Arial" w:hAnsi="Arial" w:cs="Arial"/>
          <w:sz w:val="24"/>
          <w:szCs w:val="24"/>
        </w:rPr>
        <w:t>A study by Whitney-Thomas and Hanley-Maxwell (1996) compared two set of parents’ experiences as their children with and without disabilit</w:t>
      </w:r>
      <w:r w:rsidR="003007BB" w:rsidRPr="00AC2F94">
        <w:rPr>
          <w:rFonts w:ascii="Arial" w:hAnsi="Arial" w:cs="Arial"/>
          <w:sz w:val="24"/>
          <w:szCs w:val="24"/>
        </w:rPr>
        <w:t>y</w:t>
      </w:r>
      <w:r w:rsidR="009E2845" w:rsidRPr="00AC2F94">
        <w:rPr>
          <w:rFonts w:ascii="Arial" w:hAnsi="Arial" w:cs="Arial"/>
          <w:sz w:val="24"/>
          <w:szCs w:val="24"/>
        </w:rPr>
        <w:t xml:space="preserve"> prepare to leave high school. This study</w:t>
      </w:r>
      <w:r w:rsidR="009E2845" w:rsidRPr="00AC2F94">
        <w:rPr>
          <w:rFonts w:ascii="Arial" w:hAnsi="Arial" w:cs="Arial"/>
          <w:color w:val="FF0000"/>
          <w:sz w:val="24"/>
          <w:szCs w:val="24"/>
        </w:rPr>
        <w:t xml:space="preserve"> </w:t>
      </w:r>
      <w:r w:rsidR="009E2845" w:rsidRPr="00AC2F94">
        <w:rPr>
          <w:rFonts w:ascii="Arial" w:hAnsi="Arial" w:cs="Arial"/>
          <w:sz w:val="24"/>
          <w:szCs w:val="24"/>
        </w:rPr>
        <w:t>found that parents of young people with disability experience greater levels of discomfort and pessimism than parents of young people without disability and, as a result, many choose services that provide a higher level of support/dependency than the young person’s capacity warrants.</w:t>
      </w:r>
    </w:p>
    <w:p w14:paraId="78AEEFEA" w14:textId="77777777" w:rsidR="007B1120" w:rsidRPr="00AC2F94" w:rsidRDefault="007B1120" w:rsidP="00386B89">
      <w:pPr>
        <w:shd w:val="clear" w:color="auto" w:fill="FFFFFF"/>
        <w:spacing w:after="120" w:line="276" w:lineRule="auto"/>
        <w:ind w:right="30"/>
        <w:rPr>
          <w:rFonts w:ascii="Arial" w:hAnsi="Arial" w:cs="Arial"/>
          <w:sz w:val="24"/>
          <w:szCs w:val="24"/>
        </w:rPr>
      </w:pPr>
      <w:r w:rsidRPr="00AC2F94">
        <w:rPr>
          <w:rFonts w:ascii="Arial" w:hAnsi="Arial" w:cs="Arial"/>
          <w:color w:val="000000"/>
          <w:sz w:val="24"/>
          <w:szCs w:val="24"/>
        </w:rPr>
        <w:t>Whilst we do not have this data in Australia, the link between</w:t>
      </w:r>
      <w:r w:rsidR="003007BB" w:rsidRPr="00AC2F94">
        <w:rPr>
          <w:rFonts w:ascii="Arial" w:hAnsi="Arial" w:cs="Arial"/>
          <w:color w:val="000000"/>
          <w:sz w:val="24"/>
          <w:szCs w:val="24"/>
        </w:rPr>
        <w:t xml:space="preserve"> the</w:t>
      </w:r>
      <w:r w:rsidRPr="00AC2F94">
        <w:rPr>
          <w:rFonts w:ascii="Arial" w:hAnsi="Arial" w:cs="Arial"/>
          <w:color w:val="000000"/>
          <w:sz w:val="24"/>
          <w:szCs w:val="24"/>
        </w:rPr>
        <w:t xml:space="preserve"> level of education and paid employment for those with disability has been measured elsewhere.  In the ‘</w:t>
      </w:r>
      <w:r w:rsidRPr="00AC2F94">
        <w:rPr>
          <w:rFonts w:ascii="Arial" w:hAnsi="Arial" w:cs="Arial"/>
          <w:sz w:val="24"/>
          <w:szCs w:val="24"/>
        </w:rPr>
        <w:t>National Longitudinal Transition Study’</w:t>
      </w:r>
      <w:r w:rsidR="003007BB" w:rsidRPr="00AC2F94">
        <w:rPr>
          <w:rFonts w:ascii="Arial" w:hAnsi="Arial" w:cs="Arial"/>
          <w:sz w:val="24"/>
          <w:szCs w:val="24"/>
        </w:rPr>
        <w:t>,</w:t>
      </w:r>
      <w:r w:rsidRPr="00AC2F94">
        <w:rPr>
          <w:rFonts w:ascii="Arial" w:hAnsi="Arial" w:cs="Arial"/>
          <w:sz w:val="24"/>
          <w:szCs w:val="24"/>
        </w:rPr>
        <w:t xml:space="preserve"> conducted </w:t>
      </w:r>
      <w:r w:rsidRPr="00AC2F94">
        <w:rPr>
          <w:rFonts w:ascii="Arial" w:hAnsi="Arial" w:cs="Arial"/>
          <w:sz w:val="24"/>
          <w:szCs w:val="24"/>
        </w:rPr>
        <w:lastRenderedPageBreak/>
        <w:t>in the United States</w:t>
      </w:r>
      <w:r w:rsidR="003007BB" w:rsidRPr="00AC2F94">
        <w:rPr>
          <w:rFonts w:ascii="Arial" w:hAnsi="Arial" w:cs="Arial"/>
          <w:sz w:val="24"/>
          <w:szCs w:val="24"/>
        </w:rPr>
        <w:t>,</w:t>
      </w:r>
      <w:r w:rsidRPr="00AC2F94">
        <w:rPr>
          <w:rFonts w:ascii="Arial" w:hAnsi="Arial" w:cs="Arial"/>
          <w:sz w:val="24"/>
          <w:szCs w:val="24"/>
        </w:rPr>
        <w:t xml:space="preserve"> it was clearly noted that increasing levels of education directly correlate with increasing levels of paid employment for young people with disability.  Seventy-eight per cent of ‘high school non-completers’ with disability were engaged in paid employment; this increased to 88.7 per cent amongst ‘high school completers’; this increased even further to 92.4 per </w:t>
      </w:r>
      <w:r w:rsidR="0053340F" w:rsidRPr="00AC2F94">
        <w:rPr>
          <w:rFonts w:ascii="Arial" w:hAnsi="Arial" w:cs="Arial"/>
          <w:sz w:val="24"/>
          <w:szCs w:val="24"/>
        </w:rPr>
        <w:t>cent from those with ‘some post-</w:t>
      </w:r>
      <w:r w:rsidRPr="00AC2F94">
        <w:rPr>
          <w:rFonts w:ascii="Arial" w:hAnsi="Arial" w:cs="Arial"/>
          <w:sz w:val="24"/>
          <w:szCs w:val="24"/>
        </w:rPr>
        <w:t xml:space="preserve">secondary schooling’; and, saw 98.7 per cent of young people with disabilities that had attained ‘post-secondary school completion’ in paid employment. (Newman, L et. al, 2011). </w:t>
      </w:r>
    </w:p>
    <w:p w14:paraId="6A36E975" w14:textId="77777777" w:rsidR="00317B0A" w:rsidRPr="00AC2F94" w:rsidRDefault="00317B0A" w:rsidP="00386B89">
      <w:pPr>
        <w:spacing w:after="120" w:line="276" w:lineRule="auto"/>
        <w:rPr>
          <w:rFonts w:ascii="Arial" w:hAnsi="Arial" w:cs="Arial"/>
          <w:sz w:val="24"/>
          <w:szCs w:val="24"/>
        </w:rPr>
      </w:pPr>
      <w:r w:rsidRPr="00AC2F94">
        <w:rPr>
          <w:rFonts w:ascii="Arial" w:hAnsi="Arial" w:cs="Arial"/>
          <w:sz w:val="24"/>
          <w:szCs w:val="24"/>
        </w:rPr>
        <w:t xml:space="preserve">We feel that DES should have a role in </w:t>
      </w:r>
      <w:r w:rsidR="00440055" w:rsidRPr="00AC2F94">
        <w:rPr>
          <w:rFonts w:ascii="Arial" w:hAnsi="Arial" w:cs="Arial"/>
          <w:sz w:val="24"/>
          <w:szCs w:val="24"/>
        </w:rPr>
        <w:t xml:space="preserve">keeping </w:t>
      </w:r>
      <w:r w:rsidRPr="00AC2F94">
        <w:rPr>
          <w:rFonts w:ascii="Arial" w:hAnsi="Arial" w:cs="Arial"/>
          <w:sz w:val="24"/>
          <w:szCs w:val="24"/>
        </w:rPr>
        <w:t>student</w:t>
      </w:r>
      <w:r w:rsidR="00440055" w:rsidRPr="00AC2F94">
        <w:rPr>
          <w:rFonts w:ascii="Arial" w:hAnsi="Arial" w:cs="Arial"/>
          <w:sz w:val="24"/>
          <w:szCs w:val="24"/>
        </w:rPr>
        <w:t>s</w:t>
      </w:r>
      <w:r w:rsidRPr="00AC2F94">
        <w:rPr>
          <w:rFonts w:ascii="Arial" w:hAnsi="Arial" w:cs="Arial"/>
          <w:sz w:val="24"/>
          <w:szCs w:val="24"/>
        </w:rPr>
        <w:t xml:space="preserve"> </w:t>
      </w:r>
      <w:r w:rsidR="00440055" w:rsidRPr="00AC2F94">
        <w:rPr>
          <w:rFonts w:ascii="Arial" w:hAnsi="Arial" w:cs="Arial"/>
          <w:sz w:val="24"/>
          <w:szCs w:val="24"/>
        </w:rPr>
        <w:t xml:space="preserve">in school </w:t>
      </w:r>
      <w:r w:rsidRPr="00AC2F94">
        <w:rPr>
          <w:rFonts w:ascii="Arial" w:hAnsi="Arial" w:cs="Arial"/>
          <w:sz w:val="24"/>
          <w:szCs w:val="24"/>
        </w:rPr>
        <w:t>to complete secondary school</w:t>
      </w:r>
      <w:r w:rsidR="00440055" w:rsidRPr="00AC2F94">
        <w:rPr>
          <w:rFonts w:ascii="Arial" w:hAnsi="Arial" w:cs="Arial"/>
          <w:sz w:val="24"/>
          <w:szCs w:val="24"/>
        </w:rPr>
        <w:t xml:space="preserve"> </w:t>
      </w:r>
      <w:r w:rsidRPr="00AC2F94">
        <w:rPr>
          <w:rFonts w:ascii="Arial" w:hAnsi="Arial" w:cs="Arial"/>
          <w:sz w:val="24"/>
          <w:szCs w:val="24"/>
        </w:rPr>
        <w:t>th</w:t>
      </w:r>
      <w:r w:rsidR="00440055" w:rsidRPr="00AC2F94">
        <w:rPr>
          <w:rFonts w:ascii="Arial" w:hAnsi="Arial" w:cs="Arial"/>
          <w:sz w:val="24"/>
          <w:szCs w:val="24"/>
        </w:rPr>
        <w:t>r</w:t>
      </w:r>
      <w:r w:rsidRPr="00AC2F94">
        <w:rPr>
          <w:rFonts w:ascii="Arial" w:hAnsi="Arial" w:cs="Arial"/>
          <w:sz w:val="24"/>
          <w:szCs w:val="24"/>
        </w:rPr>
        <w:t>ough support</w:t>
      </w:r>
      <w:r w:rsidR="00440055" w:rsidRPr="00AC2F94">
        <w:rPr>
          <w:rFonts w:ascii="Arial" w:hAnsi="Arial" w:cs="Arial"/>
          <w:sz w:val="24"/>
          <w:szCs w:val="24"/>
        </w:rPr>
        <w:t xml:space="preserve">ing work preparation, </w:t>
      </w:r>
      <w:r w:rsidRPr="00AC2F94">
        <w:rPr>
          <w:rFonts w:ascii="Arial" w:hAnsi="Arial" w:cs="Arial"/>
          <w:sz w:val="24"/>
          <w:szCs w:val="24"/>
        </w:rPr>
        <w:t xml:space="preserve">work experience and career development. </w:t>
      </w:r>
    </w:p>
    <w:p w14:paraId="57A70B3D" w14:textId="77777777" w:rsidR="00AC755A" w:rsidRPr="00AC2F94" w:rsidRDefault="00FA6182" w:rsidP="00386B89">
      <w:pPr>
        <w:spacing w:after="120" w:line="276" w:lineRule="auto"/>
        <w:rPr>
          <w:rFonts w:ascii="Arial" w:hAnsi="Arial" w:cs="Arial"/>
          <w:b/>
          <w:sz w:val="24"/>
          <w:szCs w:val="24"/>
        </w:rPr>
      </w:pPr>
      <w:r w:rsidRPr="00AC2F94">
        <w:rPr>
          <w:rFonts w:ascii="Arial" w:hAnsi="Arial" w:cs="Arial"/>
          <w:b/>
          <w:sz w:val="24"/>
          <w:szCs w:val="24"/>
        </w:rPr>
        <w:t xml:space="preserve">Recommendation: </w:t>
      </w:r>
    </w:p>
    <w:p w14:paraId="3E6705EB" w14:textId="77777777" w:rsidR="00880FCE" w:rsidRPr="00AC2F94" w:rsidRDefault="00880FCE" w:rsidP="001A29FC">
      <w:pPr>
        <w:spacing w:after="120" w:line="276" w:lineRule="auto"/>
        <w:rPr>
          <w:rFonts w:ascii="Arial" w:hAnsi="Arial" w:cs="Arial"/>
          <w:sz w:val="24"/>
          <w:szCs w:val="24"/>
        </w:rPr>
      </w:pPr>
      <w:r w:rsidRPr="00AC2F94">
        <w:rPr>
          <w:rFonts w:ascii="Arial" w:hAnsi="Arial" w:cs="Arial"/>
          <w:sz w:val="24"/>
          <w:szCs w:val="24"/>
        </w:rPr>
        <w:t xml:space="preserve">Students </w:t>
      </w:r>
      <w:r w:rsidR="007D1C30" w:rsidRPr="00AC2F94">
        <w:rPr>
          <w:rFonts w:ascii="Arial" w:hAnsi="Arial" w:cs="Arial"/>
          <w:sz w:val="24"/>
          <w:szCs w:val="24"/>
        </w:rPr>
        <w:t xml:space="preserve">should </w:t>
      </w:r>
      <w:r w:rsidRPr="00AC2F94">
        <w:rPr>
          <w:rFonts w:ascii="Arial" w:hAnsi="Arial" w:cs="Arial"/>
          <w:sz w:val="24"/>
          <w:szCs w:val="24"/>
        </w:rPr>
        <w:t xml:space="preserve">be eligible to register with a DES provider in Year 9 or the </w:t>
      </w:r>
      <w:r w:rsidR="007D1C30" w:rsidRPr="00AC2F94">
        <w:rPr>
          <w:rFonts w:ascii="Arial" w:hAnsi="Arial" w:cs="Arial"/>
          <w:sz w:val="24"/>
          <w:szCs w:val="24"/>
        </w:rPr>
        <w:t>m</w:t>
      </w:r>
      <w:r w:rsidRPr="00AC2F94">
        <w:rPr>
          <w:rFonts w:ascii="Arial" w:hAnsi="Arial" w:cs="Arial"/>
          <w:sz w:val="24"/>
          <w:szCs w:val="24"/>
        </w:rPr>
        <w:t xml:space="preserve">inimum employment age for </w:t>
      </w:r>
      <w:r w:rsidRPr="00AC2F94">
        <w:rPr>
          <w:rFonts w:ascii="Arial" w:hAnsi="Arial" w:cs="Arial"/>
          <w:sz w:val="24"/>
          <w:szCs w:val="24"/>
        </w:rPr>
        <w:lastRenderedPageBreak/>
        <w:t>that state</w:t>
      </w:r>
      <w:r w:rsidRPr="00AC2F94">
        <w:rPr>
          <w:rStyle w:val="EndnoteReference"/>
          <w:rFonts w:ascii="Arial" w:hAnsi="Arial" w:cs="Arial"/>
          <w:sz w:val="24"/>
          <w:szCs w:val="24"/>
        </w:rPr>
        <w:endnoteReference w:id="4"/>
      </w:r>
      <w:r w:rsidRPr="00AC2F94">
        <w:rPr>
          <w:rFonts w:ascii="Arial" w:hAnsi="Arial" w:cs="Arial"/>
          <w:sz w:val="24"/>
          <w:szCs w:val="24"/>
        </w:rPr>
        <w:t xml:space="preserve">. This would enable DES providers to work intensively with students in these critical transitioning and pathways planning years and help to ensure that those who do not complete Year 12 or its equivalent are captured and do not fall through the gap. This approach would also ensure DES engagement with the student’s family and the school and contribute to counteracting the culture of low expectations often held by families and educators. </w:t>
      </w:r>
    </w:p>
    <w:p w14:paraId="115ACB49" w14:textId="77777777" w:rsidR="006667CE" w:rsidRPr="00AC2F94" w:rsidRDefault="006667CE" w:rsidP="008445FB">
      <w:pPr>
        <w:spacing w:after="120" w:line="276" w:lineRule="auto"/>
        <w:rPr>
          <w:rFonts w:ascii="Arial" w:hAnsi="Arial" w:cs="Arial"/>
          <w:sz w:val="24"/>
          <w:szCs w:val="24"/>
        </w:rPr>
      </w:pPr>
    </w:p>
    <w:p w14:paraId="63356ADC" w14:textId="77777777" w:rsidR="00AE405D" w:rsidRPr="00AC2F94" w:rsidRDefault="00E95807" w:rsidP="009A1187">
      <w:pPr>
        <w:pStyle w:val="Heading2"/>
        <w:spacing w:before="0" w:after="120" w:line="276" w:lineRule="auto"/>
        <w:rPr>
          <w:rFonts w:ascii="Arial" w:hAnsi="Arial" w:cs="Arial"/>
          <w:color w:val="auto"/>
          <w:sz w:val="24"/>
          <w:szCs w:val="24"/>
        </w:rPr>
      </w:pPr>
      <w:bookmarkStart w:id="15" w:name="_Toc419281998"/>
      <w:r w:rsidRPr="00AC2F94">
        <w:rPr>
          <w:rFonts w:ascii="Arial" w:hAnsi="Arial" w:cs="Arial"/>
          <w:color w:val="auto"/>
          <w:sz w:val="24"/>
          <w:szCs w:val="24"/>
        </w:rPr>
        <w:t>Australian School Based Apprenticeships and Traineeships (</w:t>
      </w:r>
      <w:r w:rsidR="00101B75" w:rsidRPr="00AC2F94">
        <w:rPr>
          <w:rFonts w:ascii="Arial" w:hAnsi="Arial" w:cs="Arial"/>
          <w:color w:val="auto"/>
          <w:sz w:val="24"/>
          <w:szCs w:val="24"/>
        </w:rPr>
        <w:t>ASb</w:t>
      </w:r>
      <w:r w:rsidR="000F6D27" w:rsidRPr="00AC2F94">
        <w:rPr>
          <w:rFonts w:ascii="Arial" w:hAnsi="Arial" w:cs="Arial"/>
          <w:color w:val="auto"/>
          <w:sz w:val="24"/>
          <w:szCs w:val="24"/>
        </w:rPr>
        <w:t>ATs</w:t>
      </w:r>
      <w:r w:rsidRPr="00AC2F94">
        <w:rPr>
          <w:rFonts w:ascii="Arial" w:hAnsi="Arial" w:cs="Arial"/>
          <w:color w:val="auto"/>
          <w:sz w:val="24"/>
          <w:szCs w:val="24"/>
        </w:rPr>
        <w:t>)</w:t>
      </w:r>
      <w:bookmarkEnd w:id="15"/>
    </w:p>
    <w:p w14:paraId="135174BB" w14:textId="77777777" w:rsidR="00E55915" w:rsidRPr="00AC2F94" w:rsidRDefault="00DB65C2" w:rsidP="00386B89">
      <w:pPr>
        <w:spacing w:after="120" w:line="276" w:lineRule="auto"/>
        <w:rPr>
          <w:rFonts w:ascii="Arial" w:hAnsi="Arial" w:cs="Arial"/>
          <w:sz w:val="24"/>
          <w:szCs w:val="24"/>
        </w:rPr>
      </w:pPr>
      <w:r w:rsidRPr="00AC2F94">
        <w:rPr>
          <w:rFonts w:ascii="Arial" w:hAnsi="Arial" w:cs="Arial"/>
          <w:sz w:val="24"/>
          <w:szCs w:val="24"/>
        </w:rPr>
        <w:t>We welcome</w:t>
      </w:r>
      <w:r w:rsidR="000F6D27" w:rsidRPr="00AC2F94">
        <w:rPr>
          <w:rFonts w:ascii="Arial" w:hAnsi="Arial" w:cs="Arial"/>
          <w:sz w:val="24"/>
          <w:szCs w:val="24"/>
        </w:rPr>
        <w:t xml:space="preserve"> </w:t>
      </w:r>
      <w:r w:rsidRPr="00AC2F94">
        <w:rPr>
          <w:rFonts w:ascii="Arial" w:hAnsi="Arial" w:cs="Arial"/>
          <w:sz w:val="24"/>
          <w:szCs w:val="24"/>
        </w:rPr>
        <w:t xml:space="preserve">the ESL </w:t>
      </w:r>
      <w:r w:rsidR="007D1C30" w:rsidRPr="00AC2F94">
        <w:rPr>
          <w:rFonts w:ascii="Arial" w:hAnsi="Arial" w:cs="Arial"/>
          <w:sz w:val="24"/>
          <w:szCs w:val="24"/>
        </w:rPr>
        <w:t>G</w:t>
      </w:r>
      <w:r w:rsidRPr="00AC2F94">
        <w:rPr>
          <w:rFonts w:ascii="Arial" w:hAnsi="Arial" w:cs="Arial"/>
          <w:sz w:val="24"/>
          <w:szCs w:val="24"/>
        </w:rPr>
        <w:t xml:space="preserve">uideline change (2014) that allowed </w:t>
      </w:r>
      <w:r w:rsidR="00B23FEA" w:rsidRPr="00AC2F94">
        <w:rPr>
          <w:rFonts w:ascii="Arial" w:hAnsi="Arial" w:cs="Arial"/>
          <w:sz w:val="24"/>
          <w:szCs w:val="24"/>
        </w:rPr>
        <w:t>DES providers to support Y</w:t>
      </w:r>
      <w:r w:rsidR="000F6D27" w:rsidRPr="00AC2F94">
        <w:rPr>
          <w:rFonts w:ascii="Arial" w:hAnsi="Arial" w:cs="Arial"/>
          <w:sz w:val="24"/>
          <w:szCs w:val="24"/>
        </w:rPr>
        <w:t>ear 11 student</w:t>
      </w:r>
      <w:r w:rsidR="00B23FEA" w:rsidRPr="00AC2F94">
        <w:rPr>
          <w:rFonts w:ascii="Arial" w:hAnsi="Arial" w:cs="Arial"/>
          <w:sz w:val="24"/>
          <w:szCs w:val="24"/>
        </w:rPr>
        <w:t xml:space="preserve">s wanting </w:t>
      </w:r>
      <w:r w:rsidR="000F6D27" w:rsidRPr="00AC2F94">
        <w:rPr>
          <w:rFonts w:ascii="Arial" w:hAnsi="Arial" w:cs="Arial"/>
          <w:sz w:val="24"/>
          <w:szCs w:val="24"/>
        </w:rPr>
        <w:t xml:space="preserve">to </w:t>
      </w:r>
      <w:r w:rsidR="00101B75" w:rsidRPr="00AC2F94">
        <w:rPr>
          <w:rFonts w:ascii="Arial" w:hAnsi="Arial" w:cs="Arial"/>
          <w:sz w:val="24"/>
          <w:szCs w:val="24"/>
        </w:rPr>
        <w:t>undertake an ASb</w:t>
      </w:r>
      <w:r w:rsidR="00B23FEA" w:rsidRPr="00AC2F94">
        <w:rPr>
          <w:rFonts w:ascii="Arial" w:hAnsi="Arial" w:cs="Arial"/>
          <w:sz w:val="24"/>
          <w:szCs w:val="24"/>
        </w:rPr>
        <w:t>AT</w:t>
      </w:r>
      <w:r w:rsidR="000F6D27" w:rsidRPr="00AC2F94">
        <w:rPr>
          <w:rFonts w:ascii="Arial" w:hAnsi="Arial" w:cs="Arial"/>
          <w:sz w:val="24"/>
          <w:szCs w:val="24"/>
        </w:rPr>
        <w:t xml:space="preserve">. </w:t>
      </w:r>
      <w:r w:rsidR="00B23FEA" w:rsidRPr="00AC2F94">
        <w:rPr>
          <w:rFonts w:ascii="Arial" w:hAnsi="Arial" w:cs="Arial"/>
          <w:sz w:val="24"/>
          <w:szCs w:val="24"/>
        </w:rPr>
        <w:t xml:space="preserve"> </w:t>
      </w:r>
    </w:p>
    <w:p w14:paraId="36F7F89C" w14:textId="77777777" w:rsidR="00E55915" w:rsidRPr="00AC2F94" w:rsidRDefault="00E55915" w:rsidP="00386B89">
      <w:pPr>
        <w:spacing w:after="120" w:line="276" w:lineRule="auto"/>
        <w:rPr>
          <w:rFonts w:ascii="Arial" w:hAnsi="Arial" w:cs="Arial"/>
          <w:sz w:val="24"/>
          <w:szCs w:val="24"/>
        </w:rPr>
      </w:pPr>
      <w:r w:rsidRPr="00AC2F94">
        <w:rPr>
          <w:rFonts w:ascii="Arial" w:hAnsi="Arial" w:cs="Arial"/>
          <w:sz w:val="24"/>
          <w:szCs w:val="24"/>
        </w:rPr>
        <w:t xml:space="preserve">Australian research has found that students with a disability enrolled in an apprenticeship or traineeship have better employment outcomes compared against other </w:t>
      </w:r>
      <w:r w:rsidRPr="00AC2F94">
        <w:rPr>
          <w:rFonts w:ascii="Arial" w:hAnsi="Arial" w:cs="Arial"/>
          <w:sz w:val="24"/>
          <w:szCs w:val="24"/>
        </w:rPr>
        <w:lastRenderedPageBreak/>
        <w:t>types of VET courses (Bar</w:t>
      </w:r>
      <w:r w:rsidR="00E22B6C" w:rsidRPr="00AC2F94">
        <w:rPr>
          <w:rFonts w:ascii="Arial" w:hAnsi="Arial" w:cs="Arial"/>
          <w:sz w:val="24"/>
          <w:szCs w:val="24"/>
        </w:rPr>
        <w:t xml:space="preserve">nett 2004; Clark 2007). It </w:t>
      </w:r>
      <w:r w:rsidR="007D1C30" w:rsidRPr="00AC2F94">
        <w:rPr>
          <w:rFonts w:ascii="Arial" w:hAnsi="Arial" w:cs="Arial"/>
          <w:sz w:val="24"/>
          <w:szCs w:val="24"/>
        </w:rPr>
        <w:t>c</w:t>
      </w:r>
      <w:r w:rsidR="00E22B6C" w:rsidRPr="00AC2F94">
        <w:rPr>
          <w:rFonts w:ascii="Arial" w:hAnsi="Arial" w:cs="Arial"/>
          <w:sz w:val="24"/>
          <w:szCs w:val="24"/>
        </w:rPr>
        <w:t>ould</w:t>
      </w:r>
      <w:r w:rsidRPr="00AC2F94">
        <w:rPr>
          <w:rFonts w:ascii="Arial" w:hAnsi="Arial" w:cs="Arial"/>
          <w:sz w:val="24"/>
          <w:szCs w:val="24"/>
        </w:rPr>
        <w:t xml:space="preserve"> be </w:t>
      </w:r>
      <w:r w:rsidR="00E22B6C" w:rsidRPr="00AC2F94">
        <w:rPr>
          <w:rFonts w:ascii="Arial" w:hAnsi="Arial" w:cs="Arial"/>
          <w:sz w:val="24"/>
          <w:szCs w:val="24"/>
        </w:rPr>
        <w:t xml:space="preserve">surmised </w:t>
      </w:r>
      <w:r w:rsidR="007D1C30" w:rsidRPr="00AC2F94">
        <w:rPr>
          <w:rFonts w:ascii="Arial" w:hAnsi="Arial" w:cs="Arial"/>
          <w:sz w:val="24"/>
          <w:szCs w:val="24"/>
        </w:rPr>
        <w:t xml:space="preserve">that </w:t>
      </w:r>
      <w:r w:rsidR="00E22B6C" w:rsidRPr="00AC2F94">
        <w:rPr>
          <w:rFonts w:ascii="Arial" w:hAnsi="Arial" w:cs="Arial"/>
          <w:sz w:val="24"/>
          <w:szCs w:val="24"/>
        </w:rPr>
        <w:t xml:space="preserve">this is </w:t>
      </w:r>
      <w:r w:rsidRPr="00AC2F94">
        <w:rPr>
          <w:rFonts w:ascii="Arial" w:hAnsi="Arial" w:cs="Arial"/>
          <w:sz w:val="24"/>
          <w:szCs w:val="24"/>
        </w:rPr>
        <w:t>because of the employment or on-the-job relationship embedded in the apprenticeship and</w:t>
      </w:r>
      <w:r w:rsidR="00E22B6C" w:rsidRPr="00AC2F94">
        <w:rPr>
          <w:rFonts w:ascii="Arial" w:hAnsi="Arial" w:cs="Arial"/>
          <w:sz w:val="24"/>
          <w:szCs w:val="24"/>
        </w:rPr>
        <w:t xml:space="preserve"> traineeship models. A</w:t>
      </w:r>
      <w:r w:rsidRPr="00AC2F94">
        <w:rPr>
          <w:rFonts w:ascii="Arial" w:hAnsi="Arial" w:cs="Arial"/>
          <w:sz w:val="24"/>
          <w:szCs w:val="24"/>
        </w:rPr>
        <w:t xml:space="preserve"> student undertak</w:t>
      </w:r>
      <w:r w:rsidR="00101B75" w:rsidRPr="00AC2F94">
        <w:rPr>
          <w:rFonts w:ascii="Arial" w:hAnsi="Arial" w:cs="Arial"/>
          <w:sz w:val="24"/>
          <w:szCs w:val="24"/>
        </w:rPr>
        <w:t>ing an ASb</w:t>
      </w:r>
      <w:r w:rsidRPr="00AC2F94">
        <w:rPr>
          <w:rFonts w:ascii="Arial" w:hAnsi="Arial" w:cs="Arial"/>
          <w:sz w:val="24"/>
          <w:szCs w:val="24"/>
        </w:rPr>
        <w:t>AT is more likely to have long</w:t>
      </w:r>
      <w:r w:rsidR="007D1C30" w:rsidRPr="00AC2F94">
        <w:rPr>
          <w:rFonts w:ascii="Arial" w:hAnsi="Arial" w:cs="Arial"/>
          <w:sz w:val="24"/>
          <w:szCs w:val="24"/>
        </w:rPr>
        <w:t>-</w:t>
      </w:r>
      <w:r w:rsidRPr="00AC2F94">
        <w:rPr>
          <w:rFonts w:ascii="Arial" w:hAnsi="Arial" w:cs="Arial"/>
          <w:sz w:val="24"/>
          <w:szCs w:val="24"/>
        </w:rPr>
        <w:t>term employment prospects. Likewise, training that involves practical experience in the workplace is more likely to lead to employment for young people with a disability (Dawe 2004; Clark 2007).</w:t>
      </w:r>
    </w:p>
    <w:p w14:paraId="620947DF" w14:textId="77777777" w:rsidR="00B23FEA" w:rsidRPr="00AC2F94" w:rsidRDefault="00101B75" w:rsidP="00386B89">
      <w:pPr>
        <w:spacing w:after="120" w:line="276" w:lineRule="auto"/>
        <w:rPr>
          <w:rFonts w:ascii="Arial" w:hAnsi="Arial" w:cs="Arial"/>
          <w:sz w:val="24"/>
          <w:szCs w:val="24"/>
        </w:rPr>
      </w:pPr>
      <w:r w:rsidRPr="00AC2F94">
        <w:rPr>
          <w:rFonts w:ascii="Arial" w:hAnsi="Arial" w:cs="Arial"/>
          <w:sz w:val="24"/>
          <w:szCs w:val="24"/>
        </w:rPr>
        <w:t>ASb</w:t>
      </w:r>
      <w:r w:rsidR="00B23FEA" w:rsidRPr="00AC2F94">
        <w:rPr>
          <w:rFonts w:ascii="Arial" w:hAnsi="Arial" w:cs="Arial"/>
          <w:sz w:val="24"/>
          <w:szCs w:val="24"/>
        </w:rPr>
        <w:t>A</w:t>
      </w:r>
      <w:r w:rsidR="003B3915" w:rsidRPr="00AC2F94">
        <w:rPr>
          <w:rFonts w:ascii="Arial" w:hAnsi="Arial" w:cs="Arial"/>
          <w:sz w:val="24"/>
          <w:szCs w:val="24"/>
        </w:rPr>
        <w:t>T</w:t>
      </w:r>
      <w:r w:rsidR="00B23FEA" w:rsidRPr="00AC2F94">
        <w:rPr>
          <w:rFonts w:ascii="Arial" w:hAnsi="Arial" w:cs="Arial"/>
          <w:sz w:val="24"/>
          <w:szCs w:val="24"/>
        </w:rPr>
        <w:t xml:space="preserve">s also play a role in breaking down barriers and poor disability employment perceptions with a range of stakeholders including parents, employers and the wider community.  </w:t>
      </w:r>
    </w:p>
    <w:p w14:paraId="19170FA1" w14:textId="77777777" w:rsidR="00BC7925" w:rsidRPr="00AC2F94" w:rsidRDefault="007D1C30" w:rsidP="00386B89">
      <w:pPr>
        <w:spacing w:after="120" w:line="276" w:lineRule="auto"/>
        <w:rPr>
          <w:rFonts w:ascii="Arial" w:hAnsi="Arial" w:cs="Arial"/>
          <w:sz w:val="24"/>
          <w:szCs w:val="24"/>
        </w:rPr>
      </w:pPr>
      <w:r w:rsidRPr="00AC2F94">
        <w:rPr>
          <w:rFonts w:ascii="Arial" w:hAnsi="Arial" w:cs="Arial"/>
          <w:sz w:val="24"/>
          <w:szCs w:val="24"/>
        </w:rPr>
        <w:t>C</w:t>
      </w:r>
      <w:r w:rsidR="00BC7925" w:rsidRPr="00AC2F94">
        <w:rPr>
          <w:rFonts w:ascii="Arial" w:hAnsi="Arial" w:cs="Arial"/>
          <w:sz w:val="24"/>
          <w:szCs w:val="24"/>
        </w:rPr>
        <w:t>urrently</w:t>
      </w:r>
      <w:r w:rsidR="00101B75" w:rsidRPr="00AC2F94">
        <w:rPr>
          <w:rFonts w:ascii="Arial" w:hAnsi="Arial" w:cs="Arial"/>
          <w:sz w:val="24"/>
          <w:szCs w:val="24"/>
        </w:rPr>
        <w:t xml:space="preserve"> </w:t>
      </w:r>
      <w:r w:rsidR="00880FCE" w:rsidRPr="00AC2F94">
        <w:rPr>
          <w:rFonts w:ascii="Arial" w:hAnsi="Arial" w:cs="Arial"/>
          <w:sz w:val="24"/>
          <w:szCs w:val="24"/>
        </w:rPr>
        <w:t>ASbATs</w:t>
      </w:r>
      <w:r w:rsidR="00E55915" w:rsidRPr="00AC2F94">
        <w:rPr>
          <w:rFonts w:ascii="Arial" w:hAnsi="Arial" w:cs="Arial"/>
          <w:sz w:val="24"/>
          <w:szCs w:val="24"/>
        </w:rPr>
        <w:t xml:space="preserve"> are </w:t>
      </w:r>
      <w:r w:rsidR="00BC7925" w:rsidRPr="00AC2F94">
        <w:rPr>
          <w:rFonts w:ascii="Arial" w:hAnsi="Arial" w:cs="Arial"/>
          <w:sz w:val="24"/>
          <w:szCs w:val="24"/>
        </w:rPr>
        <w:t>exempt</w:t>
      </w:r>
      <w:r w:rsidR="00E55915" w:rsidRPr="00AC2F94">
        <w:rPr>
          <w:rFonts w:ascii="Arial" w:hAnsi="Arial" w:cs="Arial"/>
          <w:sz w:val="24"/>
          <w:szCs w:val="24"/>
        </w:rPr>
        <w:t xml:space="preserve"> in the DES </w:t>
      </w:r>
      <w:r w:rsidR="0019282A" w:rsidRPr="00AC2F94">
        <w:rPr>
          <w:rFonts w:ascii="Arial" w:hAnsi="Arial" w:cs="Arial"/>
          <w:sz w:val="24"/>
          <w:szCs w:val="24"/>
        </w:rPr>
        <w:t xml:space="preserve">Job placement fees </w:t>
      </w:r>
      <w:r w:rsidR="00E55915" w:rsidRPr="00AC2F94">
        <w:rPr>
          <w:rFonts w:ascii="Arial" w:hAnsi="Arial" w:cs="Arial"/>
          <w:sz w:val="24"/>
          <w:szCs w:val="24"/>
        </w:rPr>
        <w:t xml:space="preserve">as stated in the 2015 </w:t>
      </w:r>
      <w:r w:rsidR="00BC7925" w:rsidRPr="00AC2F94">
        <w:rPr>
          <w:rFonts w:ascii="Arial" w:hAnsi="Arial" w:cs="Arial"/>
          <w:sz w:val="24"/>
          <w:szCs w:val="24"/>
        </w:rPr>
        <w:t>D</w:t>
      </w:r>
      <w:r w:rsidR="00E55915" w:rsidRPr="00AC2F94">
        <w:rPr>
          <w:rFonts w:ascii="Arial" w:hAnsi="Arial" w:cs="Arial"/>
          <w:sz w:val="24"/>
          <w:szCs w:val="24"/>
        </w:rPr>
        <w:t>isability</w:t>
      </w:r>
      <w:r w:rsidR="00BC7925" w:rsidRPr="00AC2F94">
        <w:rPr>
          <w:rFonts w:ascii="Arial" w:hAnsi="Arial" w:cs="Arial"/>
          <w:sz w:val="24"/>
          <w:szCs w:val="24"/>
        </w:rPr>
        <w:t xml:space="preserve"> Employment S</w:t>
      </w:r>
      <w:r w:rsidR="00E55915" w:rsidRPr="00AC2F94">
        <w:rPr>
          <w:rFonts w:ascii="Arial" w:hAnsi="Arial" w:cs="Arial"/>
          <w:sz w:val="24"/>
          <w:szCs w:val="24"/>
        </w:rPr>
        <w:t>ervices DEED 2015. This is making it difficult for Ticket to Work to engage with DES provid</w:t>
      </w:r>
      <w:r w:rsidR="00101B75" w:rsidRPr="00AC2F94">
        <w:rPr>
          <w:rFonts w:ascii="Arial" w:hAnsi="Arial" w:cs="Arial"/>
          <w:sz w:val="24"/>
          <w:szCs w:val="24"/>
        </w:rPr>
        <w:t xml:space="preserve">ers.  For a </w:t>
      </w:r>
      <w:r w:rsidR="00101B75" w:rsidRPr="00AC2F94">
        <w:rPr>
          <w:rFonts w:ascii="Arial" w:hAnsi="Arial" w:cs="Arial"/>
          <w:sz w:val="24"/>
          <w:szCs w:val="24"/>
        </w:rPr>
        <w:lastRenderedPageBreak/>
        <w:t>DES to set up an ASb</w:t>
      </w:r>
      <w:r w:rsidR="00E55915" w:rsidRPr="00AC2F94">
        <w:rPr>
          <w:rFonts w:ascii="Arial" w:hAnsi="Arial" w:cs="Arial"/>
          <w:sz w:val="24"/>
          <w:szCs w:val="24"/>
        </w:rPr>
        <w:t>AT requires significant</w:t>
      </w:r>
      <w:r w:rsidRPr="00AC2F94">
        <w:rPr>
          <w:rFonts w:ascii="Arial" w:hAnsi="Arial" w:cs="Arial"/>
          <w:sz w:val="24"/>
          <w:szCs w:val="24"/>
        </w:rPr>
        <w:t>ly</w:t>
      </w:r>
      <w:r w:rsidR="00E55915" w:rsidRPr="00AC2F94">
        <w:rPr>
          <w:rFonts w:ascii="Arial" w:hAnsi="Arial" w:cs="Arial"/>
          <w:sz w:val="24"/>
          <w:szCs w:val="24"/>
        </w:rPr>
        <w:t xml:space="preserve"> more upfront work tha</w:t>
      </w:r>
      <w:r w:rsidRPr="00AC2F94">
        <w:rPr>
          <w:rFonts w:ascii="Arial" w:hAnsi="Arial" w:cs="Arial"/>
          <w:sz w:val="24"/>
          <w:szCs w:val="24"/>
        </w:rPr>
        <w:t>n</w:t>
      </w:r>
      <w:r w:rsidR="00E55915" w:rsidRPr="00AC2F94">
        <w:rPr>
          <w:rFonts w:ascii="Arial" w:hAnsi="Arial" w:cs="Arial"/>
          <w:sz w:val="24"/>
          <w:szCs w:val="24"/>
        </w:rPr>
        <w:t xml:space="preserve"> a typical job or straight traineeship/apprenticeship. </w:t>
      </w:r>
      <w:r w:rsidR="00BC7925" w:rsidRPr="00AC2F94">
        <w:rPr>
          <w:rFonts w:ascii="Arial" w:hAnsi="Arial" w:cs="Arial"/>
          <w:sz w:val="24"/>
          <w:szCs w:val="24"/>
        </w:rPr>
        <w:t>It</w:t>
      </w:r>
      <w:r w:rsidR="00E55915" w:rsidRPr="00AC2F94">
        <w:rPr>
          <w:rFonts w:ascii="Arial" w:hAnsi="Arial" w:cs="Arial"/>
          <w:sz w:val="24"/>
          <w:szCs w:val="24"/>
        </w:rPr>
        <w:t xml:space="preserve"> requires agreement and signing off from parent, student, school, employer, apprenticeship centre, register training organisation.  It is </w:t>
      </w:r>
      <w:r w:rsidR="00BC7925" w:rsidRPr="00AC2F94">
        <w:rPr>
          <w:rFonts w:ascii="Arial" w:hAnsi="Arial" w:cs="Arial"/>
          <w:sz w:val="24"/>
          <w:szCs w:val="24"/>
        </w:rPr>
        <w:t>often</w:t>
      </w:r>
      <w:r w:rsidR="00E55915" w:rsidRPr="00AC2F94">
        <w:rPr>
          <w:rFonts w:ascii="Arial" w:hAnsi="Arial" w:cs="Arial"/>
          <w:sz w:val="24"/>
          <w:szCs w:val="24"/>
        </w:rPr>
        <w:t xml:space="preserve"> difficult to engage a registered </w:t>
      </w:r>
      <w:r w:rsidR="00BC7925" w:rsidRPr="00AC2F94">
        <w:rPr>
          <w:rFonts w:ascii="Arial" w:hAnsi="Arial" w:cs="Arial"/>
          <w:sz w:val="24"/>
          <w:szCs w:val="24"/>
        </w:rPr>
        <w:t>training</w:t>
      </w:r>
      <w:r w:rsidR="00E55915" w:rsidRPr="00AC2F94">
        <w:rPr>
          <w:rFonts w:ascii="Arial" w:hAnsi="Arial" w:cs="Arial"/>
          <w:sz w:val="24"/>
          <w:szCs w:val="24"/>
        </w:rPr>
        <w:t xml:space="preserve"> organisation that has the understanding and flexibility to take on a young person with an intellectual disability. T</w:t>
      </w:r>
      <w:r w:rsidR="00BC7925" w:rsidRPr="00AC2F94">
        <w:rPr>
          <w:rFonts w:ascii="Arial" w:hAnsi="Arial" w:cs="Arial"/>
          <w:sz w:val="24"/>
          <w:szCs w:val="24"/>
        </w:rPr>
        <w:t>he DES</w:t>
      </w:r>
      <w:r w:rsidR="00E55915" w:rsidRPr="00AC2F94">
        <w:rPr>
          <w:rFonts w:ascii="Arial" w:hAnsi="Arial" w:cs="Arial"/>
          <w:sz w:val="24"/>
          <w:szCs w:val="24"/>
        </w:rPr>
        <w:t xml:space="preserve"> often has to take on a significant mentoring role with the </w:t>
      </w:r>
      <w:r w:rsidRPr="00AC2F94">
        <w:rPr>
          <w:rFonts w:ascii="Arial" w:hAnsi="Arial" w:cs="Arial"/>
          <w:sz w:val="24"/>
          <w:szCs w:val="24"/>
        </w:rPr>
        <w:t>r</w:t>
      </w:r>
      <w:r w:rsidR="00101B75" w:rsidRPr="00AC2F94">
        <w:rPr>
          <w:rFonts w:ascii="Arial" w:hAnsi="Arial" w:cs="Arial"/>
          <w:sz w:val="24"/>
          <w:szCs w:val="24"/>
        </w:rPr>
        <w:t xml:space="preserve">egistered </w:t>
      </w:r>
      <w:r w:rsidRPr="00AC2F94">
        <w:rPr>
          <w:rFonts w:ascii="Arial" w:hAnsi="Arial" w:cs="Arial"/>
          <w:sz w:val="24"/>
          <w:szCs w:val="24"/>
        </w:rPr>
        <w:t>t</w:t>
      </w:r>
      <w:r w:rsidR="00101B75" w:rsidRPr="00AC2F94">
        <w:rPr>
          <w:rFonts w:ascii="Arial" w:hAnsi="Arial" w:cs="Arial"/>
          <w:sz w:val="24"/>
          <w:szCs w:val="24"/>
        </w:rPr>
        <w:t>raining organisation</w:t>
      </w:r>
      <w:r w:rsidR="00E55915" w:rsidRPr="00AC2F94">
        <w:rPr>
          <w:rFonts w:ascii="Arial" w:hAnsi="Arial" w:cs="Arial"/>
          <w:sz w:val="24"/>
          <w:szCs w:val="24"/>
        </w:rPr>
        <w:t xml:space="preserve"> to ensure the training is modif</w:t>
      </w:r>
      <w:r w:rsidRPr="00AC2F94">
        <w:rPr>
          <w:rFonts w:ascii="Arial" w:hAnsi="Arial" w:cs="Arial"/>
          <w:sz w:val="24"/>
          <w:szCs w:val="24"/>
        </w:rPr>
        <w:t>ied</w:t>
      </w:r>
      <w:r w:rsidR="00E55915" w:rsidRPr="00AC2F94">
        <w:rPr>
          <w:rFonts w:ascii="Arial" w:hAnsi="Arial" w:cs="Arial"/>
          <w:sz w:val="24"/>
          <w:szCs w:val="24"/>
        </w:rPr>
        <w:t xml:space="preserve"> to suit the trainee. </w:t>
      </w:r>
      <w:r w:rsidR="00BC7925" w:rsidRPr="00AC2F94">
        <w:rPr>
          <w:rFonts w:ascii="Arial" w:hAnsi="Arial" w:cs="Arial"/>
          <w:sz w:val="24"/>
          <w:szCs w:val="24"/>
        </w:rPr>
        <w:t>It also requires negotiation between the school and employer to ensure that the student is not missing vital elements of the curriculum</w:t>
      </w:r>
      <w:r w:rsidRPr="00AC2F94">
        <w:rPr>
          <w:rFonts w:ascii="Arial" w:hAnsi="Arial" w:cs="Arial"/>
          <w:sz w:val="24"/>
          <w:szCs w:val="24"/>
        </w:rPr>
        <w:t xml:space="preserve"> and is</w:t>
      </w:r>
      <w:r w:rsidR="00BC7925" w:rsidRPr="00AC2F94">
        <w:rPr>
          <w:rFonts w:ascii="Arial" w:hAnsi="Arial" w:cs="Arial"/>
          <w:sz w:val="24"/>
          <w:szCs w:val="24"/>
        </w:rPr>
        <w:t xml:space="preserve"> meeting the needs of the employers such as busy period.</w:t>
      </w:r>
      <w:r w:rsidR="0021511B" w:rsidRPr="00AC2F94">
        <w:rPr>
          <w:rFonts w:ascii="Arial" w:hAnsi="Arial" w:cs="Arial"/>
          <w:sz w:val="24"/>
          <w:szCs w:val="24"/>
        </w:rPr>
        <w:t xml:space="preserve"> </w:t>
      </w:r>
      <w:r w:rsidR="00BC7925" w:rsidRPr="00AC2F94">
        <w:rPr>
          <w:rFonts w:ascii="Arial" w:hAnsi="Arial" w:cs="Arial"/>
          <w:sz w:val="24"/>
          <w:szCs w:val="24"/>
        </w:rPr>
        <w:t>We find it</w:t>
      </w:r>
      <w:r w:rsidR="00101B75" w:rsidRPr="00AC2F94">
        <w:rPr>
          <w:rFonts w:ascii="Arial" w:hAnsi="Arial" w:cs="Arial"/>
          <w:sz w:val="24"/>
          <w:szCs w:val="24"/>
        </w:rPr>
        <w:t xml:space="preserve"> difficult to understand why </w:t>
      </w:r>
      <w:r w:rsidR="00880FCE" w:rsidRPr="00AC2F94">
        <w:rPr>
          <w:rFonts w:ascii="Arial" w:hAnsi="Arial" w:cs="Arial"/>
          <w:sz w:val="24"/>
          <w:szCs w:val="24"/>
        </w:rPr>
        <w:t>ASbATs</w:t>
      </w:r>
      <w:r w:rsidR="00BC7925" w:rsidRPr="00AC2F94">
        <w:rPr>
          <w:rFonts w:ascii="Arial" w:hAnsi="Arial" w:cs="Arial"/>
          <w:sz w:val="24"/>
          <w:szCs w:val="24"/>
        </w:rPr>
        <w:t xml:space="preserve"> are treated differently to other employment. </w:t>
      </w:r>
    </w:p>
    <w:p w14:paraId="24BF5042" w14:textId="77777777" w:rsidR="00A4672D" w:rsidRPr="00AC2F94" w:rsidRDefault="00801CE3" w:rsidP="00386B89">
      <w:pPr>
        <w:spacing w:after="120" w:line="276" w:lineRule="auto"/>
        <w:rPr>
          <w:rFonts w:ascii="Arial" w:hAnsi="Arial" w:cs="Arial"/>
          <w:sz w:val="24"/>
          <w:szCs w:val="24"/>
        </w:rPr>
      </w:pPr>
      <w:r w:rsidRPr="00AC2F94">
        <w:rPr>
          <w:rFonts w:ascii="Arial" w:hAnsi="Arial" w:cs="Arial"/>
          <w:sz w:val="24"/>
          <w:szCs w:val="24"/>
        </w:rPr>
        <w:t>We have found that students require significant support before starting an ASbAT.</w:t>
      </w:r>
      <w:r w:rsidR="00A4672D" w:rsidRPr="00AC2F94">
        <w:rPr>
          <w:rFonts w:ascii="Arial" w:hAnsi="Arial" w:cs="Arial"/>
          <w:sz w:val="24"/>
          <w:szCs w:val="24"/>
        </w:rPr>
        <w:t xml:space="preserve">  The ASbAT </w:t>
      </w:r>
      <w:r w:rsidRPr="00AC2F94">
        <w:rPr>
          <w:rFonts w:ascii="Arial" w:hAnsi="Arial" w:cs="Arial"/>
          <w:sz w:val="24"/>
          <w:szCs w:val="24"/>
        </w:rPr>
        <w:t xml:space="preserve">is most likely </w:t>
      </w:r>
      <w:r w:rsidRPr="00AC2F94">
        <w:rPr>
          <w:rFonts w:ascii="Arial" w:hAnsi="Arial" w:cs="Arial"/>
          <w:sz w:val="24"/>
          <w:szCs w:val="24"/>
        </w:rPr>
        <w:lastRenderedPageBreak/>
        <w:t xml:space="preserve">the young person’s first job and time and effort must be given to ensure that young person has the </w:t>
      </w:r>
      <w:r w:rsidR="00A4672D" w:rsidRPr="00AC2F94">
        <w:rPr>
          <w:rFonts w:ascii="Arial" w:hAnsi="Arial" w:cs="Arial"/>
          <w:sz w:val="24"/>
          <w:szCs w:val="24"/>
        </w:rPr>
        <w:t>understanding, skills, commitment and is ‘work ready’ before starting. Currently</w:t>
      </w:r>
      <w:r w:rsidR="007D1C30" w:rsidRPr="00AC2F94">
        <w:rPr>
          <w:rFonts w:ascii="Arial" w:hAnsi="Arial" w:cs="Arial"/>
          <w:sz w:val="24"/>
          <w:szCs w:val="24"/>
        </w:rPr>
        <w:t>,</w:t>
      </w:r>
      <w:r w:rsidR="00A4672D" w:rsidRPr="00AC2F94">
        <w:rPr>
          <w:rFonts w:ascii="Arial" w:hAnsi="Arial" w:cs="Arial"/>
          <w:sz w:val="24"/>
          <w:szCs w:val="24"/>
        </w:rPr>
        <w:t xml:space="preserve"> DES provider is not funded to provide the support to prepare a Year 11 student for an ASbAT. </w:t>
      </w:r>
    </w:p>
    <w:p w14:paraId="5A76B35D" w14:textId="77777777" w:rsidR="00AC755A" w:rsidRPr="00AC2F94" w:rsidRDefault="00051835" w:rsidP="00386B89">
      <w:pPr>
        <w:spacing w:after="120" w:line="276" w:lineRule="auto"/>
        <w:rPr>
          <w:rFonts w:ascii="Arial" w:hAnsi="Arial" w:cs="Arial"/>
          <w:sz w:val="24"/>
          <w:szCs w:val="24"/>
        </w:rPr>
      </w:pPr>
      <w:r w:rsidRPr="00AC2F94">
        <w:rPr>
          <w:rFonts w:ascii="Arial" w:hAnsi="Arial" w:cs="Arial"/>
          <w:b/>
          <w:sz w:val="24"/>
          <w:szCs w:val="24"/>
        </w:rPr>
        <w:t>Recommendation:</w:t>
      </w:r>
      <w:r w:rsidRPr="00AC2F94">
        <w:rPr>
          <w:rFonts w:ascii="Arial" w:hAnsi="Arial" w:cs="Arial"/>
          <w:sz w:val="24"/>
          <w:szCs w:val="24"/>
        </w:rPr>
        <w:t xml:space="preserve"> </w:t>
      </w:r>
    </w:p>
    <w:p w14:paraId="16CBEA41" w14:textId="77777777" w:rsidR="00880FCE" w:rsidRPr="00AC2F94" w:rsidRDefault="00880FCE" w:rsidP="001A29FC">
      <w:pPr>
        <w:spacing w:after="120" w:line="276" w:lineRule="auto"/>
        <w:rPr>
          <w:rFonts w:ascii="Arial" w:hAnsi="Arial" w:cs="Arial"/>
          <w:sz w:val="24"/>
          <w:szCs w:val="24"/>
        </w:rPr>
      </w:pPr>
      <w:r w:rsidRPr="00AC2F94">
        <w:rPr>
          <w:rFonts w:ascii="Arial" w:hAnsi="Arial" w:cs="Arial"/>
          <w:sz w:val="24"/>
          <w:szCs w:val="24"/>
        </w:rPr>
        <w:t xml:space="preserve">ASbATs </w:t>
      </w:r>
      <w:r w:rsidRPr="00AC2F94">
        <w:rPr>
          <w:rFonts w:ascii="Arial" w:hAnsi="Arial" w:cs="Arial"/>
          <w:b/>
          <w:sz w:val="24"/>
          <w:szCs w:val="24"/>
        </w:rPr>
        <w:t>should not</w:t>
      </w:r>
      <w:r w:rsidRPr="00AC2F94">
        <w:rPr>
          <w:rFonts w:ascii="Arial" w:hAnsi="Arial" w:cs="Arial"/>
          <w:sz w:val="24"/>
          <w:szCs w:val="24"/>
        </w:rPr>
        <w:t xml:space="preserve"> be exempt from job placement fees.  DES provid</w:t>
      </w:r>
      <w:r w:rsidR="00675A43" w:rsidRPr="00AC2F94">
        <w:rPr>
          <w:rFonts w:ascii="Arial" w:hAnsi="Arial" w:cs="Arial"/>
          <w:sz w:val="24"/>
          <w:szCs w:val="24"/>
        </w:rPr>
        <w:t>ers should be able to register Y</w:t>
      </w:r>
      <w:r w:rsidRPr="00AC2F94">
        <w:rPr>
          <w:rFonts w:ascii="Arial" w:hAnsi="Arial" w:cs="Arial"/>
          <w:sz w:val="24"/>
          <w:szCs w:val="24"/>
        </w:rPr>
        <w:t>ear 11 student</w:t>
      </w:r>
      <w:r w:rsidR="007D1C30" w:rsidRPr="00AC2F94">
        <w:rPr>
          <w:rFonts w:ascii="Arial" w:hAnsi="Arial" w:cs="Arial"/>
          <w:sz w:val="24"/>
          <w:szCs w:val="24"/>
        </w:rPr>
        <w:t>s who</w:t>
      </w:r>
      <w:r w:rsidRPr="00AC2F94">
        <w:rPr>
          <w:rFonts w:ascii="Arial" w:hAnsi="Arial" w:cs="Arial"/>
          <w:sz w:val="24"/>
          <w:szCs w:val="24"/>
        </w:rPr>
        <w:t xml:space="preserve"> wish to undertake an ASbAT to provide the support and preparation for an ASbAT to ensure a successful account. </w:t>
      </w:r>
    </w:p>
    <w:p w14:paraId="27E66F92" w14:textId="77777777" w:rsidR="00880FCE" w:rsidRPr="00AC2F94" w:rsidRDefault="00880FCE" w:rsidP="008445FB">
      <w:pPr>
        <w:pStyle w:val="Heading1"/>
        <w:spacing w:before="0" w:after="120" w:line="276" w:lineRule="auto"/>
        <w:rPr>
          <w:rFonts w:ascii="Arial" w:hAnsi="Arial" w:cs="Arial"/>
          <w:color w:val="auto"/>
          <w:sz w:val="24"/>
          <w:szCs w:val="24"/>
        </w:rPr>
      </w:pPr>
    </w:p>
    <w:p w14:paraId="4E52F11B" w14:textId="77777777" w:rsidR="000063BB" w:rsidRPr="00AC2F94" w:rsidRDefault="000063BB" w:rsidP="009A1187">
      <w:pPr>
        <w:pStyle w:val="Heading1"/>
        <w:spacing w:before="0" w:after="120" w:line="276" w:lineRule="auto"/>
        <w:rPr>
          <w:rFonts w:ascii="Arial" w:hAnsi="Arial" w:cs="Arial"/>
          <w:color w:val="auto"/>
          <w:sz w:val="24"/>
          <w:szCs w:val="24"/>
        </w:rPr>
      </w:pPr>
      <w:bookmarkStart w:id="16" w:name="_Toc419281999"/>
      <w:r w:rsidRPr="00AC2F94">
        <w:rPr>
          <w:rFonts w:ascii="Arial" w:hAnsi="Arial" w:cs="Arial"/>
          <w:color w:val="auto"/>
          <w:sz w:val="24"/>
          <w:szCs w:val="24"/>
        </w:rPr>
        <w:t>Other Matters</w:t>
      </w:r>
      <w:bookmarkEnd w:id="16"/>
    </w:p>
    <w:p w14:paraId="5EF87412" w14:textId="77777777" w:rsidR="00F47FC9" w:rsidRPr="00AC2F94" w:rsidRDefault="004C0539" w:rsidP="007D77C5">
      <w:pPr>
        <w:spacing w:after="120" w:line="276" w:lineRule="auto"/>
        <w:rPr>
          <w:rFonts w:ascii="Arial" w:hAnsi="Arial" w:cs="Arial"/>
          <w:sz w:val="24"/>
          <w:szCs w:val="24"/>
        </w:rPr>
      </w:pPr>
      <w:r w:rsidRPr="00AC2F94">
        <w:rPr>
          <w:rFonts w:ascii="Arial" w:hAnsi="Arial" w:cs="Arial"/>
          <w:sz w:val="24"/>
          <w:szCs w:val="24"/>
        </w:rPr>
        <w:t xml:space="preserve">We </w:t>
      </w:r>
      <w:r w:rsidR="007D1C30" w:rsidRPr="00AC2F94">
        <w:rPr>
          <w:rFonts w:ascii="Arial" w:hAnsi="Arial" w:cs="Arial"/>
          <w:sz w:val="24"/>
          <w:szCs w:val="24"/>
        </w:rPr>
        <w:t>believe</w:t>
      </w:r>
      <w:r w:rsidRPr="00AC2F94">
        <w:rPr>
          <w:rFonts w:ascii="Arial" w:hAnsi="Arial" w:cs="Arial"/>
          <w:sz w:val="24"/>
          <w:szCs w:val="24"/>
        </w:rPr>
        <w:t xml:space="preserve"> </w:t>
      </w:r>
      <w:r w:rsidR="00736A80" w:rsidRPr="00AC2F94">
        <w:rPr>
          <w:rFonts w:ascii="Arial" w:hAnsi="Arial" w:cs="Arial"/>
          <w:sz w:val="24"/>
          <w:szCs w:val="24"/>
        </w:rPr>
        <w:t>there are</w:t>
      </w:r>
      <w:r w:rsidR="000063BB" w:rsidRPr="00AC2F94">
        <w:rPr>
          <w:rFonts w:ascii="Arial" w:hAnsi="Arial" w:cs="Arial"/>
          <w:sz w:val="24"/>
          <w:szCs w:val="24"/>
        </w:rPr>
        <w:t xml:space="preserve"> some other matters that may affect </w:t>
      </w:r>
      <w:r w:rsidR="007D1C30" w:rsidRPr="00AC2F94">
        <w:rPr>
          <w:rFonts w:ascii="Arial" w:hAnsi="Arial" w:cs="Arial"/>
          <w:sz w:val="24"/>
          <w:szCs w:val="24"/>
        </w:rPr>
        <w:t>ASbATs</w:t>
      </w:r>
      <w:r w:rsidR="000063BB" w:rsidRPr="00AC2F94">
        <w:rPr>
          <w:rFonts w:ascii="Arial" w:hAnsi="Arial" w:cs="Arial"/>
          <w:sz w:val="24"/>
          <w:szCs w:val="24"/>
        </w:rPr>
        <w:t xml:space="preserve"> ability to support young people with disability through their transition and pathways planning periods</w:t>
      </w:r>
      <w:r w:rsidRPr="00AC2F94">
        <w:rPr>
          <w:rFonts w:ascii="Arial" w:hAnsi="Arial" w:cs="Arial"/>
          <w:sz w:val="24"/>
          <w:szCs w:val="24"/>
        </w:rPr>
        <w:t xml:space="preserve"> that </w:t>
      </w:r>
      <w:r w:rsidR="007D1C30" w:rsidRPr="00AC2F94">
        <w:rPr>
          <w:rFonts w:ascii="Arial" w:hAnsi="Arial" w:cs="Arial"/>
          <w:sz w:val="24"/>
          <w:szCs w:val="24"/>
        </w:rPr>
        <w:t>are</w:t>
      </w:r>
      <w:r w:rsidRPr="00AC2F94">
        <w:rPr>
          <w:rFonts w:ascii="Arial" w:hAnsi="Arial" w:cs="Arial"/>
          <w:sz w:val="24"/>
          <w:szCs w:val="24"/>
        </w:rPr>
        <w:t xml:space="preserve"> not associated with the DES </w:t>
      </w:r>
      <w:r w:rsidR="00736A80" w:rsidRPr="00AC2F94">
        <w:rPr>
          <w:rFonts w:ascii="Arial" w:hAnsi="Arial" w:cs="Arial"/>
          <w:sz w:val="24"/>
          <w:szCs w:val="24"/>
        </w:rPr>
        <w:t>guidelines</w:t>
      </w:r>
      <w:r w:rsidR="000063BB" w:rsidRPr="00AC2F94">
        <w:rPr>
          <w:rFonts w:ascii="Arial" w:hAnsi="Arial" w:cs="Arial"/>
          <w:sz w:val="24"/>
          <w:szCs w:val="24"/>
        </w:rPr>
        <w:t>.</w:t>
      </w:r>
    </w:p>
    <w:p w14:paraId="7C89B984" w14:textId="77777777" w:rsidR="000063BB" w:rsidRPr="00AC2F94" w:rsidRDefault="000063BB" w:rsidP="007D77C5">
      <w:pPr>
        <w:pStyle w:val="Heading2"/>
        <w:spacing w:before="0" w:after="120" w:line="276" w:lineRule="auto"/>
        <w:rPr>
          <w:rFonts w:ascii="Arial" w:hAnsi="Arial" w:cs="Arial"/>
          <w:color w:val="auto"/>
          <w:sz w:val="24"/>
          <w:szCs w:val="24"/>
        </w:rPr>
      </w:pPr>
      <w:bookmarkStart w:id="17" w:name="_Toc419282000"/>
      <w:r w:rsidRPr="00AC2F94">
        <w:rPr>
          <w:rFonts w:ascii="Arial" w:hAnsi="Arial" w:cs="Arial"/>
          <w:color w:val="auto"/>
          <w:sz w:val="24"/>
          <w:szCs w:val="24"/>
        </w:rPr>
        <w:lastRenderedPageBreak/>
        <w:t xml:space="preserve">Use of </w:t>
      </w:r>
      <w:r w:rsidR="00080261" w:rsidRPr="00AC2F94">
        <w:rPr>
          <w:rFonts w:ascii="Arial" w:hAnsi="Arial" w:cs="Arial"/>
          <w:color w:val="auto"/>
          <w:sz w:val="24"/>
          <w:szCs w:val="24"/>
        </w:rPr>
        <w:t>A</w:t>
      </w:r>
      <w:r w:rsidRPr="00AC2F94">
        <w:rPr>
          <w:rFonts w:ascii="Arial" w:hAnsi="Arial" w:cs="Arial"/>
          <w:color w:val="auto"/>
          <w:sz w:val="24"/>
          <w:szCs w:val="24"/>
        </w:rPr>
        <w:t xml:space="preserve">ssessment </w:t>
      </w:r>
      <w:r w:rsidR="00080261" w:rsidRPr="00AC2F94">
        <w:rPr>
          <w:rFonts w:ascii="Arial" w:hAnsi="Arial" w:cs="Arial"/>
          <w:color w:val="auto"/>
          <w:sz w:val="24"/>
          <w:szCs w:val="24"/>
        </w:rPr>
        <w:t>(</w:t>
      </w:r>
      <w:r w:rsidRPr="00AC2F94">
        <w:rPr>
          <w:rFonts w:ascii="Arial" w:hAnsi="Arial" w:cs="Arial"/>
          <w:color w:val="auto"/>
          <w:sz w:val="24"/>
          <w:szCs w:val="24"/>
        </w:rPr>
        <w:t>such as the ESAt or JCA</w:t>
      </w:r>
      <w:r w:rsidR="00080261" w:rsidRPr="00AC2F94">
        <w:rPr>
          <w:rFonts w:ascii="Arial" w:hAnsi="Arial" w:cs="Arial"/>
          <w:color w:val="auto"/>
          <w:sz w:val="24"/>
          <w:szCs w:val="24"/>
        </w:rPr>
        <w:t>)</w:t>
      </w:r>
      <w:r w:rsidRPr="00AC2F94">
        <w:rPr>
          <w:rFonts w:ascii="Arial" w:hAnsi="Arial" w:cs="Arial"/>
          <w:color w:val="auto"/>
          <w:sz w:val="24"/>
          <w:szCs w:val="24"/>
        </w:rPr>
        <w:t>.</w:t>
      </w:r>
      <w:bookmarkEnd w:id="17"/>
      <w:r w:rsidRPr="00AC2F94">
        <w:rPr>
          <w:rFonts w:ascii="Arial" w:hAnsi="Arial" w:cs="Arial"/>
          <w:color w:val="auto"/>
          <w:sz w:val="24"/>
          <w:szCs w:val="24"/>
        </w:rPr>
        <w:t xml:space="preserve"> </w:t>
      </w:r>
    </w:p>
    <w:p w14:paraId="4A9EFB22" w14:textId="77777777" w:rsidR="00F47FC9" w:rsidRPr="00AC2F94" w:rsidRDefault="000063BB" w:rsidP="004A4EF8">
      <w:pPr>
        <w:keepNext/>
        <w:spacing w:after="120" w:line="276" w:lineRule="auto"/>
        <w:rPr>
          <w:rFonts w:ascii="Arial" w:hAnsi="Arial" w:cs="Arial"/>
          <w:sz w:val="24"/>
          <w:szCs w:val="24"/>
        </w:rPr>
      </w:pPr>
      <w:r w:rsidRPr="00AC2F94">
        <w:rPr>
          <w:rFonts w:ascii="Arial" w:hAnsi="Arial" w:cs="Arial"/>
          <w:sz w:val="24"/>
          <w:szCs w:val="24"/>
        </w:rPr>
        <w:t xml:space="preserve">We </w:t>
      </w:r>
      <w:r w:rsidR="007D1C30" w:rsidRPr="00AC2F94">
        <w:rPr>
          <w:rFonts w:ascii="Arial" w:hAnsi="Arial" w:cs="Arial"/>
          <w:sz w:val="24"/>
          <w:szCs w:val="24"/>
        </w:rPr>
        <w:t>re</w:t>
      </w:r>
      <w:r w:rsidRPr="00AC2F94">
        <w:rPr>
          <w:rFonts w:ascii="Arial" w:hAnsi="Arial" w:cs="Arial"/>
          <w:sz w:val="24"/>
          <w:szCs w:val="24"/>
        </w:rPr>
        <w:t xml:space="preserve">commend that an ESAt and JCA </w:t>
      </w:r>
      <w:r w:rsidR="007D1C30" w:rsidRPr="00AC2F94">
        <w:rPr>
          <w:rFonts w:ascii="Arial" w:hAnsi="Arial" w:cs="Arial"/>
          <w:sz w:val="24"/>
          <w:szCs w:val="24"/>
        </w:rPr>
        <w:t>are</w:t>
      </w:r>
      <w:r w:rsidRPr="00AC2F94">
        <w:rPr>
          <w:rFonts w:ascii="Arial" w:hAnsi="Arial" w:cs="Arial"/>
          <w:sz w:val="24"/>
          <w:szCs w:val="24"/>
        </w:rPr>
        <w:t xml:space="preserve"> not required for direct registration of a student with a DES provider. However, we have some concerns </w:t>
      </w:r>
      <w:r w:rsidR="007D1C30" w:rsidRPr="00AC2F94">
        <w:rPr>
          <w:rFonts w:ascii="Arial" w:hAnsi="Arial" w:cs="Arial"/>
          <w:sz w:val="24"/>
          <w:szCs w:val="24"/>
        </w:rPr>
        <w:t>about</w:t>
      </w:r>
      <w:r w:rsidRPr="00AC2F94">
        <w:rPr>
          <w:rFonts w:ascii="Arial" w:hAnsi="Arial" w:cs="Arial"/>
          <w:sz w:val="24"/>
          <w:szCs w:val="24"/>
        </w:rPr>
        <w:t xml:space="preserve"> the use of assessment</w:t>
      </w:r>
      <w:r w:rsidR="007D1C30" w:rsidRPr="00AC2F94">
        <w:rPr>
          <w:rFonts w:ascii="Arial" w:hAnsi="Arial" w:cs="Arial"/>
          <w:sz w:val="24"/>
          <w:szCs w:val="24"/>
        </w:rPr>
        <w:t>s</w:t>
      </w:r>
      <w:r w:rsidRPr="00AC2F94">
        <w:rPr>
          <w:rFonts w:ascii="Arial" w:hAnsi="Arial" w:cs="Arial"/>
          <w:sz w:val="24"/>
          <w:szCs w:val="24"/>
        </w:rPr>
        <w:t xml:space="preserve"> that may encourage or stream a particular pathway (eg ADE, day service, open employment) for an individual without proper career development or self-determination.  This includes the current School Leaver Integrated Transition Pathway to Employment project as part of the National Disability Insurance Scheme (NDIS). </w:t>
      </w:r>
    </w:p>
    <w:p w14:paraId="50151CB2" w14:textId="77777777" w:rsidR="00675A43" w:rsidRPr="00AC2F94" w:rsidRDefault="000063BB" w:rsidP="00D457C4">
      <w:pPr>
        <w:pStyle w:val="Default"/>
        <w:spacing w:after="120" w:line="276" w:lineRule="auto"/>
        <w:rPr>
          <w:rFonts w:ascii="Arial" w:hAnsi="Arial" w:cs="Arial"/>
        </w:rPr>
      </w:pPr>
      <w:r w:rsidRPr="00AC2F94">
        <w:rPr>
          <w:rFonts w:ascii="Arial" w:hAnsi="Arial" w:cs="Arial"/>
          <w:color w:val="auto"/>
        </w:rPr>
        <w:t xml:space="preserve">When doing the scoping research into </w:t>
      </w:r>
      <w:r w:rsidR="0098561F" w:rsidRPr="00AC2F94">
        <w:rPr>
          <w:rFonts w:ascii="Arial" w:hAnsi="Arial" w:cs="Arial"/>
          <w:color w:val="auto"/>
        </w:rPr>
        <w:t>Ticket to Work</w:t>
      </w:r>
      <w:r w:rsidR="00101B75" w:rsidRPr="00AC2F94">
        <w:rPr>
          <w:rFonts w:ascii="Arial" w:hAnsi="Arial" w:cs="Arial"/>
          <w:color w:val="auto"/>
        </w:rPr>
        <w:t xml:space="preserve"> ASb</w:t>
      </w:r>
      <w:r w:rsidRPr="00AC2F94">
        <w:rPr>
          <w:rFonts w:ascii="Arial" w:hAnsi="Arial" w:cs="Arial"/>
          <w:color w:val="auto"/>
        </w:rPr>
        <w:t>ATs</w:t>
      </w:r>
      <w:r w:rsidR="00675A43" w:rsidRPr="00AC2F94">
        <w:rPr>
          <w:rFonts w:ascii="Arial" w:hAnsi="Arial" w:cs="Arial"/>
          <w:color w:val="auto"/>
        </w:rPr>
        <w:t>,</w:t>
      </w:r>
      <w:r w:rsidRPr="00AC2F94">
        <w:rPr>
          <w:rFonts w:ascii="Arial" w:hAnsi="Arial" w:cs="Arial"/>
          <w:color w:val="auto"/>
        </w:rPr>
        <w:t xml:space="preserve"> we explored what the effect of a person</w:t>
      </w:r>
      <w:r w:rsidR="00A97EC3" w:rsidRPr="00AC2F94">
        <w:rPr>
          <w:rFonts w:ascii="Arial" w:hAnsi="Arial" w:cs="Arial"/>
          <w:color w:val="auto"/>
        </w:rPr>
        <w:t>’s</w:t>
      </w:r>
      <w:r w:rsidRPr="00AC2F94">
        <w:rPr>
          <w:rFonts w:ascii="Arial" w:hAnsi="Arial" w:cs="Arial"/>
          <w:color w:val="auto"/>
        </w:rPr>
        <w:t xml:space="preserve"> disability on their ability to complete a traineeship or apprenticeship (Wakeford M, Waugh, F 2010). Interesting</w:t>
      </w:r>
      <w:r w:rsidR="00A97EC3" w:rsidRPr="00AC2F94">
        <w:rPr>
          <w:rFonts w:ascii="Arial" w:hAnsi="Arial" w:cs="Arial"/>
          <w:color w:val="auto"/>
        </w:rPr>
        <w:t>ly,</w:t>
      </w:r>
      <w:r w:rsidRPr="00AC2F94">
        <w:rPr>
          <w:rFonts w:ascii="Arial" w:hAnsi="Arial" w:cs="Arial"/>
          <w:color w:val="auto"/>
        </w:rPr>
        <w:t xml:space="preserve"> the research showed us that it was not </w:t>
      </w:r>
      <w:r w:rsidR="007D1C30" w:rsidRPr="00AC2F94">
        <w:rPr>
          <w:rFonts w:ascii="Arial" w:hAnsi="Arial" w:cs="Arial"/>
          <w:color w:val="auto"/>
        </w:rPr>
        <w:t>a</w:t>
      </w:r>
      <w:r w:rsidR="001A29FC" w:rsidRPr="00AC2F94">
        <w:rPr>
          <w:rFonts w:ascii="Arial" w:hAnsi="Arial" w:cs="Arial"/>
          <w:color w:val="auto"/>
        </w:rPr>
        <w:t xml:space="preserve"> </w:t>
      </w:r>
      <w:r w:rsidRPr="00AC2F94">
        <w:rPr>
          <w:rFonts w:ascii="Arial" w:hAnsi="Arial" w:cs="Arial"/>
          <w:color w:val="auto"/>
        </w:rPr>
        <w:t>person</w:t>
      </w:r>
      <w:r w:rsidR="00A97EC3" w:rsidRPr="00AC2F94">
        <w:rPr>
          <w:rFonts w:ascii="Arial" w:hAnsi="Arial" w:cs="Arial"/>
          <w:color w:val="auto"/>
        </w:rPr>
        <w:t>’s disability that a</w:t>
      </w:r>
      <w:r w:rsidRPr="00AC2F94">
        <w:rPr>
          <w:rFonts w:ascii="Arial" w:hAnsi="Arial" w:cs="Arial"/>
          <w:color w:val="auto"/>
        </w:rPr>
        <w:t>ffect</w:t>
      </w:r>
      <w:r w:rsidR="00A97EC3" w:rsidRPr="00AC2F94">
        <w:rPr>
          <w:rFonts w:ascii="Arial" w:hAnsi="Arial" w:cs="Arial"/>
          <w:color w:val="auto"/>
        </w:rPr>
        <w:t>s</w:t>
      </w:r>
      <w:r w:rsidRPr="00AC2F94">
        <w:rPr>
          <w:rFonts w:ascii="Arial" w:hAnsi="Arial" w:cs="Arial"/>
          <w:color w:val="auto"/>
        </w:rPr>
        <w:t xml:space="preserve"> com</w:t>
      </w:r>
      <w:r w:rsidR="00A97EC3" w:rsidRPr="00AC2F94">
        <w:rPr>
          <w:rFonts w:ascii="Arial" w:hAnsi="Arial" w:cs="Arial"/>
          <w:color w:val="auto"/>
        </w:rPr>
        <w:t>pletion rates</w:t>
      </w:r>
      <w:r w:rsidR="007D1C30" w:rsidRPr="00AC2F94">
        <w:rPr>
          <w:rFonts w:ascii="Arial" w:hAnsi="Arial" w:cs="Arial"/>
          <w:color w:val="auto"/>
        </w:rPr>
        <w:t>,</w:t>
      </w:r>
      <w:r w:rsidR="001A29FC" w:rsidRPr="00AC2F94">
        <w:rPr>
          <w:rFonts w:ascii="Arial" w:hAnsi="Arial" w:cs="Arial"/>
          <w:color w:val="auto"/>
        </w:rPr>
        <w:t xml:space="preserve"> but</w:t>
      </w:r>
      <w:r w:rsidR="00A97EC3" w:rsidRPr="00AC2F94">
        <w:rPr>
          <w:rFonts w:ascii="Arial" w:hAnsi="Arial" w:cs="Arial"/>
          <w:color w:val="auto"/>
        </w:rPr>
        <w:t xml:space="preserve"> personality traits including</w:t>
      </w:r>
      <w:r w:rsidRPr="00AC2F94">
        <w:rPr>
          <w:rFonts w:ascii="Arial" w:hAnsi="Arial" w:cs="Arial"/>
          <w:color w:val="auto"/>
        </w:rPr>
        <w:t xml:space="preserve">: </w:t>
      </w:r>
    </w:p>
    <w:p w14:paraId="54FAAE3B" w14:textId="77777777" w:rsidR="00F47FC9" w:rsidRPr="00AC2F94" w:rsidRDefault="000063BB" w:rsidP="00D457C4">
      <w:pPr>
        <w:pStyle w:val="Default"/>
        <w:numPr>
          <w:ilvl w:val="0"/>
          <w:numId w:val="17"/>
        </w:numPr>
        <w:spacing w:after="120" w:line="276" w:lineRule="auto"/>
        <w:contextualSpacing/>
        <w:rPr>
          <w:rFonts w:ascii="Arial" w:hAnsi="Arial" w:cs="Arial"/>
          <w:color w:val="auto"/>
        </w:rPr>
      </w:pPr>
      <w:r w:rsidRPr="00AC2F94">
        <w:rPr>
          <w:rFonts w:ascii="Arial" w:hAnsi="Arial" w:cs="Arial"/>
          <w:color w:val="auto"/>
        </w:rPr>
        <w:lastRenderedPageBreak/>
        <w:t>Strong sense of self efficacy</w:t>
      </w:r>
      <w:r w:rsidR="00A97EC3" w:rsidRPr="00AC2F94">
        <w:rPr>
          <w:rFonts w:ascii="Arial" w:hAnsi="Arial" w:cs="Arial"/>
          <w:color w:val="auto"/>
        </w:rPr>
        <w:t>;</w:t>
      </w:r>
      <w:r w:rsidRPr="00AC2F94">
        <w:rPr>
          <w:rFonts w:ascii="Arial" w:hAnsi="Arial" w:cs="Arial"/>
          <w:color w:val="auto"/>
        </w:rPr>
        <w:t xml:space="preserve"> </w:t>
      </w:r>
    </w:p>
    <w:p w14:paraId="2FFAF7E8" w14:textId="77777777" w:rsidR="00F47FC9" w:rsidRPr="00AC2F94" w:rsidRDefault="000063BB" w:rsidP="00D457C4">
      <w:pPr>
        <w:pStyle w:val="Default"/>
        <w:numPr>
          <w:ilvl w:val="0"/>
          <w:numId w:val="17"/>
        </w:numPr>
        <w:spacing w:after="120" w:line="276" w:lineRule="auto"/>
        <w:contextualSpacing/>
        <w:rPr>
          <w:rFonts w:ascii="Arial" w:hAnsi="Arial" w:cs="Arial"/>
          <w:color w:val="auto"/>
        </w:rPr>
      </w:pPr>
      <w:r w:rsidRPr="00AC2F94">
        <w:rPr>
          <w:rFonts w:ascii="Arial" w:hAnsi="Arial" w:cs="Arial"/>
          <w:color w:val="auto"/>
        </w:rPr>
        <w:t>Personal agency</w:t>
      </w:r>
      <w:r w:rsidR="00A97EC3" w:rsidRPr="00AC2F94">
        <w:rPr>
          <w:rFonts w:ascii="Arial" w:hAnsi="Arial" w:cs="Arial"/>
          <w:color w:val="auto"/>
        </w:rPr>
        <w:t>;</w:t>
      </w:r>
      <w:r w:rsidRPr="00AC2F94">
        <w:rPr>
          <w:rFonts w:ascii="Arial" w:hAnsi="Arial" w:cs="Arial"/>
          <w:color w:val="auto"/>
        </w:rPr>
        <w:t xml:space="preserve"> </w:t>
      </w:r>
    </w:p>
    <w:p w14:paraId="4A055D64" w14:textId="77777777" w:rsidR="00F47FC9" w:rsidRPr="00AC2F94" w:rsidRDefault="000063BB" w:rsidP="00D457C4">
      <w:pPr>
        <w:pStyle w:val="Default"/>
        <w:numPr>
          <w:ilvl w:val="0"/>
          <w:numId w:val="17"/>
        </w:numPr>
        <w:spacing w:after="120" w:line="276" w:lineRule="auto"/>
        <w:contextualSpacing/>
        <w:rPr>
          <w:rFonts w:ascii="Arial" w:hAnsi="Arial" w:cs="Arial"/>
          <w:color w:val="auto"/>
        </w:rPr>
      </w:pPr>
      <w:r w:rsidRPr="00AC2F94">
        <w:rPr>
          <w:rFonts w:ascii="Arial" w:hAnsi="Arial" w:cs="Arial"/>
          <w:color w:val="auto"/>
        </w:rPr>
        <w:t>Positive attitude</w:t>
      </w:r>
      <w:r w:rsidR="00A97EC3" w:rsidRPr="00AC2F94">
        <w:rPr>
          <w:rFonts w:ascii="Arial" w:hAnsi="Arial" w:cs="Arial"/>
          <w:color w:val="auto"/>
        </w:rPr>
        <w:t>; and,</w:t>
      </w:r>
    </w:p>
    <w:p w14:paraId="4ADCA490" w14:textId="77777777" w:rsidR="00F47FC9" w:rsidRPr="00AC2F94" w:rsidRDefault="000063BB" w:rsidP="00D457C4">
      <w:pPr>
        <w:pStyle w:val="Default"/>
        <w:numPr>
          <w:ilvl w:val="0"/>
          <w:numId w:val="17"/>
        </w:numPr>
        <w:spacing w:after="120" w:line="276" w:lineRule="auto"/>
        <w:contextualSpacing/>
        <w:rPr>
          <w:rFonts w:ascii="Arial" w:hAnsi="Arial" w:cs="Arial"/>
          <w:color w:val="auto"/>
        </w:rPr>
      </w:pPr>
      <w:r w:rsidRPr="00AC2F94">
        <w:rPr>
          <w:rFonts w:ascii="Arial" w:hAnsi="Arial" w:cs="Arial"/>
          <w:color w:val="auto"/>
        </w:rPr>
        <w:t xml:space="preserve">Commitment to the industry and/or the job.  </w:t>
      </w:r>
    </w:p>
    <w:p w14:paraId="0DA1FCFC" w14:textId="77777777" w:rsidR="001D5278" w:rsidRPr="00AC2F94" w:rsidRDefault="001D5278" w:rsidP="00386B89">
      <w:pPr>
        <w:pStyle w:val="Default"/>
        <w:spacing w:after="120" w:line="276" w:lineRule="auto"/>
        <w:ind w:left="2160" w:hanging="2160"/>
        <w:contextualSpacing/>
        <w:rPr>
          <w:rFonts w:ascii="Arial" w:hAnsi="Arial" w:cs="Arial"/>
          <w:color w:val="auto"/>
          <w:sz w:val="6"/>
          <w:szCs w:val="6"/>
        </w:rPr>
      </w:pPr>
    </w:p>
    <w:p w14:paraId="1A730CC4" w14:textId="77777777" w:rsidR="000063BB" w:rsidRPr="00AC2F94" w:rsidRDefault="000063BB" w:rsidP="00386B89">
      <w:pPr>
        <w:pStyle w:val="Default"/>
        <w:spacing w:after="120" w:line="276" w:lineRule="auto"/>
        <w:rPr>
          <w:rFonts w:ascii="Arial" w:hAnsi="Arial" w:cs="Arial"/>
          <w:color w:val="auto"/>
        </w:rPr>
      </w:pPr>
      <w:r w:rsidRPr="00AC2F94">
        <w:rPr>
          <w:rFonts w:ascii="Arial" w:hAnsi="Arial" w:cs="Arial"/>
          <w:color w:val="auto"/>
        </w:rPr>
        <w:t>When we explored these elements</w:t>
      </w:r>
      <w:r w:rsidR="007D1C30" w:rsidRPr="00AC2F94">
        <w:rPr>
          <w:rFonts w:ascii="Arial" w:hAnsi="Arial" w:cs="Arial"/>
          <w:color w:val="auto"/>
        </w:rPr>
        <w:t>,</w:t>
      </w:r>
      <w:r w:rsidRPr="00AC2F94">
        <w:rPr>
          <w:rFonts w:ascii="Arial" w:hAnsi="Arial" w:cs="Arial"/>
          <w:color w:val="auto"/>
        </w:rPr>
        <w:t xml:space="preserve"> we found that they are teachable skills and qualities. </w:t>
      </w:r>
    </w:p>
    <w:p w14:paraId="4ABD7E0A" w14:textId="1C4CBA9A" w:rsidR="00D457C4" w:rsidRPr="00AC2F94" w:rsidRDefault="000063BB" w:rsidP="00386B89">
      <w:pPr>
        <w:pStyle w:val="Default"/>
        <w:spacing w:after="120" w:line="276" w:lineRule="auto"/>
        <w:rPr>
          <w:rFonts w:ascii="Arial" w:hAnsi="Arial" w:cs="Arial"/>
          <w:color w:val="auto"/>
        </w:rPr>
      </w:pPr>
      <w:r w:rsidRPr="00AC2F94">
        <w:rPr>
          <w:rFonts w:ascii="Arial" w:hAnsi="Arial" w:cs="Arial"/>
          <w:color w:val="auto"/>
        </w:rPr>
        <w:t xml:space="preserve">We are concerned that a person </w:t>
      </w:r>
      <w:r w:rsidR="00A97EC3" w:rsidRPr="00AC2F94">
        <w:rPr>
          <w:rFonts w:ascii="Arial" w:hAnsi="Arial" w:cs="Arial"/>
          <w:color w:val="auto"/>
        </w:rPr>
        <w:t xml:space="preserve">with </w:t>
      </w:r>
      <w:r w:rsidR="007D1C30" w:rsidRPr="00AC2F94">
        <w:rPr>
          <w:rFonts w:ascii="Arial" w:hAnsi="Arial" w:cs="Arial"/>
          <w:color w:val="auto"/>
        </w:rPr>
        <w:t xml:space="preserve">a </w:t>
      </w:r>
      <w:r w:rsidRPr="00AC2F94">
        <w:rPr>
          <w:rFonts w:ascii="Arial" w:hAnsi="Arial" w:cs="Arial"/>
          <w:color w:val="auto"/>
        </w:rPr>
        <w:t>disability would be assessed at school to determine their pathway and preparation for that post</w:t>
      </w:r>
      <w:r w:rsidR="007D1C30" w:rsidRPr="00AC2F94">
        <w:rPr>
          <w:rFonts w:ascii="Arial" w:hAnsi="Arial" w:cs="Arial"/>
          <w:color w:val="auto"/>
        </w:rPr>
        <w:t>-</w:t>
      </w:r>
      <w:r w:rsidRPr="00AC2F94">
        <w:rPr>
          <w:rFonts w:ascii="Arial" w:hAnsi="Arial" w:cs="Arial"/>
          <w:color w:val="auto"/>
        </w:rPr>
        <w:t>school placement. We feel the current assessment do</w:t>
      </w:r>
      <w:r w:rsidR="00A97EC3" w:rsidRPr="00AC2F94">
        <w:rPr>
          <w:rFonts w:ascii="Arial" w:hAnsi="Arial" w:cs="Arial"/>
          <w:color w:val="auto"/>
        </w:rPr>
        <w:t>es</w:t>
      </w:r>
      <w:r w:rsidRPr="00AC2F94">
        <w:rPr>
          <w:rFonts w:ascii="Arial" w:hAnsi="Arial" w:cs="Arial"/>
          <w:color w:val="auto"/>
        </w:rPr>
        <w:t xml:space="preserve"> not take into consideration elements of self-efficacy, personal agency or self-d</w:t>
      </w:r>
      <w:r w:rsidR="001D5278" w:rsidRPr="00AC2F94">
        <w:rPr>
          <w:rFonts w:ascii="Arial" w:hAnsi="Arial" w:cs="Arial"/>
          <w:color w:val="auto"/>
        </w:rPr>
        <w:t xml:space="preserve">etermination. Evidence </w:t>
      </w:r>
      <w:r w:rsidR="0098561F" w:rsidRPr="00AC2F94">
        <w:rPr>
          <w:rFonts w:ascii="Arial" w:hAnsi="Arial" w:cs="Arial"/>
          <w:color w:val="auto"/>
        </w:rPr>
        <w:t xml:space="preserve">shows standardised assessment does not necessarily take account of the individual and their capacity for work in the right employment setting. Reports have shown that even those individuals with quite severe disability can participate in employment, as it is more about customising the role with the right </w:t>
      </w:r>
      <w:r w:rsidR="0098561F" w:rsidRPr="00AC2F94">
        <w:rPr>
          <w:rFonts w:ascii="Arial" w:hAnsi="Arial" w:cs="Arial"/>
          <w:color w:val="auto"/>
        </w:rPr>
        <w:lastRenderedPageBreak/>
        <w:t>employer than an assessment of an individual (</w:t>
      </w:r>
      <w:r w:rsidR="00701C4D" w:rsidRPr="00AC2F94">
        <w:rPr>
          <w:rFonts w:ascii="Arial" w:hAnsi="Arial" w:cs="Arial"/>
        </w:rPr>
        <w:t>Luecking</w:t>
      </w:r>
      <w:r w:rsidR="0098561F" w:rsidRPr="00AC2F94">
        <w:rPr>
          <w:rFonts w:ascii="Arial" w:hAnsi="Arial" w:cs="Arial"/>
          <w:color w:val="auto"/>
        </w:rPr>
        <w:t>, R (2010), &amp; Newman, L., Wagner, eta (2011).  </w:t>
      </w:r>
    </w:p>
    <w:p w14:paraId="6299205F" w14:textId="77777777" w:rsidR="00F47FC9" w:rsidRPr="00AC2F94" w:rsidRDefault="000063BB" w:rsidP="00386B89">
      <w:pPr>
        <w:pStyle w:val="Default"/>
        <w:spacing w:after="120" w:line="276" w:lineRule="auto"/>
        <w:rPr>
          <w:rFonts w:ascii="Arial" w:hAnsi="Arial" w:cs="Arial"/>
          <w:color w:val="auto"/>
        </w:rPr>
      </w:pPr>
      <w:r w:rsidRPr="00AC2F94">
        <w:rPr>
          <w:rFonts w:ascii="Arial" w:hAnsi="Arial" w:cs="Arial"/>
          <w:color w:val="auto"/>
        </w:rPr>
        <w:t xml:space="preserve">We </w:t>
      </w:r>
      <w:r w:rsidR="00A97EC3" w:rsidRPr="00AC2F94">
        <w:rPr>
          <w:rFonts w:ascii="Arial" w:hAnsi="Arial" w:cs="Arial"/>
          <w:color w:val="auto"/>
        </w:rPr>
        <w:t>have found that</w:t>
      </w:r>
      <w:r w:rsidR="00870338" w:rsidRPr="00AC2F94">
        <w:rPr>
          <w:rFonts w:ascii="Arial" w:hAnsi="Arial" w:cs="Arial"/>
          <w:color w:val="auto"/>
        </w:rPr>
        <w:t xml:space="preserve">, compared </w:t>
      </w:r>
      <w:r w:rsidR="007D1C30" w:rsidRPr="00AC2F94">
        <w:rPr>
          <w:rFonts w:ascii="Arial" w:hAnsi="Arial" w:cs="Arial"/>
          <w:color w:val="auto"/>
        </w:rPr>
        <w:t>with</w:t>
      </w:r>
      <w:r w:rsidR="00870338" w:rsidRPr="00AC2F94">
        <w:rPr>
          <w:rFonts w:ascii="Arial" w:hAnsi="Arial" w:cs="Arial"/>
          <w:color w:val="auto"/>
        </w:rPr>
        <w:t xml:space="preserve"> their non-disab</w:t>
      </w:r>
      <w:r w:rsidR="007D1C30" w:rsidRPr="00AC2F94">
        <w:rPr>
          <w:rFonts w:ascii="Arial" w:hAnsi="Arial" w:cs="Arial"/>
          <w:color w:val="auto"/>
        </w:rPr>
        <w:t>led</w:t>
      </w:r>
      <w:r w:rsidR="00870338" w:rsidRPr="00AC2F94">
        <w:rPr>
          <w:rFonts w:ascii="Arial" w:hAnsi="Arial" w:cs="Arial"/>
          <w:color w:val="auto"/>
        </w:rPr>
        <w:t xml:space="preserve"> peers, </w:t>
      </w:r>
      <w:r w:rsidRPr="00AC2F94">
        <w:rPr>
          <w:rFonts w:ascii="Arial" w:hAnsi="Arial" w:cs="Arial"/>
          <w:color w:val="auto"/>
        </w:rPr>
        <w:t xml:space="preserve">many </w:t>
      </w:r>
      <w:r w:rsidR="00870338" w:rsidRPr="00AC2F94">
        <w:rPr>
          <w:rFonts w:ascii="Arial" w:hAnsi="Arial" w:cs="Arial"/>
          <w:color w:val="auto"/>
        </w:rPr>
        <w:t>students with disability are not receiving adequate levels of career development and counse</w:t>
      </w:r>
      <w:r w:rsidR="0098561F" w:rsidRPr="00AC2F94">
        <w:rPr>
          <w:rFonts w:ascii="Arial" w:hAnsi="Arial" w:cs="Arial"/>
          <w:color w:val="auto"/>
        </w:rPr>
        <w:t>lling.  This may be due to a lack of career expertise in the school, low levels of expectations and limited time.  In light of this, however, we are concerned that some schools will see an assessment as an easy out of conducting vital career counselling, pathways planning and promoting self-determination.</w:t>
      </w:r>
    </w:p>
    <w:p w14:paraId="277BB514" w14:textId="77777777" w:rsidR="00D457C4" w:rsidRPr="00AC2F94" w:rsidRDefault="009C02DE" w:rsidP="00386B89">
      <w:pPr>
        <w:pStyle w:val="Default"/>
        <w:spacing w:after="120" w:line="276" w:lineRule="auto"/>
        <w:rPr>
          <w:rFonts w:ascii="Arial" w:hAnsi="Arial" w:cs="Arial"/>
          <w:color w:val="auto"/>
        </w:rPr>
      </w:pPr>
      <w:r w:rsidRPr="00AC2F94">
        <w:rPr>
          <w:rFonts w:ascii="Arial" w:hAnsi="Arial" w:cs="Arial"/>
          <w:color w:val="auto"/>
        </w:rPr>
        <w:t>Any</w:t>
      </w:r>
      <w:r w:rsidR="000063BB" w:rsidRPr="00AC2F94">
        <w:rPr>
          <w:rFonts w:ascii="Arial" w:hAnsi="Arial" w:cs="Arial"/>
          <w:color w:val="auto"/>
        </w:rPr>
        <w:t xml:space="preserve"> assessment </w:t>
      </w:r>
      <w:r w:rsidRPr="00AC2F94">
        <w:rPr>
          <w:rFonts w:ascii="Arial" w:hAnsi="Arial" w:cs="Arial"/>
          <w:color w:val="auto"/>
        </w:rPr>
        <w:t xml:space="preserve">tool </w:t>
      </w:r>
      <w:r w:rsidR="000063BB" w:rsidRPr="00AC2F94">
        <w:rPr>
          <w:rFonts w:ascii="Arial" w:hAnsi="Arial" w:cs="Arial"/>
          <w:color w:val="auto"/>
        </w:rPr>
        <w:t>use</w:t>
      </w:r>
      <w:r w:rsidRPr="00AC2F94">
        <w:rPr>
          <w:rFonts w:ascii="Arial" w:hAnsi="Arial" w:cs="Arial"/>
          <w:color w:val="auto"/>
        </w:rPr>
        <w:t>d should be age appropriate and take</w:t>
      </w:r>
      <w:r w:rsidR="00870338" w:rsidRPr="00AC2F94">
        <w:rPr>
          <w:rFonts w:ascii="Arial" w:hAnsi="Arial" w:cs="Arial"/>
          <w:color w:val="auto"/>
        </w:rPr>
        <w:t xml:space="preserve"> </w:t>
      </w:r>
      <w:r w:rsidR="000063BB" w:rsidRPr="00AC2F94">
        <w:rPr>
          <w:rFonts w:ascii="Arial" w:hAnsi="Arial" w:cs="Arial"/>
          <w:color w:val="auto"/>
        </w:rPr>
        <w:t xml:space="preserve">an </w:t>
      </w:r>
      <w:r w:rsidR="00870338" w:rsidRPr="00AC2F94">
        <w:rPr>
          <w:rFonts w:ascii="Arial" w:hAnsi="Arial" w:cs="Arial"/>
          <w:color w:val="auto"/>
        </w:rPr>
        <w:t>‘</w:t>
      </w:r>
      <w:r w:rsidR="000063BB" w:rsidRPr="00AC2F94">
        <w:rPr>
          <w:rFonts w:ascii="Arial" w:hAnsi="Arial" w:cs="Arial"/>
          <w:color w:val="auto"/>
        </w:rPr>
        <w:t>employment first</w:t>
      </w:r>
      <w:r w:rsidR="00870338" w:rsidRPr="00AC2F94">
        <w:rPr>
          <w:rFonts w:ascii="Arial" w:hAnsi="Arial" w:cs="Arial"/>
          <w:color w:val="auto"/>
        </w:rPr>
        <w:t>’</w:t>
      </w:r>
      <w:r w:rsidR="000063BB" w:rsidRPr="00AC2F94">
        <w:rPr>
          <w:rFonts w:ascii="Arial" w:hAnsi="Arial" w:cs="Arial"/>
          <w:color w:val="auto"/>
        </w:rPr>
        <w:t xml:space="preserve"> approach</w:t>
      </w:r>
      <w:r w:rsidR="00870338" w:rsidRPr="00AC2F94">
        <w:rPr>
          <w:rFonts w:ascii="Arial" w:hAnsi="Arial" w:cs="Arial"/>
          <w:color w:val="auto"/>
        </w:rPr>
        <w:t xml:space="preserve"> and</w:t>
      </w:r>
      <w:r w:rsidR="007D1C30" w:rsidRPr="00AC2F94">
        <w:rPr>
          <w:rFonts w:ascii="Arial" w:hAnsi="Arial" w:cs="Arial"/>
          <w:color w:val="auto"/>
        </w:rPr>
        <w:t>,</w:t>
      </w:r>
      <w:r w:rsidR="00870338" w:rsidRPr="00AC2F94">
        <w:rPr>
          <w:rFonts w:ascii="Arial" w:hAnsi="Arial" w:cs="Arial"/>
          <w:color w:val="auto"/>
        </w:rPr>
        <w:t xml:space="preserve"> in doing so</w:t>
      </w:r>
      <w:r w:rsidR="007D1C30" w:rsidRPr="00AC2F94">
        <w:rPr>
          <w:rFonts w:ascii="Arial" w:hAnsi="Arial" w:cs="Arial"/>
          <w:color w:val="auto"/>
        </w:rPr>
        <w:t>,</w:t>
      </w:r>
      <w:r w:rsidR="00870338" w:rsidRPr="00AC2F94">
        <w:rPr>
          <w:rFonts w:ascii="Arial" w:hAnsi="Arial" w:cs="Arial"/>
          <w:color w:val="auto"/>
        </w:rPr>
        <w:t xml:space="preserve"> acknowledges that </w:t>
      </w:r>
      <w:r w:rsidR="000063BB" w:rsidRPr="00AC2F94">
        <w:rPr>
          <w:rFonts w:ascii="Arial" w:hAnsi="Arial" w:cs="Arial"/>
          <w:color w:val="auto"/>
        </w:rPr>
        <w:t xml:space="preserve">that </w:t>
      </w:r>
      <w:r w:rsidR="00870338" w:rsidRPr="00AC2F94">
        <w:rPr>
          <w:rFonts w:ascii="Arial" w:hAnsi="Arial" w:cs="Arial"/>
          <w:color w:val="auto"/>
        </w:rPr>
        <w:t>e</w:t>
      </w:r>
      <w:r w:rsidR="000063BB" w:rsidRPr="00AC2F94">
        <w:rPr>
          <w:rFonts w:ascii="Arial" w:hAnsi="Arial" w:cs="Arial"/>
          <w:color w:val="auto"/>
        </w:rPr>
        <w:t>very young person should have the</w:t>
      </w:r>
      <w:r w:rsidR="00870338" w:rsidRPr="00AC2F94">
        <w:rPr>
          <w:rFonts w:ascii="Arial" w:hAnsi="Arial" w:cs="Arial"/>
          <w:color w:val="auto"/>
        </w:rPr>
        <w:t xml:space="preserve"> opportunity to explor</w:t>
      </w:r>
      <w:r w:rsidRPr="00AC2F94">
        <w:rPr>
          <w:rFonts w:ascii="Arial" w:hAnsi="Arial" w:cs="Arial"/>
          <w:color w:val="auto"/>
        </w:rPr>
        <w:t xml:space="preserve">e employment in </w:t>
      </w:r>
      <w:r w:rsidR="007D1C30" w:rsidRPr="00AC2F94">
        <w:rPr>
          <w:rFonts w:ascii="Arial" w:hAnsi="Arial" w:cs="Arial"/>
          <w:color w:val="auto"/>
        </w:rPr>
        <w:t xml:space="preserve">an </w:t>
      </w:r>
      <w:r w:rsidRPr="00AC2F94">
        <w:rPr>
          <w:rFonts w:ascii="Arial" w:hAnsi="Arial" w:cs="Arial"/>
          <w:color w:val="auto"/>
        </w:rPr>
        <w:t xml:space="preserve">open market. </w:t>
      </w:r>
      <w:r w:rsidR="00870338" w:rsidRPr="00AC2F94">
        <w:rPr>
          <w:rFonts w:ascii="Arial" w:hAnsi="Arial" w:cs="Arial"/>
          <w:color w:val="auto"/>
        </w:rPr>
        <w:t xml:space="preserve"> </w:t>
      </w:r>
      <w:r w:rsidRPr="00AC2F94">
        <w:rPr>
          <w:rFonts w:ascii="Arial" w:hAnsi="Arial" w:cs="Arial"/>
          <w:color w:val="auto"/>
        </w:rPr>
        <w:t xml:space="preserve">We feel assessment tools are useful </w:t>
      </w:r>
      <w:r w:rsidR="007D1C30" w:rsidRPr="00AC2F94">
        <w:rPr>
          <w:rFonts w:ascii="Arial" w:hAnsi="Arial" w:cs="Arial"/>
          <w:color w:val="auto"/>
        </w:rPr>
        <w:t>in</w:t>
      </w:r>
      <w:r w:rsidRPr="00AC2F94">
        <w:rPr>
          <w:rFonts w:ascii="Arial" w:hAnsi="Arial" w:cs="Arial"/>
          <w:color w:val="auto"/>
        </w:rPr>
        <w:t xml:space="preserve"> providing information to the school, </w:t>
      </w:r>
      <w:r w:rsidR="007D1C30" w:rsidRPr="00AC2F94">
        <w:rPr>
          <w:rFonts w:ascii="Arial" w:hAnsi="Arial" w:cs="Arial"/>
          <w:color w:val="auto"/>
        </w:rPr>
        <w:t>d</w:t>
      </w:r>
      <w:r w:rsidRPr="00AC2F94">
        <w:rPr>
          <w:rFonts w:ascii="Arial" w:hAnsi="Arial" w:cs="Arial"/>
          <w:color w:val="auto"/>
        </w:rPr>
        <w:t xml:space="preserve">isability employment services to develop curriculum and learning experience </w:t>
      </w:r>
      <w:r w:rsidRPr="00AC2F94">
        <w:rPr>
          <w:rFonts w:ascii="Arial" w:hAnsi="Arial" w:cs="Arial"/>
          <w:color w:val="auto"/>
        </w:rPr>
        <w:lastRenderedPageBreak/>
        <w:t xml:space="preserve">that enhances </w:t>
      </w:r>
      <w:r w:rsidR="007D1C30" w:rsidRPr="00AC2F94">
        <w:rPr>
          <w:rFonts w:ascii="Arial" w:hAnsi="Arial" w:cs="Arial"/>
          <w:color w:val="auto"/>
        </w:rPr>
        <w:t>a</w:t>
      </w:r>
      <w:r w:rsidRPr="00AC2F94">
        <w:rPr>
          <w:rFonts w:ascii="Arial" w:hAnsi="Arial" w:cs="Arial"/>
          <w:color w:val="auto"/>
        </w:rPr>
        <w:t xml:space="preserve"> student’s employability.  </w:t>
      </w:r>
      <w:r w:rsidR="007D1C30" w:rsidRPr="00AC2F94">
        <w:rPr>
          <w:rFonts w:ascii="Arial" w:hAnsi="Arial" w:cs="Arial"/>
          <w:color w:val="auto"/>
        </w:rPr>
        <w:t>T</w:t>
      </w:r>
      <w:r w:rsidRPr="00AC2F94">
        <w:rPr>
          <w:rFonts w:ascii="Arial" w:hAnsi="Arial" w:cs="Arial"/>
          <w:color w:val="auto"/>
        </w:rPr>
        <w:t xml:space="preserve">he assessment indicates the skills and abilities required by </w:t>
      </w:r>
      <w:r w:rsidR="007D1C30" w:rsidRPr="00AC2F94">
        <w:rPr>
          <w:rFonts w:ascii="Arial" w:hAnsi="Arial" w:cs="Arial"/>
          <w:color w:val="auto"/>
        </w:rPr>
        <w:t>a</w:t>
      </w:r>
      <w:r w:rsidRPr="00AC2F94">
        <w:rPr>
          <w:rFonts w:ascii="Arial" w:hAnsi="Arial" w:cs="Arial"/>
          <w:color w:val="auto"/>
        </w:rPr>
        <w:t xml:space="preserve"> student in order for that young person to seek their desired open employment pathway</w:t>
      </w:r>
      <w:r w:rsidR="007D1C30" w:rsidRPr="00AC2F94">
        <w:rPr>
          <w:rFonts w:ascii="Arial" w:hAnsi="Arial" w:cs="Arial"/>
          <w:color w:val="auto"/>
        </w:rPr>
        <w:t>.  T</w:t>
      </w:r>
      <w:r w:rsidRPr="00AC2F94">
        <w:rPr>
          <w:rFonts w:ascii="Arial" w:hAnsi="Arial" w:cs="Arial"/>
          <w:color w:val="auto"/>
        </w:rPr>
        <w:t xml:space="preserve">his information is then used to determine an individual student’s curriculum, learning plan and support required in the last three years of schooling. </w:t>
      </w:r>
    </w:p>
    <w:p w14:paraId="4FDE8E91" w14:textId="77777777" w:rsidR="000063BB" w:rsidRPr="00AC2F94" w:rsidRDefault="009C02DE" w:rsidP="00386B89">
      <w:pPr>
        <w:pStyle w:val="Default"/>
        <w:spacing w:after="120" w:line="276" w:lineRule="auto"/>
        <w:rPr>
          <w:rFonts w:ascii="Arial" w:hAnsi="Arial" w:cs="Arial"/>
          <w:color w:val="auto"/>
        </w:rPr>
      </w:pPr>
      <w:r w:rsidRPr="00AC2F94">
        <w:rPr>
          <w:rFonts w:ascii="Arial" w:hAnsi="Arial" w:cs="Arial"/>
          <w:color w:val="auto"/>
        </w:rPr>
        <w:t xml:space="preserve">Such tools have been </w:t>
      </w:r>
      <w:r w:rsidR="007D1C30" w:rsidRPr="00AC2F94">
        <w:rPr>
          <w:rFonts w:ascii="Arial" w:hAnsi="Arial" w:cs="Arial"/>
          <w:color w:val="auto"/>
        </w:rPr>
        <w:t>trialled</w:t>
      </w:r>
      <w:r w:rsidRPr="00AC2F94">
        <w:rPr>
          <w:rFonts w:ascii="Arial" w:hAnsi="Arial" w:cs="Arial"/>
          <w:color w:val="auto"/>
        </w:rPr>
        <w:t xml:space="preserve"> in Victoria by </w:t>
      </w:r>
      <w:r w:rsidR="007D1C30" w:rsidRPr="00AC2F94">
        <w:rPr>
          <w:rFonts w:ascii="Arial" w:hAnsi="Arial" w:cs="Arial"/>
          <w:color w:val="auto"/>
        </w:rPr>
        <w:t xml:space="preserve">the </w:t>
      </w:r>
      <w:r w:rsidRPr="00AC2F94">
        <w:rPr>
          <w:rFonts w:ascii="Arial" w:hAnsi="Arial" w:cs="Arial"/>
          <w:color w:val="auto"/>
        </w:rPr>
        <w:t xml:space="preserve">Department of Education and are used extensively in other countries.  </w:t>
      </w:r>
    </w:p>
    <w:p w14:paraId="28102366" w14:textId="77777777" w:rsidR="000063BB" w:rsidRPr="00AC2F94" w:rsidRDefault="000063BB" w:rsidP="00386B89">
      <w:pPr>
        <w:pStyle w:val="Default"/>
        <w:spacing w:after="120" w:line="276" w:lineRule="auto"/>
        <w:rPr>
          <w:rFonts w:ascii="Arial" w:hAnsi="Arial" w:cs="Arial"/>
          <w:b/>
          <w:bCs/>
          <w:color w:val="auto"/>
        </w:rPr>
      </w:pPr>
      <w:r w:rsidRPr="00AC2F94">
        <w:rPr>
          <w:rFonts w:ascii="Arial" w:hAnsi="Arial" w:cs="Arial"/>
          <w:b/>
          <w:bCs/>
          <w:color w:val="auto"/>
        </w:rPr>
        <w:t>Recommendation</w:t>
      </w:r>
    </w:p>
    <w:p w14:paraId="0E2AC7EA" w14:textId="77777777" w:rsidR="00880FCE" w:rsidRPr="00AC2F94" w:rsidRDefault="00880FCE" w:rsidP="001A29FC">
      <w:pPr>
        <w:spacing w:after="120" w:line="276" w:lineRule="auto"/>
        <w:rPr>
          <w:rFonts w:ascii="Arial" w:hAnsi="Arial" w:cs="Arial"/>
          <w:sz w:val="24"/>
          <w:szCs w:val="24"/>
        </w:rPr>
      </w:pPr>
      <w:r w:rsidRPr="00AC2F94">
        <w:rPr>
          <w:rFonts w:ascii="Arial" w:hAnsi="Arial" w:cs="Arial"/>
          <w:sz w:val="24"/>
          <w:szCs w:val="24"/>
        </w:rPr>
        <w:t xml:space="preserve">The JCA </w:t>
      </w:r>
      <w:r w:rsidR="007D1C30" w:rsidRPr="00AC2F94">
        <w:rPr>
          <w:rFonts w:ascii="Arial" w:hAnsi="Arial" w:cs="Arial"/>
          <w:sz w:val="24"/>
          <w:szCs w:val="24"/>
        </w:rPr>
        <w:t>and/</w:t>
      </w:r>
      <w:r w:rsidRPr="00AC2F94">
        <w:rPr>
          <w:rFonts w:ascii="Arial" w:hAnsi="Arial" w:cs="Arial"/>
          <w:sz w:val="24"/>
          <w:szCs w:val="24"/>
        </w:rPr>
        <w:t xml:space="preserve">or ESAt should not be used to determine future pathways for students with disability. Other assessment tools (such as </w:t>
      </w:r>
      <w:hyperlink r:id="rId17" w:history="1">
        <w:r w:rsidRPr="00AC2F94">
          <w:rPr>
            <w:rStyle w:val="Hyperlink"/>
            <w:rFonts w:ascii="Arial" w:hAnsi="Arial" w:cs="Arial"/>
            <w:b/>
            <w:bCs/>
            <w:sz w:val="24"/>
            <w:szCs w:val="24"/>
          </w:rPr>
          <w:t>Work Readiness Profile (WRP)</w:t>
        </w:r>
      </w:hyperlink>
      <w:r w:rsidR="00D457C4" w:rsidRPr="00AC2F94">
        <w:rPr>
          <w:rFonts w:ascii="Arial" w:hAnsi="Arial" w:cs="Arial"/>
          <w:b/>
          <w:bCs/>
          <w:color w:val="484848"/>
          <w:sz w:val="24"/>
          <w:szCs w:val="24"/>
        </w:rPr>
        <w:t xml:space="preserve"> or </w:t>
      </w:r>
      <w:hyperlink r:id="rId18" w:history="1">
        <w:r w:rsidR="00D457C4" w:rsidRPr="00AC2F94">
          <w:rPr>
            <w:rStyle w:val="Hyperlink"/>
            <w:rFonts w:ascii="Arial" w:hAnsi="Arial" w:cs="Arial"/>
            <w:b/>
            <w:bCs/>
            <w:sz w:val="24"/>
            <w:szCs w:val="24"/>
          </w:rPr>
          <w:t>R U Ready</w:t>
        </w:r>
      </w:hyperlink>
      <w:r w:rsidR="00D457C4" w:rsidRPr="00AC2F94">
        <w:rPr>
          <w:rFonts w:ascii="Arial" w:hAnsi="Arial" w:cs="Arial"/>
          <w:b/>
          <w:bCs/>
          <w:color w:val="484848"/>
          <w:sz w:val="24"/>
          <w:szCs w:val="24"/>
        </w:rPr>
        <w:t>)</w:t>
      </w:r>
      <w:r w:rsidRPr="00AC2F94">
        <w:rPr>
          <w:rFonts w:ascii="Arial" w:hAnsi="Arial" w:cs="Arial"/>
          <w:b/>
          <w:bCs/>
          <w:color w:val="484848"/>
          <w:sz w:val="24"/>
          <w:szCs w:val="24"/>
        </w:rPr>
        <w:t xml:space="preserve"> </w:t>
      </w:r>
      <w:r w:rsidRPr="00AC2F94">
        <w:rPr>
          <w:rFonts w:ascii="Arial" w:hAnsi="Arial" w:cs="Arial"/>
          <w:bCs/>
          <w:color w:val="484848"/>
          <w:sz w:val="24"/>
          <w:szCs w:val="24"/>
        </w:rPr>
        <w:t xml:space="preserve">that </w:t>
      </w:r>
      <w:r w:rsidRPr="00AC2F94">
        <w:rPr>
          <w:rFonts w:ascii="Arial" w:hAnsi="Arial" w:cs="Arial"/>
          <w:sz w:val="24"/>
          <w:szCs w:val="24"/>
        </w:rPr>
        <w:t>are more age appropriate should be investigated to support and plan and support a student transition</w:t>
      </w:r>
      <w:r w:rsidR="007D1C30" w:rsidRPr="00AC2F94">
        <w:rPr>
          <w:rFonts w:ascii="Arial" w:hAnsi="Arial" w:cs="Arial"/>
          <w:sz w:val="24"/>
          <w:szCs w:val="24"/>
        </w:rPr>
        <w:t>ing</w:t>
      </w:r>
      <w:r w:rsidRPr="00AC2F94">
        <w:rPr>
          <w:rFonts w:ascii="Arial" w:hAnsi="Arial" w:cs="Arial"/>
          <w:sz w:val="24"/>
          <w:szCs w:val="24"/>
        </w:rPr>
        <w:t xml:space="preserve"> to open employment.   </w:t>
      </w:r>
    </w:p>
    <w:p w14:paraId="1A4416E7" w14:textId="77777777" w:rsidR="00D85ABB" w:rsidRPr="00AC2F94" w:rsidRDefault="00DB65C2" w:rsidP="009A1187">
      <w:pPr>
        <w:pStyle w:val="Heading2"/>
        <w:spacing w:before="0" w:after="120" w:line="276" w:lineRule="auto"/>
        <w:rPr>
          <w:rFonts w:ascii="Arial" w:hAnsi="Arial" w:cs="Arial"/>
          <w:color w:val="auto"/>
          <w:sz w:val="24"/>
          <w:szCs w:val="24"/>
        </w:rPr>
      </w:pPr>
      <w:bookmarkStart w:id="18" w:name="_Toc419282001"/>
      <w:r w:rsidRPr="00AC2F94">
        <w:rPr>
          <w:rFonts w:ascii="Arial" w:hAnsi="Arial" w:cs="Arial"/>
          <w:color w:val="auto"/>
          <w:sz w:val="24"/>
          <w:szCs w:val="24"/>
        </w:rPr>
        <w:lastRenderedPageBreak/>
        <w:t>Employment First P</w:t>
      </w:r>
      <w:r w:rsidR="00D85ABB" w:rsidRPr="00AC2F94">
        <w:rPr>
          <w:rFonts w:ascii="Arial" w:hAnsi="Arial" w:cs="Arial"/>
          <w:color w:val="auto"/>
          <w:sz w:val="24"/>
          <w:szCs w:val="24"/>
        </w:rPr>
        <w:t>olicy.</w:t>
      </w:r>
      <w:bookmarkEnd w:id="18"/>
      <w:r w:rsidR="00D85ABB" w:rsidRPr="00AC2F94">
        <w:rPr>
          <w:rFonts w:ascii="Arial" w:hAnsi="Arial" w:cs="Arial"/>
          <w:color w:val="auto"/>
          <w:sz w:val="24"/>
          <w:szCs w:val="24"/>
        </w:rPr>
        <w:t xml:space="preserve"> </w:t>
      </w:r>
    </w:p>
    <w:p w14:paraId="412F6CEA" w14:textId="77777777" w:rsidR="009C02DE" w:rsidRPr="00AC2F94" w:rsidRDefault="004F5182" w:rsidP="00386B89">
      <w:pPr>
        <w:pStyle w:val="Default"/>
        <w:spacing w:after="120" w:line="276" w:lineRule="auto"/>
        <w:rPr>
          <w:rFonts w:ascii="Arial" w:hAnsi="Arial" w:cs="Arial"/>
          <w:color w:val="auto"/>
        </w:rPr>
      </w:pPr>
      <w:r w:rsidRPr="00AC2F94">
        <w:rPr>
          <w:rFonts w:ascii="Arial" w:hAnsi="Arial" w:cs="Arial"/>
          <w:color w:val="auto"/>
        </w:rPr>
        <w:t>Most people with intellectual disabilities who are currently employed</w:t>
      </w:r>
      <w:r w:rsidR="001955D7" w:rsidRPr="00AC2F94">
        <w:rPr>
          <w:rFonts w:ascii="Arial" w:hAnsi="Arial" w:cs="Arial"/>
          <w:color w:val="auto"/>
        </w:rPr>
        <w:t>,</w:t>
      </w:r>
      <w:r w:rsidRPr="00AC2F94">
        <w:rPr>
          <w:rFonts w:ascii="Arial" w:hAnsi="Arial" w:cs="Arial"/>
          <w:color w:val="auto"/>
        </w:rPr>
        <w:t xml:space="preserve"> had their first job before turning 21, which indicates early intervention and support are key. (Siperstein, Perker &amp; Drascher 2013)</w:t>
      </w:r>
    </w:p>
    <w:p w14:paraId="53723468" w14:textId="77777777" w:rsidR="009C02DE" w:rsidRPr="00AC2F94" w:rsidRDefault="001955D7" w:rsidP="00386B89">
      <w:pPr>
        <w:pStyle w:val="Default"/>
        <w:spacing w:after="120" w:line="276" w:lineRule="auto"/>
        <w:rPr>
          <w:rFonts w:ascii="Arial" w:hAnsi="Arial" w:cs="Arial"/>
          <w:color w:val="auto"/>
          <w:lang w:val="en-US"/>
        </w:rPr>
      </w:pPr>
      <w:r w:rsidRPr="00AC2F94">
        <w:rPr>
          <w:rFonts w:ascii="Arial" w:hAnsi="Arial" w:cs="Arial"/>
          <w:color w:val="auto"/>
        </w:rPr>
        <w:t>In m</w:t>
      </w:r>
      <w:r w:rsidR="009C02DE" w:rsidRPr="00AC2F94">
        <w:rPr>
          <w:rFonts w:ascii="Arial" w:hAnsi="Arial" w:cs="Arial"/>
          <w:color w:val="auto"/>
        </w:rPr>
        <w:t>any other regions around the world</w:t>
      </w:r>
      <w:r w:rsidRPr="00AC2F94">
        <w:rPr>
          <w:rFonts w:ascii="Arial" w:hAnsi="Arial" w:cs="Arial"/>
          <w:color w:val="auto"/>
        </w:rPr>
        <w:t>,</w:t>
      </w:r>
      <w:r w:rsidR="009C02DE" w:rsidRPr="00AC2F94">
        <w:rPr>
          <w:rFonts w:ascii="Arial" w:hAnsi="Arial" w:cs="Arial"/>
          <w:color w:val="auto"/>
        </w:rPr>
        <w:t xml:space="preserve"> the approach </w:t>
      </w:r>
      <w:r w:rsidR="009C02DE" w:rsidRPr="00AC2F94">
        <w:rPr>
          <w:rFonts w:ascii="Arial" w:hAnsi="Arial" w:cs="Arial"/>
          <w:color w:val="auto"/>
          <w:lang w:val="en-US"/>
        </w:rPr>
        <w:t>of ‘Employment First’ has emerged; that being the idea that employment in integrated settings within the community should be the priority service option, no matter the severity of the disability. The result has been</w:t>
      </w:r>
      <w:r w:rsidR="001C6349" w:rsidRPr="00AC2F94">
        <w:rPr>
          <w:rFonts w:ascii="Arial" w:hAnsi="Arial" w:cs="Arial"/>
          <w:color w:val="auto"/>
          <w:lang w:val="en-US"/>
        </w:rPr>
        <w:t xml:space="preserve"> the</w:t>
      </w:r>
      <w:r w:rsidR="009C02DE" w:rsidRPr="00AC2F94">
        <w:rPr>
          <w:rFonts w:ascii="Arial" w:hAnsi="Arial" w:cs="Arial"/>
          <w:color w:val="auto"/>
          <w:lang w:val="en-US"/>
        </w:rPr>
        <w:t xml:space="preserve"> ongoing development of a multitude of approaches pertaining to Employment First including government legislation, policies, practice and research designed to increase integrated employment in the general workforce for citizens with disabilities.  These initiatives are often directed at the transition from school stage where</w:t>
      </w:r>
      <w:r w:rsidR="009C02DE" w:rsidRPr="00AC2F94">
        <w:rPr>
          <w:rFonts w:ascii="Arial" w:eastAsia="Times New Roman" w:hAnsi="Arial" w:cs="Arial"/>
          <w:color w:val="auto"/>
          <w:lang w:val="en-US" w:eastAsia="en-AU"/>
        </w:rPr>
        <w:t xml:space="preserve"> </w:t>
      </w:r>
      <w:r w:rsidRPr="00AC2F94">
        <w:rPr>
          <w:rFonts w:ascii="Arial" w:eastAsia="Times New Roman" w:hAnsi="Arial" w:cs="Arial"/>
          <w:color w:val="auto"/>
          <w:lang w:val="en-US" w:eastAsia="en-AU"/>
        </w:rPr>
        <w:t>’</w:t>
      </w:r>
      <w:r w:rsidR="009C02DE" w:rsidRPr="00AC2F94">
        <w:rPr>
          <w:rFonts w:ascii="Arial" w:eastAsia="Times New Roman" w:hAnsi="Arial" w:cs="Arial"/>
          <w:color w:val="auto"/>
          <w:lang w:val="en-US" w:eastAsia="en-AU"/>
        </w:rPr>
        <w:t>employment is the first and preferred option when exploring goals and a life path for citizens with disabilities</w:t>
      </w:r>
      <w:r w:rsidRPr="00AC2F94">
        <w:rPr>
          <w:rFonts w:ascii="Arial" w:eastAsia="Times New Roman" w:hAnsi="Arial" w:cs="Arial"/>
          <w:color w:val="auto"/>
          <w:lang w:val="en-US" w:eastAsia="en-AU"/>
        </w:rPr>
        <w:t>’</w:t>
      </w:r>
      <w:r w:rsidR="009C02DE" w:rsidRPr="00AC2F94">
        <w:rPr>
          <w:rFonts w:ascii="Arial" w:eastAsia="Times New Roman" w:hAnsi="Arial" w:cs="Arial"/>
          <w:color w:val="auto"/>
          <w:lang w:val="en-US" w:eastAsia="en-AU"/>
        </w:rPr>
        <w:t xml:space="preserve"> </w:t>
      </w:r>
      <w:r w:rsidR="009C02DE" w:rsidRPr="00AC2F94">
        <w:rPr>
          <w:rFonts w:ascii="Arial" w:eastAsia="Times New Roman" w:hAnsi="Arial" w:cs="Arial"/>
          <w:color w:val="auto"/>
          <w:lang w:val="en-US" w:eastAsia="en-AU"/>
        </w:rPr>
        <w:lastRenderedPageBreak/>
        <w:t xml:space="preserve">and </w:t>
      </w:r>
      <w:r w:rsidRPr="00AC2F94">
        <w:rPr>
          <w:rFonts w:ascii="Arial" w:eastAsia="Times New Roman" w:hAnsi="Arial" w:cs="Arial"/>
          <w:color w:val="auto"/>
          <w:lang w:val="en-US" w:eastAsia="en-AU"/>
        </w:rPr>
        <w:t>’</w:t>
      </w:r>
      <w:r w:rsidR="009C02DE" w:rsidRPr="00AC2F94">
        <w:rPr>
          <w:rFonts w:ascii="Arial" w:eastAsia="Times New Roman" w:hAnsi="Arial" w:cs="Arial"/>
          <w:color w:val="auto"/>
          <w:lang w:val="en-US" w:eastAsia="en-AU"/>
        </w:rPr>
        <w:t>young people with disabilities have work experiences that are typical of other teenagers and young adults</w:t>
      </w:r>
      <w:r w:rsidRPr="00AC2F94">
        <w:rPr>
          <w:rFonts w:ascii="Arial" w:eastAsia="Times New Roman" w:hAnsi="Arial" w:cs="Arial"/>
          <w:color w:val="auto"/>
          <w:lang w:val="en-US" w:eastAsia="en-AU"/>
        </w:rPr>
        <w:t>’</w:t>
      </w:r>
      <w:r w:rsidR="009C02DE" w:rsidRPr="00AC2F94">
        <w:rPr>
          <w:rFonts w:ascii="Arial" w:eastAsia="Times New Roman" w:hAnsi="Arial" w:cs="Arial"/>
          <w:color w:val="auto"/>
          <w:lang w:val="en-US" w:eastAsia="en-AU"/>
        </w:rPr>
        <w:t>” (</w:t>
      </w:r>
      <w:r w:rsidR="009C02DE" w:rsidRPr="00AC2F94">
        <w:rPr>
          <w:rStyle w:val="Emphasis"/>
          <w:rFonts w:ascii="Arial" w:hAnsi="Arial" w:cs="Arial"/>
        </w:rPr>
        <w:t xml:space="preserve">APSE </w:t>
      </w:r>
      <w:r w:rsidR="009C02DE" w:rsidRPr="00AC2F94">
        <w:rPr>
          <w:rFonts w:ascii="Arial" w:hAnsi="Arial" w:cs="Arial"/>
        </w:rPr>
        <w:t xml:space="preserve">statement on Employment First, 2010). </w:t>
      </w:r>
    </w:p>
    <w:p w14:paraId="5F516D18" w14:textId="77777777" w:rsidR="009C02DE" w:rsidRPr="00AC2F94" w:rsidRDefault="009C02DE" w:rsidP="00386B89">
      <w:pPr>
        <w:autoSpaceDE w:val="0"/>
        <w:autoSpaceDN w:val="0"/>
        <w:adjustRightInd w:val="0"/>
        <w:spacing w:after="120" w:line="276" w:lineRule="auto"/>
        <w:rPr>
          <w:rFonts w:ascii="Arial" w:hAnsi="Arial" w:cs="Arial"/>
          <w:sz w:val="24"/>
          <w:szCs w:val="24"/>
          <w:lang w:val="en-US"/>
        </w:rPr>
      </w:pPr>
      <w:r w:rsidRPr="00AC2F94">
        <w:rPr>
          <w:rFonts w:ascii="Arial" w:hAnsi="Arial" w:cs="Arial"/>
          <w:sz w:val="24"/>
          <w:szCs w:val="24"/>
        </w:rPr>
        <w:t>In the United States</w:t>
      </w:r>
      <w:r w:rsidR="001955D7" w:rsidRPr="00AC2F94">
        <w:rPr>
          <w:rFonts w:ascii="Arial" w:hAnsi="Arial" w:cs="Arial"/>
          <w:sz w:val="24"/>
          <w:szCs w:val="24"/>
        </w:rPr>
        <w:t>,</w:t>
      </w:r>
      <w:r w:rsidRPr="00AC2F94">
        <w:rPr>
          <w:rFonts w:ascii="Arial" w:hAnsi="Arial" w:cs="Arial"/>
          <w:sz w:val="24"/>
          <w:szCs w:val="24"/>
        </w:rPr>
        <w:t xml:space="preserve"> a Bill has just been passed that ensure</w:t>
      </w:r>
      <w:r w:rsidR="001C6349" w:rsidRPr="00AC2F94">
        <w:rPr>
          <w:rFonts w:ascii="Arial" w:hAnsi="Arial" w:cs="Arial"/>
          <w:sz w:val="24"/>
          <w:szCs w:val="24"/>
        </w:rPr>
        <w:t>s</w:t>
      </w:r>
      <w:r w:rsidRPr="00AC2F94">
        <w:rPr>
          <w:rFonts w:ascii="Arial" w:hAnsi="Arial" w:cs="Arial"/>
          <w:sz w:val="24"/>
          <w:szCs w:val="24"/>
        </w:rPr>
        <w:t xml:space="preserve"> </w:t>
      </w:r>
      <w:r w:rsidRPr="00AC2F94">
        <w:rPr>
          <w:rFonts w:ascii="Arial" w:hAnsi="Arial" w:cs="Arial"/>
          <w:sz w:val="24"/>
          <w:szCs w:val="24"/>
          <w:lang w:val="en-US"/>
        </w:rPr>
        <w:t xml:space="preserve">vocational rehabilitation agencies (DES equivalent organisations) work with schools to provide </w:t>
      </w:r>
      <w:r w:rsidR="001955D7" w:rsidRPr="00AC2F94">
        <w:rPr>
          <w:rFonts w:ascii="Arial" w:hAnsi="Arial" w:cs="Arial"/>
          <w:sz w:val="24"/>
          <w:szCs w:val="24"/>
          <w:lang w:val="en-US"/>
        </w:rPr>
        <w:t>’</w:t>
      </w:r>
      <w:r w:rsidRPr="00AC2F94">
        <w:rPr>
          <w:rFonts w:ascii="Arial" w:hAnsi="Arial" w:cs="Arial"/>
          <w:sz w:val="24"/>
          <w:szCs w:val="24"/>
          <w:lang w:val="en-US"/>
        </w:rPr>
        <w:t>pre-employment transition services</w:t>
      </w:r>
      <w:r w:rsidR="001955D7" w:rsidRPr="00AC2F94">
        <w:rPr>
          <w:rFonts w:ascii="Arial" w:hAnsi="Arial" w:cs="Arial"/>
          <w:sz w:val="24"/>
          <w:szCs w:val="24"/>
          <w:lang w:val="en-US"/>
        </w:rPr>
        <w:t>’</w:t>
      </w:r>
      <w:r w:rsidRPr="00AC2F94">
        <w:rPr>
          <w:rFonts w:ascii="Arial" w:hAnsi="Arial" w:cs="Arial"/>
          <w:sz w:val="24"/>
          <w:szCs w:val="24"/>
          <w:lang w:val="en-US"/>
        </w:rPr>
        <w:t xml:space="preserve"> to all students with disabilit</w:t>
      </w:r>
      <w:r w:rsidR="001955D7" w:rsidRPr="00AC2F94">
        <w:rPr>
          <w:rFonts w:ascii="Arial" w:hAnsi="Arial" w:cs="Arial"/>
          <w:sz w:val="24"/>
          <w:szCs w:val="24"/>
          <w:lang w:val="en-US"/>
        </w:rPr>
        <w:t>y</w:t>
      </w:r>
      <w:r w:rsidRPr="00AC2F94">
        <w:rPr>
          <w:rFonts w:ascii="Arial" w:hAnsi="Arial" w:cs="Arial"/>
          <w:sz w:val="24"/>
          <w:szCs w:val="24"/>
          <w:lang w:val="en-US"/>
        </w:rPr>
        <w:t xml:space="preserve"> and that most students with disabilit</w:t>
      </w:r>
      <w:r w:rsidR="001955D7" w:rsidRPr="00AC2F94">
        <w:rPr>
          <w:rFonts w:ascii="Arial" w:hAnsi="Arial" w:cs="Arial"/>
          <w:sz w:val="24"/>
          <w:szCs w:val="24"/>
          <w:lang w:val="en-US"/>
        </w:rPr>
        <w:t>y</w:t>
      </w:r>
      <w:r w:rsidRPr="00AC2F94">
        <w:rPr>
          <w:rFonts w:ascii="Arial" w:hAnsi="Arial" w:cs="Arial"/>
          <w:sz w:val="24"/>
          <w:szCs w:val="24"/>
          <w:lang w:val="en-US"/>
        </w:rPr>
        <w:t xml:space="preserve"> try competitive employment before they can be employed in sheltered workshops. The ‘Workforce Innovation and Opportunity Act’ will provide significant changes for students with disabilit</w:t>
      </w:r>
      <w:r w:rsidR="001955D7" w:rsidRPr="00AC2F94">
        <w:rPr>
          <w:rFonts w:ascii="Arial" w:hAnsi="Arial" w:cs="Arial"/>
          <w:sz w:val="24"/>
          <w:szCs w:val="24"/>
          <w:lang w:val="en-US"/>
        </w:rPr>
        <w:t>y</w:t>
      </w:r>
      <w:r w:rsidRPr="00AC2F94">
        <w:rPr>
          <w:rFonts w:ascii="Arial" w:hAnsi="Arial" w:cs="Arial"/>
          <w:sz w:val="24"/>
          <w:szCs w:val="24"/>
          <w:lang w:val="en-US"/>
        </w:rPr>
        <w:t xml:space="preserve"> transitioning to adulthood and</w:t>
      </w:r>
      <w:r w:rsidR="001955D7" w:rsidRPr="00AC2F94">
        <w:rPr>
          <w:rFonts w:ascii="Arial" w:hAnsi="Arial" w:cs="Arial"/>
          <w:sz w:val="24"/>
          <w:szCs w:val="24"/>
          <w:lang w:val="en-US"/>
        </w:rPr>
        <w:t xml:space="preserve"> will</w:t>
      </w:r>
      <w:r w:rsidRPr="00AC2F94">
        <w:rPr>
          <w:rFonts w:ascii="Arial" w:hAnsi="Arial" w:cs="Arial"/>
          <w:sz w:val="24"/>
          <w:szCs w:val="24"/>
          <w:lang w:val="en-US"/>
        </w:rPr>
        <w:t xml:space="preserve"> likely contribute to increased levels of employment destination outcomes for students</w:t>
      </w:r>
      <w:r w:rsidR="001955D7" w:rsidRPr="00AC2F94">
        <w:rPr>
          <w:rFonts w:ascii="Arial" w:hAnsi="Arial" w:cs="Arial"/>
          <w:sz w:val="24"/>
          <w:szCs w:val="24"/>
          <w:lang w:val="en-US"/>
        </w:rPr>
        <w:t xml:space="preserve"> in the USA</w:t>
      </w:r>
      <w:r w:rsidRPr="00AC2F94">
        <w:rPr>
          <w:rFonts w:ascii="Arial" w:hAnsi="Arial" w:cs="Arial"/>
          <w:sz w:val="24"/>
          <w:szCs w:val="24"/>
          <w:lang w:val="en-US"/>
        </w:rPr>
        <w:t>.</w:t>
      </w:r>
    </w:p>
    <w:p w14:paraId="51D32076" w14:textId="77777777" w:rsidR="006E461E" w:rsidRPr="00AC2F94" w:rsidRDefault="009C02DE" w:rsidP="00386B89">
      <w:pPr>
        <w:pStyle w:val="NormalWeb"/>
        <w:spacing w:before="0" w:beforeAutospacing="0" w:after="120" w:afterAutospacing="0" w:line="276" w:lineRule="auto"/>
        <w:rPr>
          <w:rFonts w:ascii="Arial" w:hAnsi="Arial" w:cs="Arial"/>
          <w:lang w:val="en-US"/>
        </w:rPr>
      </w:pPr>
      <w:r w:rsidRPr="00AC2F94">
        <w:rPr>
          <w:rFonts w:ascii="Arial" w:hAnsi="Arial" w:cs="Arial"/>
          <w:lang w:val="en-US"/>
        </w:rPr>
        <w:t xml:space="preserve">Chiefly, the Act will prohibit individuals with disabilities (aged 24 and younger) from working in jobs paying less than the federal minimum of $7.25 per hour unless they first try vocational rehabilitation services (equivalent to </w:t>
      </w:r>
      <w:r w:rsidRPr="00AC2F94">
        <w:rPr>
          <w:rFonts w:ascii="Arial" w:hAnsi="Arial" w:cs="Arial"/>
          <w:lang w:val="en-US"/>
        </w:rPr>
        <w:lastRenderedPageBreak/>
        <w:t xml:space="preserve">Australia’s DES) among other requirements including </w:t>
      </w:r>
      <w:r w:rsidR="001955D7" w:rsidRPr="00AC2F94">
        <w:rPr>
          <w:rFonts w:ascii="Arial" w:hAnsi="Arial" w:cs="Arial"/>
          <w:lang w:val="en-US"/>
        </w:rPr>
        <w:t>’</w:t>
      </w:r>
      <w:r w:rsidRPr="00AC2F94">
        <w:rPr>
          <w:rFonts w:ascii="Arial" w:hAnsi="Arial" w:cs="Arial"/>
          <w:lang w:val="en-US"/>
        </w:rPr>
        <w:t>access employment, education, job-driven training and support services that give them the chance to advance their careers and secure the good jobs of the future</w:t>
      </w:r>
      <w:r w:rsidR="001955D7" w:rsidRPr="00AC2F94">
        <w:rPr>
          <w:rFonts w:ascii="Arial" w:hAnsi="Arial" w:cs="Arial"/>
          <w:lang w:val="en-US"/>
        </w:rPr>
        <w:t>’</w:t>
      </w:r>
      <w:r w:rsidRPr="00AC2F94">
        <w:rPr>
          <w:rFonts w:ascii="Arial" w:hAnsi="Arial" w:cs="Arial"/>
          <w:lang w:val="en-US"/>
        </w:rPr>
        <w:t xml:space="preserve"> (President Obama, Press Release, 2014). </w:t>
      </w:r>
    </w:p>
    <w:p w14:paraId="2B913A8A" w14:textId="77777777" w:rsidR="009C02DE" w:rsidRPr="00AC2F94" w:rsidRDefault="009C02DE" w:rsidP="00386B89">
      <w:pPr>
        <w:pStyle w:val="NormalWeb"/>
        <w:spacing w:before="0" w:beforeAutospacing="0" w:after="120" w:afterAutospacing="0" w:line="276" w:lineRule="auto"/>
        <w:rPr>
          <w:rFonts w:ascii="Arial" w:hAnsi="Arial" w:cs="Arial"/>
          <w:lang w:val="en-US"/>
        </w:rPr>
      </w:pPr>
      <w:r w:rsidRPr="00AC2F94">
        <w:rPr>
          <w:rFonts w:ascii="Arial" w:hAnsi="Arial" w:cs="Arial"/>
          <w:lang w:val="en-US"/>
        </w:rPr>
        <w:t xml:space="preserve">Beyond limiting who can work for less than </w:t>
      </w:r>
      <w:r w:rsidR="001955D7" w:rsidRPr="00AC2F94">
        <w:rPr>
          <w:rFonts w:ascii="Arial" w:hAnsi="Arial" w:cs="Arial"/>
          <w:lang w:val="en-US"/>
        </w:rPr>
        <w:t xml:space="preserve">the </w:t>
      </w:r>
      <w:r w:rsidRPr="00AC2F94">
        <w:rPr>
          <w:rFonts w:ascii="Arial" w:hAnsi="Arial" w:cs="Arial"/>
          <w:lang w:val="en-US"/>
        </w:rPr>
        <w:t>minimum wage, the legislation will also mandate that DES equivalent providers must dedicate at least 15 per cent of their federal funding to help students with disabilit</w:t>
      </w:r>
      <w:r w:rsidR="001955D7" w:rsidRPr="00AC2F94">
        <w:rPr>
          <w:rFonts w:ascii="Arial" w:hAnsi="Arial" w:cs="Arial"/>
          <w:lang w:val="en-US"/>
        </w:rPr>
        <w:t>y</w:t>
      </w:r>
      <w:r w:rsidRPr="00AC2F94">
        <w:rPr>
          <w:rFonts w:ascii="Arial" w:hAnsi="Arial" w:cs="Arial"/>
          <w:lang w:val="en-US"/>
        </w:rPr>
        <w:t xml:space="preserve"> transition from school to work.</w:t>
      </w:r>
    </w:p>
    <w:p w14:paraId="7D7F9AA5" w14:textId="77777777" w:rsidR="006E461E" w:rsidRPr="00AC2F94" w:rsidRDefault="009C02DE" w:rsidP="00386B89">
      <w:pPr>
        <w:pStyle w:val="Default"/>
        <w:spacing w:after="120" w:line="276" w:lineRule="auto"/>
        <w:rPr>
          <w:rFonts w:ascii="Arial" w:hAnsi="Arial" w:cs="Arial"/>
          <w:color w:val="auto"/>
        </w:rPr>
      </w:pPr>
      <w:r w:rsidRPr="00AC2F94">
        <w:rPr>
          <w:rFonts w:ascii="Arial" w:hAnsi="Arial" w:cs="Arial"/>
          <w:color w:val="auto"/>
        </w:rPr>
        <w:t xml:space="preserve">With the introduction of </w:t>
      </w:r>
      <w:r w:rsidR="001955D7" w:rsidRPr="00AC2F94">
        <w:rPr>
          <w:rFonts w:ascii="Arial" w:hAnsi="Arial" w:cs="Arial"/>
          <w:color w:val="auto"/>
        </w:rPr>
        <w:t xml:space="preserve">the </w:t>
      </w:r>
      <w:r w:rsidRPr="00AC2F94">
        <w:rPr>
          <w:rFonts w:ascii="Arial" w:hAnsi="Arial" w:cs="Arial"/>
          <w:color w:val="auto"/>
        </w:rPr>
        <w:t>NDIS</w:t>
      </w:r>
      <w:r w:rsidR="001955D7" w:rsidRPr="00AC2F94">
        <w:rPr>
          <w:rFonts w:ascii="Arial" w:hAnsi="Arial" w:cs="Arial"/>
          <w:color w:val="auto"/>
        </w:rPr>
        <w:t xml:space="preserve"> in Australia,</w:t>
      </w:r>
      <w:r w:rsidRPr="00AC2F94">
        <w:rPr>
          <w:rFonts w:ascii="Arial" w:hAnsi="Arial" w:cs="Arial"/>
          <w:color w:val="auto"/>
        </w:rPr>
        <w:t xml:space="preserve"> there will be more resources and opportunities for people with disability to achieve their goals. However, if the current frameworks, policy, practices and prevailing culture are not examined</w:t>
      </w:r>
      <w:r w:rsidR="001955D7" w:rsidRPr="00AC2F94">
        <w:rPr>
          <w:rFonts w:ascii="Arial" w:hAnsi="Arial" w:cs="Arial"/>
          <w:color w:val="auto"/>
        </w:rPr>
        <w:t>,</w:t>
      </w:r>
      <w:r w:rsidRPr="00AC2F94">
        <w:rPr>
          <w:rFonts w:ascii="Arial" w:hAnsi="Arial" w:cs="Arial"/>
          <w:color w:val="auto"/>
        </w:rPr>
        <w:t xml:space="preserve"> the NDIS is unlikely to better support students transition</w:t>
      </w:r>
      <w:r w:rsidR="001955D7" w:rsidRPr="00AC2F94">
        <w:rPr>
          <w:rFonts w:ascii="Arial" w:hAnsi="Arial" w:cs="Arial"/>
          <w:color w:val="auto"/>
        </w:rPr>
        <w:t>ing</w:t>
      </w:r>
      <w:r w:rsidRPr="00AC2F94">
        <w:rPr>
          <w:rFonts w:ascii="Arial" w:hAnsi="Arial" w:cs="Arial"/>
          <w:color w:val="auto"/>
        </w:rPr>
        <w:t xml:space="preserve"> to employment.   </w:t>
      </w:r>
    </w:p>
    <w:p w14:paraId="235C95F8" w14:textId="77777777" w:rsidR="009C02DE" w:rsidRPr="00AC2F94" w:rsidRDefault="009C02DE" w:rsidP="00386B89">
      <w:pPr>
        <w:pStyle w:val="Default"/>
        <w:spacing w:after="120" w:line="276" w:lineRule="auto"/>
        <w:rPr>
          <w:rFonts w:ascii="Arial" w:hAnsi="Arial" w:cs="Arial"/>
          <w:color w:val="auto"/>
        </w:rPr>
      </w:pPr>
      <w:r w:rsidRPr="00AC2F94">
        <w:rPr>
          <w:rFonts w:ascii="Arial" w:hAnsi="Arial" w:cs="Arial"/>
          <w:color w:val="auto"/>
        </w:rPr>
        <w:lastRenderedPageBreak/>
        <w:t>Currently</w:t>
      </w:r>
      <w:r w:rsidR="001955D7" w:rsidRPr="00AC2F94">
        <w:rPr>
          <w:rFonts w:ascii="Arial" w:hAnsi="Arial" w:cs="Arial"/>
          <w:color w:val="auto"/>
        </w:rPr>
        <w:t>,</w:t>
      </w:r>
      <w:r w:rsidRPr="00AC2F94">
        <w:rPr>
          <w:rFonts w:ascii="Arial" w:hAnsi="Arial" w:cs="Arial"/>
        </w:rPr>
        <w:t xml:space="preserve"> young people with d</w:t>
      </w:r>
      <w:r w:rsidR="001A29FC" w:rsidRPr="00AC2F94">
        <w:rPr>
          <w:rFonts w:ascii="Arial" w:hAnsi="Arial" w:cs="Arial"/>
        </w:rPr>
        <w:t>isability are exempted from the</w:t>
      </w:r>
      <w:r w:rsidRPr="00AC2F94">
        <w:rPr>
          <w:rFonts w:ascii="Arial" w:hAnsi="Arial" w:cs="Arial"/>
        </w:rPr>
        <w:t xml:space="preserve"> ‘Learn and Earn’ policies that their non-</w:t>
      </w:r>
      <w:r w:rsidR="001A29FC" w:rsidRPr="00AC2F94">
        <w:rPr>
          <w:rFonts w:ascii="Arial" w:hAnsi="Arial" w:cs="Arial"/>
        </w:rPr>
        <w:t>disabled</w:t>
      </w:r>
      <w:r w:rsidRPr="00AC2F94">
        <w:rPr>
          <w:rFonts w:ascii="Arial" w:hAnsi="Arial" w:cs="Arial"/>
        </w:rPr>
        <w:t xml:space="preserve"> peers are obliged to follow which implies that there is no expectation of employment, training or secondary school completion.</w:t>
      </w:r>
    </w:p>
    <w:p w14:paraId="31F1FF78" w14:textId="77777777" w:rsidR="00D457C4" w:rsidRPr="00AC2F94" w:rsidRDefault="00D457C4" w:rsidP="00386B89">
      <w:pPr>
        <w:pStyle w:val="Default"/>
        <w:spacing w:after="120" w:line="276" w:lineRule="auto"/>
        <w:rPr>
          <w:rFonts w:ascii="Arial" w:hAnsi="Arial" w:cs="Arial"/>
          <w:b/>
          <w:color w:val="auto"/>
        </w:rPr>
      </w:pPr>
    </w:p>
    <w:p w14:paraId="2BE27729" w14:textId="77777777" w:rsidR="009C02DE" w:rsidRPr="00AC2F94" w:rsidRDefault="009C02DE" w:rsidP="00386B89">
      <w:pPr>
        <w:pStyle w:val="Default"/>
        <w:spacing w:after="120" w:line="276" w:lineRule="auto"/>
        <w:rPr>
          <w:rFonts w:ascii="Arial" w:hAnsi="Arial" w:cs="Arial"/>
          <w:b/>
          <w:color w:val="auto"/>
        </w:rPr>
      </w:pPr>
      <w:r w:rsidRPr="00AC2F94">
        <w:rPr>
          <w:rFonts w:ascii="Arial" w:hAnsi="Arial" w:cs="Arial"/>
          <w:b/>
          <w:color w:val="auto"/>
        </w:rPr>
        <w:t>Recommendation</w:t>
      </w:r>
    </w:p>
    <w:p w14:paraId="2A022E32" w14:textId="77777777" w:rsidR="00880FCE" w:rsidRPr="00AC2F94" w:rsidRDefault="00880FCE" w:rsidP="001A29FC">
      <w:pPr>
        <w:pStyle w:val="Default"/>
        <w:spacing w:after="120" w:line="276" w:lineRule="auto"/>
        <w:rPr>
          <w:rFonts w:ascii="Arial" w:hAnsi="Arial" w:cs="Arial"/>
          <w:color w:val="auto"/>
        </w:rPr>
      </w:pPr>
      <w:r w:rsidRPr="00AC2F94">
        <w:rPr>
          <w:rFonts w:ascii="Arial" w:hAnsi="Arial" w:cs="Arial"/>
          <w:color w:val="auto"/>
        </w:rPr>
        <w:t>Australia could benefit from examining international practices</w:t>
      </w:r>
      <w:r w:rsidR="001955D7" w:rsidRPr="00AC2F94">
        <w:rPr>
          <w:rFonts w:ascii="Arial" w:hAnsi="Arial" w:cs="Arial"/>
          <w:color w:val="auto"/>
        </w:rPr>
        <w:t>,</w:t>
      </w:r>
      <w:r w:rsidRPr="00AC2F94">
        <w:rPr>
          <w:rFonts w:ascii="Arial" w:hAnsi="Arial" w:cs="Arial"/>
          <w:color w:val="auto"/>
        </w:rPr>
        <w:t xml:space="preserve"> especially Employment First</w:t>
      </w:r>
      <w:r w:rsidR="001955D7" w:rsidRPr="00AC2F94">
        <w:rPr>
          <w:rFonts w:ascii="Arial" w:hAnsi="Arial" w:cs="Arial"/>
          <w:color w:val="auto"/>
        </w:rPr>
        <w:t>,</w:t>
      </w:r>
      <w:r w:rsidRPr="00AC2F94">
        <w:rPr>
          <w:rFonts w:ascii="Arial" w:hAnsi="Arial" w:cs="Arial"/>
          <w:color w:val="auto"/>
        </w:rPr>
        <w:t xml:space="preserve"> that are delivering improved disability employment outcomes for young people in their transition from school.</w:t>
      </w:r>
    </w:p>
    <w:p w14:paraId="30B306E3" w14:textId="77777777" w:rsidR="00D457C4" w:rsidRPr="00AC2F94" w:rsidRDefault="00D457C4" w:rsidP="009A1187">
      <w:pPr>
        <w:pStyle w:val="Heading1"/>
        <w:spacing w:before="0" w:after="120" w:line="276" w:lineRule="auto"/>
        <w:rPr>
          <w:rFonts w:ascii="Arial" w:hAnsi="Arial" w:cs="Arial"/>
          <w:color w:val="auto"/>
          <w:sz w:val="24"/>
          <w:szCs w:val="24"/>
        </w:rPr>
      </w:pPr>
    </w:p>
    <w:p w14:paraId="5F1BFA52" w14:textId="77777777" w:rsidR="008652A9" w:rsidRPr="00AC2F94" w:rsidRDefault="008652A9" w:rsidP="009A1187">
      <w:pPr>
        <w:pStyle w:val="Heading1"/>
        <w:spacing w:before="0" w:after="120" w:line="276" w:lineRule="auto"/>
        <w:rPr>
          <w:rFonts w:ascii="Arial" w:hAnsi="Arial" w:cs="Arial"/>
          <w:color w:val="auto"/>
          <w:sz w:val="24"/>
          <w:szCs w:val="24"/>
        </w:rPr>
      </w:pPr>
      <w:bookmarkStart w:id="19" w:name="_Toc419282002"/>
      <w:r w:rsidRPr="00AC2F94">
        <w:rPr>
          <w:rFonts w:ascii="Arial" w:hAnsi="Arial" w:cs="Arial"/>
          <w:color w:val="auto"/>
          <w:sz w:val="24"/>
          <w:szCs w:val="24"/>
        </w:rPr>
        <w:t>Conclusion</w:t>
      </w:r>
      <w:bookmarkEnd w:id="19"/>
    </w:p>
    <w:p w14:paraId="4F5EFD0C" w14:textId="77777777" w:rsidR="006E461E" w:rsidRPr="00AC2F94" w:rsidRDefault="006E461E" w:rsidP="00386B89">
      <w:pPr>
        <w:spacing w:after="120" w:line="276" w:lineRule="auto"/>
        <w:rPr>
          <w:rFonts w:ascii="Arial" w:hAnsi="Arial" w:cs="Arial"/>
          <w:sz w:val="24"/>
          <w:szCs w:val="24"/>
          <w:lang w:eastAsia="en-AU"/>
        </w:rPr>
      </w:pPr>
      <w:r w:rsidRPr="00AC2F94">
        <w:rPr>
          <w:rFonts w:ascii="Arial" w:hAnsi="Arial" w:cs="Arial"/>
          <w:sz w:val="24"/>
          <w:szCs w:val="24"/>
          <w:lang w:eastAsia="en-AU"/>
        </w:rPr>
        <w:t xml:space="preserve">We would welcome the opportunity to discuss the </w:t>
      </w:r>
      <w:r w:rsidR="001955D7" w:rsidRPr="00AC2F94">
        <w:rPr>
          <w:rFonts w:ascii="Arial" w:hAnsi="Arial" w:cs="Arial"/>
          <w:sz w:val="24"/>
          <w:szCs w:val="24"/>
          <w:lang w:eastAsia="en-AU"/>
        </w:rPr>
        <w:t>G</w:t>
      </w:r>
      <w:r w:rsidRPr="00AC2F94">
        <w:rPr>
          <w:rFonts w:ascii="Arial" w:hAnsi="Arial" w:cs="Arial"/>
          <w:sz w:val="24"/>
          <w:szCs w:val="24"/>
          <w:lang w:eastAsia="en-AU"/>
        </w:rPr>
        <w:t xml:space="preserve">uidelines and how we can best support Ticket to Work students to succeed in their Transition from school to adulthood. </w:t>
      </w:r>
    </w:p>
    <w:p w14:paraId="0A1E865C" w14:textId="77777777" w:rsidR="00880FCE" w:rsidRPr="00AC2F94" w:rsidRDefault="00880FCE" w:rsidP="009A1187">
      <w:pPr>
        <w:spacing w:after="120" w:line="276" w:lineRule="auto"/>
        <w:rPr>
          <w:rFonts w:ascii="Arial" w:hAnsi="Arial" w:cs="Arial"/>
          <w:sz w:val="24"/>
          <w:szCs w:val="24"/>
        </w:rPr>
      </w:pPr>
    </w:p>
    <w:p w14:paraId="50153875" w14:textId="77777777" w:rsidR="008652A9" w:rsidRPr="00AC2F94" w:rsidRDefault="008652A9" w:rsidP="007D77C5">
      <w:pPr>
        <w:pStyle w:val="Heading1"/>
        <w:spacing w:before="0" w:after="120" w:line="276" w:lineRule="auto"/>
        <w:rPr>
          <w:rFonts w:ascii="Arial" w:hAnsi="Arial" w:cs="Arial"/>
          <w:color w:val="auto"/>
        </w:rPr>
      </w:pPr>
      <w:bookmarkStart w:id="20" w:name="_Toc419282003"/>
      <w:r w:rsidRPr="00AC2F94">
        <w:rPr>
          <w:rFonts w:ascii="Arial" w:hAnsi="Arial" w:cs="Arial"/>
          <w:color w:val="auto"/>
        </w:rPr>
        <w:t>References</w:t>
      </w:r>
      <w:bookmarkEnd w:id="20"/>
    </w:p>
    <w:p w14:paraId="5923D3D1" w14:textId="77777777" w:rsidR="00140BFF" w:rsidRPr="00AC2F94" w:rsidRDefault="00140BFF" w:rsidP="004A4EF8">
      <w:pPr>
        <w:spacing w:after="120" w:line="276" w:lineRule="auto"/>
        <w:rPr>
          <w:rFonts w:ascii="Arial" w:hAnsi="Arial" w:cs="Arial"/>
          <w:sz w:val="24"/>
          <w:szCs w:val="24"/>
        </w:rPr>
      </w:pPr>
      <w:r w:rsidRPr="00AC2F94">
        <w:rPr>
          <w:rFonts w:ascii="Arial" w:hAnsi="Arial" w:cs="Arial"/>
          <w:sz w:val="24"/>
          <w:szCs w:val="24"/>
        </w:rPr>
        <w:t xml:space="preserve">Australian Bureau of Statistics ‘Disability and Work Report’ (2012) </w:t>
      </w:r>
      <w:hyperlink r:id="rId19" w:history="1">
        <w:r w:rsidRPr="00AC2F94">
          <w:rPr>
            <w:rStyle w:val="Hyperlink"/>
            <w:rFonts w:ascii="Arial" w:hAnsi="Arial" w:cs="Arial"/>
            <w:sz w:val="24"/>
            <w:szCs w:val="24"/>
          </w:rPr>
          <w:t>www.abs.gov.au/AUSSTATS/abs@.nsf/Lookup/4102.0Main+Features40March+Quarter+2012</w:t>
        </w:r>
      </w:hyperlink>
      <w:r w:rsidRPr="00AC2F94">
        <w:rPr>
          <w:rFonts w:ascii="Arial" w:hAnsi="Arial" w:cs="Arial"/>
          <w:sz w:val="24"/>
          <w:szCs w:val="24"/>
        </w:rPr>
        <w:t xml:space="preserve"> </w:t>
      </w:r>
    </w:p>
    <w:p w14:paraId="4E81E7AB" w14:textId="77777777" w:rsidR="00F47FC9" w:rsidRPr="00AC2F94" w:rsidRDefault="00617FDA" w:rsidP="003007BB">
      <w:pPr>
        <w:spacing w:after="120" w:line="276" w:lineRule="auto"/>
        <w:rPr>
          <w:rFonts w:ascii="Arial" w:hAnsi="Arial" w:cs="Arial"/>
          <w:sz w:val="24"/>
          <w:szCs w:val="24"/>
        </w:rPr>
      </w:pPr>
      <w:r w:rsidRPr="00AC2F94">
        <w:rPr>
          <w:rFonts w:ascii="Arial" w:hAnsi="Arial" w:cs="Arial"/>
          <w:sz w:val="24"/>
          <w:szCs w:val="24"/>
        </w:rPr>
        <w:t>Australian Bureau of Statistics ‘Disability, Ageing and Carers, Australia: Summary of Findings, 2012’</w:t>
      </w:r>
      <w:r w:rsidR="00D85ABB" w:rsidRPr="00AC2F94">
        <w:rPr>
          <w:rFonts w:ascii="Arial" w:hAnsi="Arial" w:cs="Arial"/>
          <w:sz w:val="24"/>
          <w:szCs w:val="24"/>
        </w:rPr>
        <w:t xml:space="preserve"> </w:t>
      </w:r>
      <w:hyperlink r:id="rId20" w:history="1">
        <w:r w:rsidR="00CE01A3" w:rsidRPr="00AC2F94">
          <w:rPr>
            <w:rStyle w:val="Hyperlink"/>
            <w:rFonts w:ascii="Arial" w:hAnsi="Arial" w:cs="Arial"/>
            <w:sz w:val="24"/>
            <w:szCs w:val="24"/>
          </w:rPr>
          <w:t>www.abs.gov.au/ausstats/abs@.nsf/mf/4430.0</w:t>
        </w:r>
      </w:hyperlink>
    </w:p>
    <w:p w14:paraId="68A176CA" w14:textId="77777777" w:rsidR="008652A9" w:rsidRPr="00AC2F94" w:rsidRDefault="001A29FC" w:rsidP="007D1C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line="276" w:lineRule="auto"/>
        <w:ind w:hanging="720"/>
        <w:rPr>
          <w:rFonts w:ascii="Arial" w:hAnsi="Arial" w:cs="Arial"/>
          <w:sz w:val="24"/>
          <w:szCs w:val="24"/>
        </w:rPr>
      </w:pPr>
      <w:r w:rsidRPr="00AC2F94">
        <w:rPr>
          <w:rFonts w:ascii="Arial" w:hAnsi="Arial" w:cs="Arial"/>
          <w:sz w:val="24"/>
          <w:szCs w:val="24"/>
          <w:lang w:val="es-MX"/>
        </w:rPr>
        <w:tab/>
        <w:t>Benz, M. R.,</w:t>
      </w:r>
      <w:r w:rsidR="008652A9" w:rsidRPr="00AC2F94">
        <w:rPr>
          <w:rFonts w:ascii="Arial" w:hAnsi="Arial" w:cs="Arial"/>
          <w:sz w:val="24"/>
          <w:szCs w:val="24"/>
          <w:lang w:val="es-MX"/>
        </w:rPr>
        <w:t xml:space="preserve">Yovanoff, P. &amp;, Doren, B. (1997), </w:t>
      </w:r>
      <w:r w:rsidR="008652A9" w:rsidRPr="00AC2F94">
        <w:rPr>
          <w:rFonts w:ascii="Arial" w:hAnsi="Arial" w:cs="Arial"/>
          <w:sz w:val="24"/>
          <w:szCs w:val="24"/>
        </w:rPr>
        <w:t xml:space="preserve">‘School-to-Work Components that Predict Post School Success for Students with and without Disabilities’”, </w:t>
      </w:r>
      <w:r w:rsidR="008652A9" w:rsidRPr="00AC2F94">
        <w:rPr>
          <w:rFonts w:ascii="Arial" w:hAnsi="Arial" w:cs="Arial"/>
          <w:i/>
          <w:sz w:val="24"/>
          <w:szCs w:val="24"/>
        </w:rPr>
        <w:t>Exceptional Children</w:t>
      </w:r>
      <w:r w:rsidR="008652A9" w:rsidRPr="00AC2F94">
        <w:rPr>
          <w:rFonts w:ascii="Arial" w:hAnsi="Arial" w:cs="Arial"/>
          <w:sz w:val="24"/>
          <w:szCs w:val="24"/>
        </w:rPr>
        <w:t>, 63, 151-164.</w:t>
      </w:r>
    </w:p>
    <w:p w14:paraId="15572443" w14:textId="77777777" w:rsidR="00ED2BA3" w:rsidRPr="00AC2F94" w:rsidRDefault="00ED2BA3" w:rsidP="007D1C30">
      <w:pPr>
        <w:shd w:val="clear" w:color="auto" w:fill="FFFFFF"/>
        <w:spacing w:after="120" w:line="276" w:lineRule="auto"/>
        <w:rPr>
          <w:rFonts w:ascii="Arial" w:hAnsi="Arial" w:cs="Arial"/>
          <w:sz w:val="24"/>
          <w:szCs w:val="24"/>
        </w:rPr>
      </w:pPr>
      <w:r w:rsidRPr="00AC2F94">
        <w:rPr>
          <w:rFonts w:ascii="Arial" w:hAnsi="Arial" w:cs="Arial"/>
          <w:color w:val="262F37"/>
          <w:sz w:val="24"/>
          <w:szCs w:val="24"/>
        </w:rPr>
        <w:t xml:space="preserve">Clark, C (2007), ‘Connecting the dots: A successful transition for deaf students from vocational education and </w:t>
      </w:r>
      <w:r w:rsidR="0098561F" w:rsidRPr="00AC2F94">
        <w:rPr>
          <w:rFonts w:ascii="Arial" w:hAnsi="Arial" w:cs="Arial"/>
          <w:sz w:val="24"/>
          <w:szCs w:val="24"/>
        </w:rPr>
        <w:t xml:space="preserve">training to employment’, NCVER. </w:t>
      </w:r>
    </w:p>
    <w:p w14:paraId="4B16E200" w14:textId="77777777" w:rsidR="008652A9" w:rsidRPr="00AC2F94" w:rsidRDefault="0098561F" w:rsidP="007D1C30">
      <w:pPr>
        <w:spacing w:after="120" w:line="276" w:lineRule="auto"/>
        <w:rPr>
          <w:rFonts w:ascii="Arial" w:hAnsi="Arial" w:cs="Arial"/>
          <w:sz w:val="24"/>
          <w:szCs w:val="24"/>
        </w:rPr>
      </w:pPr>
      <w:r w:rsidRPr="00AC2F94">
        <w:rPr>
          <w:rFonts w:ascii="Arial" w:hAnsi="Arial" w:cs="Arial"/>
          <w:sz w:val="24"/>
          <w:szCs w:val="24"/>
        </w:rPr>
        <w:lastRenderedPageBreak/>
        <w:t xml:space="preserve">Colley, D. A., and Jamison, D. (1998), "’Post School Results for Youth with Disabilities: Key Indicators and Policy Implications’, </w:t>
      </w:r>
      <w:r w:rsidRPr="00AC2F94">
        <w:rPr>
          <w:rFonts w:ascii="Arial" w:hAnsi="Arial" w:cs="Arial"/>
          <w:i/>
          <w:sz w:val="24"/>
          <w:szCs w:val="24"/>
        </w:rPr>
        <w:t>Career development for exceptional individuals,</w:t>
      </w:r>
      <w:r w:rsidRPr="00AC2F94">
        <w:rPr>
          <w:rFonts w:ascii="Arial" w:hAnsi="Arial" w:cs="Arial"/>
          <w:sz w:val="24"/>
          <w:szCs w:val="24"/>
        </w:rPr>
        <w:t xml:space="preserve"> Vol. 21, No. 2 (Fall 1998): 145-160. </w:t>
      </w:r>
    </w:p>
    <w:p w14:paraId="47E8F4AA" w14:textId="77777777" w:rsidR="00ED2BA3" w:rsidRPr="00AC2F94" w:rsidRDefault="0098561F">
      <w:pPr>
        <w:shd w:val="clear" w:color="auto" w:fill="FFFFFF"/>
        <w:spacing w:after="120" w:line="276" w:lineRule="auto"/>
        <w:rPr>
          <w:rFonts w:ascii="Arial" w:hAnsi="Arial" w:cs="Arial"/>
          <w:sz w:val="24"/>
          <w:szCs w:val="24"/>
        </w:rPr>
      </w:pPr>
      <w:r w:rsidRPr="00AC2F94">
        <w:rPr>
          <w:rFonts w:ascii="Arial" w:hAnsi="Arial" w:cs="Arial"/>
          <w:sz w:val="24"/>
          <w:szCs w:val="24"/>
        </w:rPr>
        <w:t xml:space="preserve">Dawe, S (2004), </w:t>
      </w:r>
      <w:hyperlink r:id="rId21" w:history="1">
        <w:r w:rsidRPr="00AC2F94">
          <w:rPr>
            <w:rStyle w:val="Hyperlink"/>
            <w:rFonts w:ascii="Arial" w:hAnsi="Arial" w:cs="Arial"/>
            <w:color w:val="auto"/>
            <w:sz w:val="24"/>
            <w:szCs w:val="24"/>
          </w:rPr>
          <w:t>‘Moving on from enabling courses: Why do some students remain in enabling courses?’</w:t>
        </w:r>
      </w:hyperlink>
      <w:r w:rsidRPr="00AC2F94">
        <w:rPr>
          <w:rFonts w:ascii="Arial" w:hAnsi="Arial" w:cs="Arial"/>
          <w:sz w:val="24"/>
          <w:szCs w:val="24"/>
        </w:rPr>
        <w:t>, NCVER.</w:t>
      </w:r>
    </w:p>
    <w:p w14:paraId="4EFEEF5B" w14:textId="77777777" w:rsidR="007F52D1" w:rsidRPr="00AC2F94" w:rsidRDefault="007F52D1">
      <w:pPr>
        <w:spacing w:after="120" w:line="276" w:lineRule="auto"/>
        <w:rPr>
          <w:rFonts w:ascii="Arial" w:hAnsi="Arial" w:cs="Arial"/>
          <w:sz w:val="24"/>
          <w:szCs w:val="24"/>
        </w:rPr>
      </w:pPr>
      <w:r w:rsidRPr="00AC2F94">
        <w:rPr>
          <w:rFonts w:ascii="Arial" w:hAnsi="Arial" w:cs="Arial"/>
          <w:iCs/>
          <w:sz w:val="24"/>
          <w:szCs w:val="24"/>
        </w:rPr>
        <w:t>Department of Education and Early Childhood Development, ‘2011 On Track Special Schools and Special Development Schools’</w:t>
      </w:r>
      <w:r w:rsidRPr="00AC2F94">
        <w:rPr>
          <w:rFonts w:ascii="Arial" w:hAnsi="Arial" w:cs="Arial"/>
          <w:sz w:val="24"/>
          <w:szCs w:val="24"/>
        </w:rPr>
        <w:t>, November 2011.</w:t>
      </w:r>
    </w:p>
    <w:p w14:paraId="2531487B" w14:textId="77777777" w:rsidR="004E36FE" w:rsidRPr="00AC2F94" w:rsidRDefault="0098561F">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Ferguson, P., Ferguson, D. L., &amp; Jones, D. (1998). Generations of hope: Parental perspectives on</w:t>
      </w:r>
      <w:r w:rsidR="00D85ABB" w:rsidRPr="00AC2F94">
        <w:rPr>
          <w:rFonts w:ascii="Arial" w:hAnsi="Arial" w:cs="Arial"/>
          <w:sz w:val="24"/>
          <w:szCs w:val="24"/>
        </w:rPr>
        <w:t xml:space="preserve"> </w:t>
      </w:r>
      <w:r w:rsidR="00680937" w:rsidRPr="00AC2F94">
        <w:rPr>
          <w:rFonts w:ascii="Arial" w:hAnsi="Arial" w:cs="Arial"/>
          <w:sz w:val="24"/>
          <w:szCs w:val="24"/>
        </w:rPr>
        <w:t>the transitions of their children with severe mental retardation from school to adult life.</w:t>
      </w:r>
      <w:r w:rsidR="00D85ABB" w:rsidRPr="00AC2F94">
        <w:rPr>
          <w:rFonts w:ascii="Arial" w:hAnsi="Arial" w:cs="Arial"/>
          <w:sz w:val="24"/>
          <w:szCs w:val="24"/>
        </w:rPr>
        <w:t xml:space="preserve"> </w:t>
      </w:r>
      <w:r w:rsidR="00680937" w:rsidRPr="00AC2F94">
        <w:rPr>
          <w:rFonts w:ascii="Arial" w:hAnsi="Arial" w:cs="Arial"/>
          <w:i/>
          <w:iCs/>
          <w:sz w:val="24"/>
          <w:szCs w:val="24"/>
        </w:rPr>
        <w:t xml:space="preserve">Journal of the Association for Persons with Severe Handicaps, 13, </w:t>
      </w:r>
      <w:r w:rsidR="00680937" w:rsidRPr="00AC2F94">
        <w:rPr>
          <w:rFonts w:ascii="Arial" w:hAnsi="Arial" w:cs="Arial"/>
          <w:sz w:val="24"/>
          <w:szCs w:val="24"/>
        </w:rPr>
        <w:t>pp.177-187.</w:t>
      </w:r>
    </w:p>
    <w:p w14:paraId="6EB66907" w14:textId="77777777" w:rsidR="00CE01A3" w:rsidRPr="00AC2F94" w:rsidRDefault="00680937">
      <w:pPr>
        <w:spacing w:after="120" w:line="276" w:lineRule="auto"/>
        <w:rPr>
          <w:rFonts w:ascii="Arial" w:hAnsi="Arial" w:cs="Arial"/>
          <w:b/>
          <w:sz w:val="24"/>
          <w:szCs w:val="24"/>
        </w:rPr>
      </w:pPr>
      <w:r w:rsidRPr="00AC2F94">
        <w:rPr>
          <w:rFonts w:ascii="Arial" w:hAnsi="Arial" w:cs="Arial"/>
          <w:sz w:val="24"/>
          <w:szCs w:val="24"/>
        </w:rPr>
        <w:lastRenderedPageBreak/>
        <w:t>Lamb,S McKenzie, P (2001)</w:t>
      </w:r>
      <w:r w:rsidRPr="00AC2F94">
        <w:rPr>
          <w:rStyle w:val="Strong"/>
          <w:rFonts w:ascii="Arial" w:hAnsi="Arial" w:cs="Arial"/>
          <w:sz w:val="24"/>
          <w:szCs w:val="24"/>
        </w:rPr>
        <w:t xml:space="preserve"> </w:t>
      </w:r>
      <w:r w:rsidRPr="00AC2F94">
        <w:rPr>
          <w:rStyle w:val="Strong"/>
          <w:rFonts w:ascii="Arial" w:hAnsi="Arial" w:cs="Arial"/>
          <w:b w:val="0"/>
          <w:sz w:val="24"/>
          <w:szCs w:val="24"/>
        </w:rPr>
        <w:t xml:space="preserve">Patterns of Success and Failure in the Transition from School to Work in Australia (Report No. 18)  </w:t>
      </w:r>
      <w:r w:rsidRPr="00AC2F94">
        <w:rPr>
          <w:rFonts w:ascii="Arial" w:hAnsi="Arial" w:cs="Arial"/>
          <w:sz w:val="24"/>
          <w:szCs w:val="24"/>
        </w:rPr>
        <w:t xml:space="preserve">Australian Council for Educational Research (ACER) </w:t>
      </w:r>
    </w:p>
    <w:p w14:paraId="66E82348" w14:textId="77777777" w:rsidR="0016040D" w:rsidRPr="00AC2F94" w:rsidRDefault="00680937">
      <w:pPr>
        <w:pStyle w:val="NormalWeb"/>
        <w:spacing w:before="0" w:beforeAutospacing="0" w:after="120" w:afterAutospacing="0" w:line="276" w:lineRule="auto"/>
        <w:rPr>
          <w:rFonts w:ascii="Arial" w:hAnsi="Arial" w:cs="Arial"/>
        </w:rPr>
      </w:pPr>
      <w:r w:rsidRPr="00AC2F94">
        <w:rPr>
          <w:rFonts w:ascii="Arial" w:hAnsi="Arial" w:cs="Arial"/>
        </w:rPr>
        <w:t xml:space="preserve">Luecking, R. (2010), ‘The art of possibility: seamless transition from school to work and adult life’, </w:t>
      </w:r>
      <w:r w:rsidRPr="00AC2F94">
        <w:rPr>
          <w:rStyle w:val="Emphasis"/>
          <w:rFonts w:ascii="Arial" w:hAnsi="Arial" w:cs="Arial"/>
          <w:bCs/>
        </w:rPr>
        <w:t>Voice</w:t>
      </w:r>
      <w:r w:rsidRPr="00AC2F94">
        <w:rPr>
          <w:rFonts w:ascii="Arial" w:hAnsi="Arial" w:cs="Arial"/>
          <w:i/>
        </w:rPr>
        <w:t>,</w:t>
      </w:r>
      <w:r w:rsidRPr="00AC2F94">
        <w:rPr>
          <w:rFonts w:ascii="Arial" w:hAnsi="Arial" w:cs="Arial"/>
        </w:rPr>
        <w:t xml:space="preserve"> Vol. 1, Issue 3, September 2010.</w:t>
      </w:r>
    </w:p>
    <w:p w14:paraId="729E772A" w14:textId="77777777" w:rsidR="00CE01A3" w:rsidRPr="00AC2F94" w:rsidRDefault="00CE01A3">
      <w:pPr>
        <w:spacing w:after="120" w:line="276" w:lineRule="auto"/>
        <w:rPr>
          <w:rFonts w:ascii="Arial" w:hAnsi="Arial" w:cs="Arial"/>
          <w:sz w:val="24"/>
          <w:szCs w:val="24"/>
        </w:rPr>
      </w:pPr>
      <w:r w:rsidRPr="00AC2F94">
        <w:rPr>
          <w:rFonts w:ascii="Arial" w:hAnsi="Arial" w:cs="Arial"/>
          <w:sz w:val="24"/>
          <w:szCs w:val="24"/>
        </w:rPr>
        <w:t xml:space="preserve">Newman, L., Wagner, M., Knokey, A.-M., Marder, C., Nagle, K., Shaver, D., Wei, X., with Cameto, R., Contreras, E., Ferguson, K., Greene, S., and Schwarting, M. (2011). </w:t>
      </w:r>
      <w:r w:rsidRPr="00AC2F94">
        <w:rPr>
          <w:rStyle w:val="Emphasis"/>
          <w:rFonts w:ascii="Arial" w:hAnsi="Arial" w:cs="Arial"/>
          <w:sz w:val="24"/>
          <w:szCs w:val="24"/>
        </w:rPr>
        <w:t>The Post-High S</w:t>
      </w:r>
      <w:r w:rsidR="00AB0450" w:rsidRPr="00AC2F94">
        <w:rPr>
          <w:rStyle w:val="Emphasis"/>
          <w:rFonts w:ascii="Arial" w:hAnsi="Arial" w:cs="Arial"/>
          <w:sz w:val="24"/>
          <w:szCs w:val="24"/>
        </w:rPr>
        <w:t>chool Outcomes of Young Adults w</w:t>
      </w:r>
      <w:r w:rsidRPr="00AC2F94">
        <w:rPr>
          <w:rStyle w:val="Emphasis"/>
          <w:rFonts w:ascii="Arial" w:hAnsi="Arial" w:cs="Arial"/>
          <w:sz w:val="24"/>
          <w:szCs w:val="24"/>
        </w:rPr>
        <w:t>ith Disabilities up to 8 Yea</w:t>
      </w:r>
      <w:r w:rsidR="00AB0450" w:rsidRPr="00AC2F94">
        <w:rPr>
          <w:rStyle w:val="Emphasis"/>
          <w:rFonts w:ascii="Arial" w:hAnsi="Arial" w:cs="Arial"/>
          <w:sz w:val="24"/>
          <w:szCs w:val="24"/>
        </w:rPr>
        <w:t>rs a</w:t>
      </w:r>
      <w:r w:rsidR="009C02DE" w:rsidRPr="00AC2F94">
        <w:rPr>
          <w:rStyle w:val="Emphasis"/>
          <w:rFonts w:ascii="Arial" w:hAnsi="Arial" w:cs="Arial"/>
          <w:sz w:val="24"/>
          <w:szCs w:val="24"/>
        </w:rPr>
        <w:t>fter High School. A Report f</w:t>
      </w:r>
      <w:r w:rsidRPr="00AC2F94">
        <w:rPr>
          <w:rStyle w:val="Emphasis"/>
          <w:rFonts w:ascii="Arial" w:hAnsi="Arial" w:cs="Arial"/>
          <w:sz w:val="24"/>
          <w:szCs w:val="24"/>
        </w:rPr>
        <w:t>rom the National Longitudinal Transition Study-2 (NLTS2)</w:t>
      </w:r>
      <w:r w:rsidRPr="00AC2F94">
        <w:rPr>
          <w:rFonts w:ascii="Arial" w:hAnsi="Arial" w:cs="Arial"/>
          <w:sz w:val="24"/>
          <w:szCs w:val="24"/>
        </w:rPr>
        <w:t xml:space="preserve"> (NCSER 2011-3005). Menlo Park, CA: SRI International. Available at </w:t>
      </w:r>
      <w:hyperlink r:id="rId22" w:history="1">
        <w:r w:rsidR="00680937" w:rsidRPr="00AC2F94">
          <w:rPr>
            <w:rStyle w:val="Hyperlink"/>
            <w:rFonts w:ascii="Arial" w:hAnsi="Arial" w:cs="Arial"/>
            <w:color w:val="auto"/>
            <w:sz w:val="24"/>
            <w:szCs w:val="24"/>
            <w:u w:val="none"/>
          </w:rPr>
          <w:t>www.nlts2.org/reports</w:t>
        </w:r>
      </w:hyperlink>
      <w:r w:rsidRPr="00AC2F94">
        <w:rPr>
          <w:rFonts w:ascii="Arial" w:hAnsi="Arial" w:cs="Arial"/>
          <w:sz w:val="24"/>
          <w:szCs w:val="24"/>
        </w:rPr>
        <w:t>/</w:t>
      </w:r>
    </w:p>
    <w:p w14:paraId="444E89AF" w14:textId="77777777" w:rsidR="004F5182" w:rsidRPr="00AC2F94" w:rsidRDefault="004F5182">
      <w:pPr>
        <w:pStyle w:val="WP9BodyTex"/>
        <w:widowControl/>
        <w:spacing w:after="120" w:line="276" w:lineRule="auto"/>
        <w:jc w:val="left"/>
        <w:rPr>
          <w:rFonts w:ascii="Arial" w:hAnsi="Arial" w:cs="Arial"/>
          <w:sz w:val="24"/>
          <w:szCs w:val="24"/>
        </w:rPr>
      </w:pPr>
      <w:r w:rsidRPr="00AC2F94">
        <w:rPr>
          <w:rFonts w:ascii="Arial" w:hAnsi="Arial" w:cs="Arial"/>
          <w:sz w:val="24"/>
          <w:szCs w:val="24"/>
        </w:rPr>
        <w:lastRenderedPageBreak/>
        <w:t xml:space="preserve">Siperstein, G., Parker, C., and Drascher, M. (2013) National Snapshot of adults with intellectual disability in the labour force. </w:t>
      </w:r>
    </w:p>
    <w:p w14:paraId="1404C922" w14:textId="77777777" w:rsidR="0016040D" w:rsidRPr="00AC2F94" w:rsidRDefault="00680937">
      <w:pPr>
        <w:pStyle w:val="WP9BodyTex"/>
        <w:widowControl/>
        <w:spacing w:after="120" w:line="276" w:lineRule="auto"/>
        <w:jc w:val="left"/>
        <w:rPr>
          <w:rFonts w:ascii="Arial" w:hAnsi="Arial" w:cs="Arial"/>
          <w:sz w:val="24"/>
          <w:szCs w:val="24"/>
        </w:rPr>
      </w:pPr>
      <w:r w:rsidRPr="00AC2F94">
        <w:rPr>
          <w:rFonts w:ascii="Arial" w:hAnsi="Arial" w:cs="Arial"/>
          <w:sz w:val="24"/>
          <w:szCs w:val="24"/>
        </w:rPr>
        <w:t xml:space="preserve">Wakeford, M. (2009), ‘Part Time Work: Is it a successful pathway from school? Young people’s experience of casual, part time work as their primary activity’. FMPLLEN. </w:t>
      </w:r>
    </w:p>
    <w:p w14:paraId="16A4C691" w14:textId="77777777" w:rsidR="00080261" w:rsidRPr="00AC2F94" w:rsidRDefault="00080261">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Wakeford, M and Waugh, F. (2011), ‘Ticket to Work: A best-practice School Based Apprenticeship and Traineeship (SBAT) model for students with disability’</w:t>
      </w:r>
    </w:p>
    <w:p w14:paraId="4A625868" w14:textId="77777777" w:rsidR="0016040D" w:rsidRPr="00AC2F94" w:rsidRDefault="00680937">
      <w:pPr>
        <w:autoSpaceDE w:val="0"/>
        <w:autoSpaceDN w:val="0"/>
        <w:adjustRightInd w:val="0"/>
        <w:spacing w:after="120" w:line="276" w:lineRule="auto"/>
        <w:rPr>
          <w:rFonts w:ascii="Arial" w:hAnsi="Arial" w:cs="Arial"/>
          <w:sz w:val="24"/>
          <w:szCs w:val="24"/>
        </w:rPr>
      </w:pPr>
      <w:r w:rsidRPr="00AC2F94">
        <w:rPr>
          <w:rFonts w:ascii="Arial" w:hAnsi="Arial" w:cs="Arial"/>
          <w:sz w:val="24"/>
          <w:szCs w:val="24"/>
        </w:rPr>
        <w:t>Whitney-Thomas, J. &amp; Hanley-Maxwell, C. (1996). Packing the parachute: Parents'</w:t>
      </w:r>
      <w:r w:rsidR="00CE01A3" w:rsidRPr="00AC2F94">
        <w:rPr>
          <w:rFonts w:ascii="Arial" w:hAnsi="Arial" w:cs="Arial"/>
          <w:sz w:val="24"/>
          <w:szCs w:val="24"/>
        </w:rPr>
        <w:t xml:space="preserve"> </w:t>
      </w:r>
      <w:r w:rsidRPr="00AC2F94">
        <w:rPr>
          <w:rFonts w:ascii="Arial" w:hAnsi="Arial" w:cs="Arial"/>
          <w:sz w:val="24"/>
          <w:szCs w:val="24"/>
        </w:rPr>
        <w:t>experiences as their children prepare to leave high school. Exceptional Children, 63,75-87.</w:t>
      </w:r>
    </w:p>
    <w:p w14:paraId="39E65C4F" w14:textId="77777777" w:rsidR="005C75D4" w:rsidRPr="001A29FC" w:rsidRDefault="00680937">
      <w:pPr>
        <w:spacing w:after="120" w:line="276" w:lineRule="auto"/>
        <w:rPr>
          <w:rFonts w:ascii="Arial" w:hAnsi="Arial" w:cs="Arial"/>
          <w:sz w:val="24"/>
          <w:szCs w:val="24"/>
        </w:rPr>
      </w:pPr>
      <w:r w:rsidRPr="00AC2F94">
        <w:rPr>
          <w:rFonts w:ascii="Arial" w:hAnsi="Arial" w:cs="Arial"/>
          <w:sz w:val="24"/>
          <w:szCs w:val="24"/>
        </w:rPr>
        <w:t xml:space="preserve">Victorian Department of Human Services (DHS) – </w:t>
      </w:r>
      <w:r w:rsidR="00CE01A3" w:rsidRPr="00AC2F94">
        <w:rPr>
          <w:rFonts w:ascii="Arial" w:hAnsi="Arial" w:cs="Arial"/>
          <w:sz w:val="24"/>
          <w:szCs w:val="24"/>
        </w:rPr>
        <w:t>(</w:t>
      </w:r>
      <w:r w:rsidRPr="00AC2F94">
        <w:rPr>
          <w:rFonts w:ascii="Arial" w:hAnsi="Arial" w:cs="Arial"/>
          <w:sz w:val="24"/>
          <w:szCs w:val="24"/>
        </w:rPr>
        <w:t>2009</w:t>
      </w:r>
      <w:r w:rsidR="00CE01A3" w:rsidRPr="00AC2F94">
        <w:rPr>
          <w:rFonts w:ascii="Arial" w:hAnsi="Arial" w:cs="Arial"/>
          <w:sz w:val="24"/>
          <w:szCs w:val="24"/>
        </w:rPr>
        <w:t>)</w:t>
      </w:r>
      <w:r w:rsidRPr="00AC2F94">
        <w:rPr>
          <w:rFonts w:ascii="Arial" w:hAnsi="Arial" w:cs="Arial"/>
          <w:sz w:val="24"/>
          <w:szCs w:val="24"/>
        </w:rPr>
        <w:t xml:space="preserve"> Future for Young Adults unpublished data</w:t>
      </w:r>
    </w:p>
    <w:p w14:paraId="557003F6" w14:textId="77777777" w:rsidR="00ED2BA3" w:rsidRPr="001A29FC" w:rsidRDefault="00ED2BA3">
      <w:pPr>
        <w:spacing w:after="120" w:line="276" w:lineRule="auto"/>
        <w:rPr>
          <w:rFonts w:ascii="Arial" w:hAnsi="Arial" w:cs="Arial"/>
          <w:sz w:val="24"/>
          <w:szCs w:val="24"/>
        </w:rPr>
      </w:pPr>
    </w:p>
    <w:p w14:paraId="4554D639" w14:textId="77777777" w:rsidR="009B7A17" w:rsidRPr="001A29FC" w:rsidRDefault="009B7A17">
      <w:pPr>
        <w:spacing w:after="120" w:line="276" w:lineRule="auto"/>
        <w:rPr>
          <w:rFonts w:ascii="Arial" w:hAnsi="Arial" w:cs="Arial"/>
          <w:sz w:val="24"/>
          <w:szCs w:val="24"/>
        </w:rPr>
      </w:pPr>
    </w:p>
    <w:p w14:paraId="62AB2B16" w14:textId="77777777" w:rsidR="009B7A17" w:rsidRPr="001A29FC" w:rsidRDefault="009B7A17">
      <w:pPr>
        <w:spacing w:after="120" w:line="276" w:lineRule="auto"/>
        <w:rPr>
          <w:rFonts w:ascii="Arial" w:hAnsi="Arial" w:cs="Arial"/>
          <w:sz w:val="24"/>
          <w:szCs w:val="24"/>
        </w:rPr>
      </w:pPr>
    </w:p>
    <w:sectPr w:rsidR="009B7A17" w:rsidRPr="001A29FC" w:rsidSect="00E95807">
      <w:headerReference w:type="default" r:id="rId23"/>
      <w:footerReference w:type="default" r:id="rId24"/>
      <w:pgSz w:w="11906" w:h="16838"/>
      <w:pgMar w:top="1021" w:right="1021" w:bottom="1021" w:left="1021"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1C7B" w14:textId="77777777" w:rsidR="001B3BD0" w:rsidRDefault="001B3BD0" w:rsidP="00E95807">
      <w:pPr>
        <w:spacing w:after="0" w:line="240" w:lineRule="auto"/>
      </w:pPr>
      <w:r>
        <w:separator/>
      </w:r>
    </w:p>
  </w:endnote>
  <w:endnote w:type="continuationSeparator" w:id="0">
    <w:p w14:paraId="0CD5E1E4" w14:textId="77777777" w:rsidR="001B3BD0" w:rsidRDefault="001B3BD0" w:rsidP="00E95807">
      <w:pPr>
        <w:spacing w:after="0" w:line="240" w:lineRule="auto"/>
      </w:pPr>
      <w:r>
        <w:continuationSeparator/>
      </w:r>
    </w:p>
  </w:endnote>
  <w:endnote w:id="1">
    <w:p w14:paraId="0CCD14F4" w14:textId="77777777" w:rsidR="00A4081E" w:rsidRPr="001A29FC" w:rsidRDefault="00A4081E" w:rsidP="00C353DA">
      <w:pPr>
        <w:pStyle w:val="EndnoteText"/>
        <w:spacing w:after="120"/>
        <w:rPr>
          <w:sz w:val="24"/>
          <w:szCs w:val="24"/>
        </w:rPr>
      </w:pPr>
      <w:r w:rsidRPr="001A29FC">
        <w:rPr>
          <w:rStyle w:val="EndnoteReference"/>
          <w:sz w:val="24"/>
          <w:szCs w:val="24"/>
        </w:rPr>
        <w:endnoteRef/>
      </w:r>
      <w:r w:rsidRPr="001A29FC">
        <w:rPr>
          <w:sz w:val="24"/>
          <w:szCs w:val="24"/>
        </w:rPr>
        <w:t xml:space="preserve"> www.fairwork.gov.au/find-help-for/young-workers-and-students/what-age-can-i-start-work#vic</w:t>
      </w:r>
    </w:p>
  </w:endnote>
  <w:endnote w:id="2">
    <w:p w14:paraId="32A9918F" w14:textId="77777777" w:rsidR="00A4081E" w:rsidRPr="001A29FC" w:rsidRDefault="00A4081E" w:rsidP="00DD2DA8">
      <w:pPr>
        <w:spacing w:after="120" w:line="240" w:lineRule="auto"/>
        <w:rPr>
          <w:b/>
          <w:bCs/>
          <w:i/>
          <w:sz w:val="24"/>
          <w:szCs w:val="24"/>
        </w:rPr>
      </w:pPr>
      <w:r w:rsidRPr="001A29FC">
        <w:rPr>
          <w:rStyle w:val="EndnoteReference"/>
          <w:sz w:val="24"/>
          <w:szCs w:val="24"/>
        </w:rPr>
        <w:endnoteRef/>
      </w:r>
      <w:r w:rsidRPr="001A29FC">
        <w:rPr>
          <w:sz w:val="24"/>
          <w:szCs w:val="24"/>
        </w:rPr>
        <w:t xml:space="preserve"> </w:t>
      </w:r>
      <w:r w:rsidRPr="001A29FC">
        <w:rPr>
          <w:b/>
          <w:bCs/>
          <w:i/>
          <w:sz w:val="24"/>
          <w:szCs w:val="24"/>
        </w:rPr>
        <w:t xml:space="preserve">Reference for each state and territories guidelines on ASbAT : </w:t>
      </w:r>
    </w:p>
    <w:p w14:paraId="2E41E847" w14:textId="77777777" w:rsidR="00A4081E" w:rsidRPr="001A29FC" w:rsidRDefault="00A4081E" w:rsidP="00DD2DA8">
      <w:pPr>
        <w:spacing w:after="120" w:line="240" w:lineRule="auto"/>
        <w:rPr>
          <w:bCs/>
          <w:i/>
          <w:sz w:val="24"/>
          <w:szCs w:val="24"/>
        </w:rPr>
      </w:pPr>
      <w:r w:rsidRPr="001A29FC">
        <w:rPr>
          <w:bCs/>
          <w:i/>
          <w:sz w:val="24"/>
          <w:szCs w:val="24"/>
        </w:rPr>
        <w:t xml:space="preserve">Victoria:  </w:t>
      </w:r>
      <w:hyperlink r:id="rId1" w:history="1">
        <w:r w:rsidRPr="001A29FC">
          <w:rPr>
            <w:rStyle w:val="Hyperlink"/>
            <w:bCs/>
            <w:i/>
            <w:sz w:val="24"/>
            <w:szCs w:val="24"/>
          </w:rPr>
          <w:t>www.education.vic.gov.au/school/principals/curriculum/pages/apprentice.aspx</w:t>
        </w:r>
      </w:hyperlink>
    </w:p>
    <w:p w14:paraId="3178B0A7" w14:textId="77777777" w:rsidR="00A4081E" w:rsidRPr="001A29FC" w:rsidRDefault="00A4081E" w:rsidP="00DD2DA8">
      <w:pPr>
        <w:spacing w:after="120" w:line="240" w:lineRule="auto"/>
        <w:rPr>
          <w:bCs/>
          <w:i/>
          <w:sz w:val="24"/>
          <w:szCs w:val="24"/>
        </w:rPr>
      </w:pPr>
      <w:r w:rsidRPr="001A29FC">
        <w:rPr>
          <w:bCs/>
          <w:i/>
          <w:sz w:val="24"/>
          <w:szCs w:val="24"/>
        </w:rPr>
        <w:t xml:space="preserve">NSW: </w:t>
      </w:r>
      <w:hyperlink r:id="rId2" w:history="1">
        <w:r w:rsidRPr="001A29FC">
          <w:rPr>
            <w:rStyle w:val="Hyperlink"/>
            <w:bCs/>
            <w:i/>
            <w:sz w:val="24"/>
            <w:szCs w:val="24"/>
          </w:rPr>
          <w:t>http://www.sbatinnsw.info/documents/SBATGuidelines-2013.pdf</w:t>
        </w:r>
      </w:hyperlink>
    </w:p>
    <w:p w14:paraId="7E1DCDBB" w14:textId="77777777" w:rsidR="00A4081E" w:rsidRPr="001A29FC" w:rsidRDefault="00A4081E" w:rsidP="00DD2DA8">
      <w:pPr>
        <w:spacing w:after="120" w:line="240" w:lineRule="auto"/>
        <w:rPr>
          <w:bCs/>
          <w:i/>
          <w:sz w:val="24"/>
          <w:szCs w:val="24"/>
        </w:rPr>
      </w:pPr>
      <w:r w:rsidRPr="001A29FC">
        <w:rPr>
          <w:bCs/>
          <w:i/>
          <w:sz w:val="24"/>
          <w:szCs w:val="24"/>
        </w:rPr>
        <w:t>WA: www.acpet.edu.au/uploads/files/WA/DTWD%20SBAT%20Policy%20Vsn%202%200%202013-1.pdf</w:t>
      </w:r>
    </w:p>
    <w:p w14:paraId="586A81AF" w14:textId="77777777" w:rsidR="00A4081E" w:rsidRPr="001A29FC" w:rsidRDefault="00A4081E" w:rsidP="00DD2DA8">
      <w:pPr>
        <w:spacing w:after="120" w:line="240" w:lineRule="auto"/>
        <w:rPr>
          <w:bCs/>
          <w:i/>
          <w:sz w:val="24"/>
          <w:szCs w:val="24"/>
        </w:rPr>
      </w:pPr>
      <w:r w:rsidRPr="001A29FC">
        <w:rPr>
          <w:bCs/>
          <w:i/>
          <w:sz w:val="24"/>
          <w:szCs w:val="24"/>
        </w:rPr>
        <w:t>SA:</w:t>
      </w:r>
      <w:hyperlink r:id="rId3" w:history="1">
        <w:r w:rsidRPr="001A29FC">
          <w:rPr>
            <w:rStyle w:val="Hyperlink"/>
            <w:bCs/>
            <w:i/>
            <w:sz w:val="24"/>
            <w:szCs w:val="24"/>
          </w:rPr>
          <w:t>www.tasc.sa.gov.au/Portals/5/Documents/TaSC%20Documents/Guidelines/Apprenticeships%20and%20traineeships/Guidelines_APPandTRAINEE_MinimumHoursOfPaidEmploymentAndTraining.pdf</w:t>
        </w:r>
      </w:hyperlink>
    </w:p>
    <w:p w14:paraId="08FDEF11" w14:textId="77777777" w:rsidR="00A4081E" w:rsidRPr="001A29FC" w:rsidRDefault="00A4081E" w:rsidP="00DD2DA8">
      <w:pPr>
        <w:spacing w:after="120" w:line="240" w:lineRule="auto"/>
        <w:rPr>
          <w:bCs/>
          <w:i/>
          <w:sz w:val="24"/>
          <w:szCs w:val="24"/>
        </w:rPr>
      </w:pPr>
      <w:r w:rsidRPr="001A29FC">
        <w:rPr>
          <w:bCs/>
          <w:i/>
          <w:sz w:val="24"/>
          <w:szCs w:val="24"/>
        </w:rPr>
        <w:t xml:space="preserve">NT: </w:t>
      </w:r>
      <w:hyperlink r:id="rId4" w:anchor="wages" w:history="1">
        <w:r w:rsidRPr="001A29FC">
          <w:rPr>
            <w:rStyle w:val="Hyperlink"/>
            <w:bCs/>
            <w:i/>
            <w:sz w:val="24"/>
            <w:szCs w:val="24"/>
          </w:rPr>
          <w:t>http://www.dob.nt.gov.au/training/policies/apprenticeships-and-traineeships/Pages/school-based.aspx#wages</w:t>
        </w:r>
      </w:hyperlink>
    </w:p>
    <w:p w14:paraId="10C92683" w14:textId="77777777" w:rsidR="00A4081E" w:rsidRPr="001A29FC" w:rsidRDefault="00A4081E" w:rsidP="00DD2DA8">
      <w:pPr>
        <w:spacing w:after="120" w:line="240" w:lineRule="auto"/>
        <w:rPr>
          <w:bCs/>
          <w:i/>
          <w:sz w:val="24"/>
          <w:szCs w:val="24"/>
        </w:rPr>
      </w:pPr>
      <w:r w:rsidRPr="001A29FC">
        <w:rPr>
          <w:bCs/>
          <w:i/>
          <w:sz w:val="24"/>
          <w:szCs w:val="24"/>
        </w:rPr>
        <w:t xml:space="preserve">QLD: </w:t>
      </w:r>
      <w:hyperlink r:id="rId5" w:history="1">
        <w:r w:rsidRPr="001A29FC">
          <w:rPr>
            <w:rStyle w:val="Hyperlink"/>
            <w:bCs/>
            <w:i/>
            <w:sz w:val="24"/>
            <w:szCs w:val="24"/>
          </w:rPr>
          <w:t>http://apprenticeshipsinfo.qld.gov.au/school-based/sat-policy-changes.html</w:t>
        </w:r>
      </w:hyperlink>
    </w:p>
    <w:p w14:paraId="0FD72012" w14:textId="77777777" w:rsidR="00A4081E" w:rsidRPr="001A29FC" w:rsidRDefault="00A4081E" w:rsidP="00DD2DA8">
      <w:pPr>
        <w:spacing w:after="120" w:line="240" w:lineRule="auto"/>
        <w:rPr>
          <w:bCs/>
          <w:sz w:val="24"/>
          <w:szCs w:val="24"/>
        </w:rPr>
      </w:pPr>
      <w:r w:rsidRPr="001A29FC">
        <w:rPr>
          <w:bCs/>
          <w:i/>
          <w:sz w:val="24"/>
          <w:szCs w:val="24"/>
        </w:rPr>
        <w:t xml:space="preserve">Tasmania: </w:t>
      </w:r>
      <w:hyperlink r:id="rId6" w:history="1">
        <w:r w:rsidRPr="001A29FC">
          <w:rPr>
            <w:rStyle w:val="Hyperlink"/>
            <w:bCs/>
            <w:sz w:val="24"/>
            <w:szCs w:val="24"/>
          </w:rPr>
          <w:t>www.education.tas.gov.au/documentcentre/Documents/ASbA_Strategy%202013-15.pdf</w:t>
        </w:r>
      </w:hyperlink>
    </w:p>
    <w:p w14:paraId="4AF61A05" w14:textId="77777777" w:rsidR="00A4081E" w:rsidRPr="001A29FC" w:rsidRDefault="00A4081E" w:rsidP="00DD2DA8">
      <w:pPr>
        <w:spacing w:after="120" w:line="240" w:lineRule="auto"/>
        <w:rPr>
          <w:rStyle w:val="Hyperlink"/>
          <w:bCs/>
          <w:sz w:val="24"/>
          <w:szCs w:val="24"/>
        </w:rPr>
      </w:pPr>
      <w:r w:rsidRPr="001A29FC">
        <w:rPr>
          <w:bCs/>
          <w:i/>
          <w:sz w:val="24"/>
          <w:szCs w:val="24"/>
        </w:rPr>
        <w:t xml:space="preserve">ACT: </w:t>
      </w:r>
      <w:hyperlink r:id="rId7" w:history="1">
        <w:r w:rsidRPr="001A29FC">
          <w:rPr>
            <w:rStyle w:val="Hyperlink"/>
            <w:bCs/>
            <w:sz w:val="24"/>
            <w:szCs w:val="24"/>
          </w:rPr>
          <w:t>http://www.det.act.gov.au/school_education/vocational_learning_in_schools/asba</w:t>
        </w:r>
      </w:hyperlink>
    </w:p>
    <w:p w14:paraId="5E511698" w14:textId="77777777" w:rsidR="00A4081E" w:rsidRPr="00DD2DA8" w:rsidRDefault="00A4081E" w:rsidP="00DD2DA8">
      <w:pPr>
        <w:spacing w:after="120" w:line="240" w:lineRule="auto"/>
        <w:rPr>
          <w:bCs/>
          <w:sz w:val="20"/>
          <w:szCs w:val="20"/>
        </w:rPr>
      </w:pPr>
    </w:p>
  </w:endnote>
  <w:endnote w:id="3">
    <w:p w14:paraId="67DCAAD2" w14:textId="77777777" w:rsidR="00A4081E" w:rsidRPr="00DD2DA8" w:rsidRDefault="00A4081E" w:rsidP="00DD2DA8">
      <w:pPr>
        <w:spacing w:after="120" w:line="240" w:lineRule="auto"/>
        <w:rPr>
          <w:bCs/>
        </w:rPr>
      </w:pPr>
      <w:r w:rsidRPr="00DD2DA8">
        <w:rPr>
          <w:rStyle w:val="EndnoteReference"/>
        </w:rPr>
        <w:endnoteRef/>
      </w:r>
      <w:r w:rsidRPr="00DD2DA8">
        <w:t xml:space="preserve"> </w:t>
      </w:r>
      <w:r w:rsidRPr="00DD2DA8">
        <w:rPr>
          <w:bCs/>
        </w:rPr>
        <w:t>www.fairwork.gov.au/employment/hours-of-work/pages/default.aspx</w:t>
      </w:r>
    </w:p>
  </w:endnote>
  <w:endnote w:id="4">
    <w:p w14:paraId="17921FD2" w14:textId="77777777" w:rsidR="00A4081E" w:rsidRPr="00DD2DA8" w:rsidRDefault="00A4081E" w:rsidP="00880FCE">
      <w:pPr>
        <w:pStyle w:val="EndnoteText"/>
        <w:spacing w:after="120"/>
        <w:rPr>
          <w:sz w:val="22"/>
          <w:szCs w:val="22"/>
        </w:rPr>
      </w:pPr>
      <w:r w:rsidRPr="00DD2DA8">
        <w:rPr>
          <w:rStyle w:val="EndnoteReference"/>
          <w:sz w:val="22"/>
          <w:szCs w:val="22"/>
        </w:rPr>
        <w:endnoteRef/>
      </w:r>
      <w:r w:rsidRPr="00DD2DA8">
        <w:rPr>
          <w:sz w:val="22"/>
          <w:szCs w:val="22"/>
        </w:rPr>
        <w:t xml:space="preserve"> www.fairwork.gov.au/find-help-for/young-workers-and-students/what-age-can-i-start-work#vic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82550"/>
      <w:docPartObj>
        <w:docPartGallery w:val="Page Numbers (Bottom of Page)"/>
        <w:docPartUnique/>
      </w:docPartObj>
    </w:sdtPr>
    <w:sdtEndPr/>
    <w:sdtContent>
      <w:p w14:paraId="6C280F53" w14:textId="01532FC6" w:rsidR="00A4081E" w:rsidRDefault="00A4081E">
        <w:pPr>
          <w:pStyle w:val="Footer"/>
          <w:jc w:val="right"/>
        </w:pPr>
        <w:r w:rsidRPr="00E95807">
          <w:rPr>
            <w:b/>
            <w:sz w:val="20"/>
            <w:szCs w:val="20"/>
          </w:rPr>
          <w:fldChar w:fldCharType="begin"/>
        </w:r>
        <w:r w:rsidRPr="00E95807">
          <w:rPr>
            <w:b/>
            <w:sz w:val="20"/>
            <w:szCs w:val="20"/>
          </w:rPr>
          <w:instrText xml:space="preserve"> PAGE   \* MERGEFORMAT </w:instrText>
        </w:r>
        <w:r w:rsidRPr="00E95807">
          <w:rPr>
            <w:b/>
            <w:sz w:val="20"/>
            <w:szCs w:val="20"/>
          </w:rPr>
          <w:fldChar w:fldCharType="separate"/>
        </w:r>
        <w:r w:rsidR="003162D4">
          <w:rPr>
            <w:b/>
            <w:noProof/>
            <w:sz w:val="20"/>
            <w:szCs w:val="20"/>
          </w:rPr>
          <w:t>1</w:t>
        </w:r>
        <w:r w:rsidRPr="00E95807">
          <w:rPr>
            <w:b/>
            <w:sz w:val="20"/>
            <w:szCs w:val="20"/>
          </w:rPr>
          <w:fldChar w:fldCharType="end"/>
        </w:r>
      </w:p>
    </w:sdtContent>
  </w:sdt>
  <w:p w14:paraId="57E0E082" w14:textId="77777777" w:rsidR="00A4081E" w:rsidRDefault="00A4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3042" w14:textId="77777777" w:rsidR="001B3BD0" w:rsidRDefault="001B3BD0" w:rsidP="00E95807">
      <w:pPr>
        <w:spacing w:after="0" w:line="240" w:lineRule="auto"/>
      </w:pPr>
      <w:r>
        <w:separator/>
      </w:r>
    </w:p>
  </w:footnote>
  <w:footnote w:type="continuationSeparator" w:id="0">
    <w:p w14:paraId="1158D8CB" w14:textId="77777777" w:rsidR="001B3BD0" w:rsidRDefault="001B3BD0" w:rsidP="00E9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389B" w14:textId="77777777" w:rsidR="00A4081E" w:rsidRDefault="00A4081E" w:rsidP="00C353DA">
    <w:pPr>
      <w:pStyle w:val="Header"/>
      <w:tabs>
        <w:tab w:val="left" w:pos="7655"/>
      </w:tabs>
    </w:pPr>
    <w:r w:rsidRPr="00C353DA">
      <w:rPr>
        <w:noProof/>
        <w:color w:val="0000FF"/>
        <w:lang w:eastAsia="en-AU"/>
      </w:rPr>
      <w:t xml:space="preserve"> </w:t>
    </w:r>
    <w:r>
      <w:rPr>
        <w:noProof/>
        <w:color w:val="0000FF"/>
        <w:lang w:eastAsia="en-AU"/>
      </w:rPr>
      <w:t xml:space="preserve">    </w:t>
    </w:r>
    <w:r w:rsidR="0042112B">
      <w:rPr>
        <w:noProof/>
        <w:color w:val="0000FF"/>
        <w:lang w:eastAsia="en-AU"/>
      </w:rPr>
      <w:drawing>
        <wp:inline distT="0" distB="0" distL="0" distR="0" wp14:anchorId="58244690" wp14:editId="02B3E12D">
          <wp:extent cx="1695450" cy="981075"/>
          <wp:effectExtent l="0" t="0" r="0" b="9525"/>
          <wp:docPr id="1" name="Picture 1" descr="National Disability Servi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Servic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81075"/>
                  </a:xfrm>
                  <a:prstGeom prst="rect">
                    <a:avLst/>
                  </a:prstGeom>
                  <a:noFill/>
                  <a:ln>
                    <a:noFill/>
                  </a:ln>
                </pic:spPr>
              </pic:pic>
            </a:graphicData>
          </a:graphic>
        </wp:inline>
      </w:drawing>
    </w:r>
    <w:r>
      <w:rPr>
        <w:noProof/>
        <w:color w:val="0000FF"/>
        <w:lang w:eastAsia="en-AU"/>
      </w:rPr>
      <w:tab/>
    </w:r>
    <w:r>
      <w:rPr>
        <w:noProof/>
        <w:color w:val="0000FF"/>
        <w:lang w:eastAsia="en-AU"/>
      </w:rPr>
      <w:tab/>
    </w:r>
    <w:r w:rsidRPr="007B24E3">
      <w:rPr>
        <w:noProof/>
        <w:lang w:eastAsia="en-AU"/>
      </w:rPr>
      <w:drawing>
        <wp:inline distT="0" distB="0" distL="0" distR="0" wp14:anchorId="49D22D2D" wp14:editId="1F1BE92D">
          <wp:extent cx="1360675" cy="1010093"/>
          <wp:effectExtent l="19050" t="0" r="0" b="0"/>
          <wp:docPr id="6" name="Picture 0" descr="Ticket to Work TM logo_CMY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 to Work TM logo_CMYK_Large.jpg"/>
                  <pic:cNvPicPr/>
                </pic:nvPicPr>
                <pic:blipFill>
                  <a:blip r:embed="rId3"/>
                  <a:stretch>
                    <a:fillRect/>
                  </a:stretch>
                </pic:blipFill>
                <pic:spPr>
                  <a:xfrm>
                    <a:off x="0" y="0"/>
                    <a:ext cx="1360675" cy="1010093"/>
                  </a:xfrm>
                  <a:prstGeom prst="rect">
                    <a:avLst/>
                  </a:prstGeom>
                </pic:spPr>
              </pic:pic>
            </a:graphicData>
          </a:graphic>
        </wp:inline>
      </w:drawing>
    </w:r>
  </w:p>
  <w:p w14:paraId="1B033FDE" w14:textId="77777777" w:rsidR="00A4081E" w:rsidRDefault="00A4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092"/>
    <w:multiLevelType w:val="hybridMultilevel"/>
    <w:tmpl w:val="6ABC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3AD9"/>
    <w:multiLevelType w:val="hybridMultilevel"/>
    <w:tmpl w:val="0A3CEA3C"/>
    <w:lvl w:ilvl="0" w:tplc="DB70E5D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B0F5E"/>
    <w:multiLevelType w:val="hybridMultilevel"/>
    <w:tmpl w:val="9DD6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11980"/>
    <w:multiLevelType w:val="hybridMultilevel"/>
    <w:tmpl w:val="0E0C4710"/>
    <w:lvl w:ilvl="0" w:tplc="0C090001">
      <w:start w:val="1"/>
      <w:numFmt w:val="bullet"/>
      <w:lvlText w:val=""/>
      <w:lvlJc w:val="left"/>
      <w:pPr>
        <w:ind w:left="146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751289"/>
    <w:multiLevelType w:val="hybridMultilevel"/>
    <w:tmpl w:val="A9DAA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94749"/>
    <w:multiLevelType w:val="hybridMultilevel"/>
    <w:tmpl w:val="5E5C644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1B1C2743"/>
    <w:multiLevelType w:val="hybridMultilevel"/>
    <w:tmpl w:val="DA20B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77A87"/>
    <w:multiLevelType w:val="hybridMultilevel"/>
    <w:tmpl w:val="2BF25D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3F209CE"/>
    <w:multiLevelType w:val="hybridMultilevel"/>
    <w:tmpl w:val="37F8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FD38F7"/>
    <w:multiLevelType w:val="hybridMultilevel"/>
    <w:tmpl w:val="00B2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879A2"/>
    <w:multiLevelType w:val="hybridMultilevel"/>
    <w:tmpl w:val="F958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F6CE7"/>
    <w:multiLevelType w:val="hybridMultilevel"/>
    <w:tmpl w:val="4A60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95817"/>
    <w:multiLevelType w:val="hybridMultilevel"/>
    <w:tmpl w:val="661E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8A594F"/>
    <w:multiLevelType w:val="hybridMultilevel"/>
    <w:tmpl w:val="0810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52964"/>
    <w:multiLevelType w:val="hybridMultilevel"/>
    <w:tmpl w:val="53F6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01132"/>
    <w:multiLevelType w:val="hybridMultilevel"/>
    <w:tmpl w:val="C40EEFE6"/>
    <w:lvl w:ilvl="0" w:tplc="A54CFEC8">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8"/>
  </w:num>
  <w:num w:numId="5">
    <w:abstractNumId w:val="12"/>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0"/>
  </w:num>
  <w:num w:numId="11">
    <w:abstractNumId w:val="9"/>
  </w:num>
  <w:num w:numId="12">
    <w:abstractNumId w:val="13"/>
  </w:num>
  <w:num w:numId="13">
    <w:abstractNumId w:val="5"/>
  </w:num>
  <w:num w:numId="14">
    <w:abstractNumId w:val="7"/>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AU"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9C"/>
    <w:rsid w:val="000063BB"/>
    <w:rsid w:val="000276C3"/>
    <w:rsid w:val="00043828"/>
    <w:rsid w:val="00051835"/>
    <w:rsid w:val="00055F05"/>
    <w:rsid w:val="00065CC1"/>
    <w:rsid w:val="00076BFA"/>
    <w:rsid w:val="00080261"/>
    <w:rsid w:val="000846FB"/>
    <w:rsid w:val="00084D99"/>
    <w:rsid w:val="000A103B"/>
    <w:rsid w:val="000B6670"/>
    <w:rsid w:val="000C03D2"/>
    <w:rsid w:val="000C14F4"/>
    <w:rsid w:val="000F6D27"/>
    <w:rsid w:val="00101B75"/>
    <w:rsid w:val="00127480"/>
    <w:rsid w:val="00140BFF"/>
    <w:rsid w:val="00144619"/>
    <w:rsid w:val="0016040D"/>
    <w:rsid w:val="0016500C"/>
    <w:rsid w:val="00177A0D"/>
    <w:rsid w:val="0019282A"/>
    <w:rsid w:val="001955D7"/>
    <w:rsid w:val="001A29FC"/>
    <w:rsid w:val="001B030A"/>
    <w:rsid w:val="001B157D"/>
    <w:rsid w:val="001B3BD0"/>
    <w:rsid w:val="001C12CB"/>
    <w:rsid w:val="001C6349"/>
    <w:rsid w:val="001C6B6C"/>
    <w:rsid w:val="001D5278"/>
    <w:rsid w:val="001E3139"/>
    <w:rsid w:val="001F787D"/>
    <w:rsid w:val="002046BD"/>
    <w:rsid w:val="0021511B"/>
    <w:rsid w:val="00216AF7"/>
    <w:rsid w:val="0025388D"/>
    <w:rsid w:val="00291415"/>
    <w:rsid w:val="002A7318"/>
    <w:rsid w:val="002B1650"/>
    <w:rsid w:val="002C5A26"/>
    <w:rsid w:val="002E601A"/>
    <w:rsid w:val="002F4613"/>
    <w:rsid w:val="003007BB"/>
    <w:rsid w:val="00302583"/>
    <w:rsid w:val="00315C98"/>
    <w:rsid w:val="003162D4"/>
    <w:rsid w:val="00317B0A"/>
    <w:rsid w:val="0033435F"/>
    <w:rsid w:val="003414BC"/>
    <w:rsid w:val="00351A20"/>
    <w:rsid w:val="00355873"/>
    <w:rsid w:val="003632E0"/>
    <w:rsid w:val="00385155"/>
    <w:rsid w:val="00386B89"/>
    <w:rsid w:val="00393221"/>
    <w:rsid w:val="003B3915"/>
    <w:rsid w:val="003B61DE"/>
    <w:rsid w:val="003C1FA8"/>
    <w:rsid w:val="00405835"/>
    <w:rsid w:val="0042112B"/>
    <w:rsid w:val="00425D8F"/>
    <w:rsid w:val="00440055"/>
    <w:rsid w:val="004446F2"/>
    <w:rsid w:val="0044685B"/>
    <w:rsid w:val="0044749A"/>
    <w:rsid w:val="00466DA9"/>
    <w:rsid w:val="004A19CC"/>
    <w:rsid w:val="004A4EF8"/>
    <w:rsid w:val="004B05F4"/>
    <w:rsid w:val="004C0539"/>
    <w:rsid w:val="004C3411"/>
    <w:rsid w:val="004E36FE"/>
    <w:rsid w:val="004E59A0"/>
    <w:rsid w:val="004F09BC"/>
    <w:rsid w:val="004F14CD"/>
    <w:rsid w:val="004F5182"/>
    <w:rsid w:val="005053DE"/>
    <w:rsid w:val="00514850"/>
    <w:rsid w:val="00521A22"/>
    <w:rsid w:val="005272E1"/>
    <w:rsid w:val="00531561"/>
    <w:rsid w:val="0053340F"/>
    <w:rsid w:val="005425CE"/>
    <w:rsid w:val="00571019"/>
    <w:rsid w:val="005A1504"/>
    <w:rsid w:val="005A6185"/>
    <w:rsid w:val="005B6BF7"/>
    <w:rsid w:val="005C1BBD"/>
    <w:rsid w:val="005C2F4B"/>
    <w:rsid w:val="005C75D4"/>
    <w:rsid w:val="005D004F"/>
    <w:rsid w:val="005E2293"/>
    <w:rsid w:val="005F0915"/>
    <w:rsid w:val="005F409C"/>
    <w:rsid w:val="00607F95"/>
    <w:rsid w:val="00613037"/>
    <w:rsid w:val="00614D9C"/>
    <w:rsid w:val="00617FDA"/>
    <w:rsid w:val="00624F1B"/>
    <w:rsid w:val="00632625"/>
    <w:rsid w:val="00663483"/>
    <w:rsid w:val="00665E49"/>
    <w:rsid w:val="006667CE"/>
    <w:rsid w:val="00666D52"/>
    <w:rsid w:val="00667F37"/>
    <w:rsid w:val="00670F60"/>
    <w:rsid w:val="00675A43"/>
    <w:rsid w:val="00680937"/>
    <w:rsid w:val="006842DA"/>
    <w:rsid w:val="006B6681"/>
    <w:rsid w:val="006C0355"/>
    <w:rsid w:val="006E08A2"/>
    <w:rsid w:val="006E0D94"/>
    <w:rsid w:val="006E461E"/>
    <w:rsid w:val="006F00AA"/>
    <w:rsid w:val="006F7A99"/>
    <w:rsid w:val="00701C4D"/>
    <w:rsid w:val="007135DE"/>
    <w:rsid w:val="00736A80"/>
    <w:rsid w:val="0074497A"/>
    <w:rsid w:val="0075379F"/>
    <w:rsid w:val="007545F7"/>
    <w:rsid w:val="00767642"/>
    <w:rsid w:val="00791F9C"/>
    <w:rsid w:val="00795938"/>
    <w:rsid w:val="007A5711"/>
    <w:rsid w:val="007B1120"/>
    <w:rsid w:val="007B24E3"/>
    <w:rsid w:val="007B7445"/>
    <w:rsid w:val="007C250E"/>
    <w:rsid w:val="007D1C30"/>
    <w:rsid w:val="007D77C5"/>
    <w:rsid w:val="007F52D1"/>
    <w:rsid w:val="00801CE3"/>
    <w:rsid w:val="008073E9"/>
    <w:rsid w:val="0081517A"/>
    <w:rsid w:val="00833AC9"/>
    <w:rsid w:val="00842547"/>
    <w:rsid w:val="008445FB"/>
    <w:rsid w:val="00853FA6"/>
    <w:rsid w:val="00860696"/>
    <w:rsid w:val="00861858"/>
    <w:rsid w:val="008652A9"/>
    <w:rsid w:val="00870338"/>
    <w:rsid w:val="00880FCE"/>
    <w:rsid w:val="008C1716"/>
    <w:rsid w:val="008E0D45"/>
    <w:rsid w:val="0090263A"/>
    <w:rsid w:val="00913081"/>
    <w:rsid w:val="009142B6"/>
    <w:rsid w:val="00915C56"/>
    <w:rsid w:val="00974D8F"/>
    <w:rsid w:val="0097558F"/>
    <w:rsid w:val="00980F20"/>
    <w:rsid w:val="0098561F"/>
    <w:rsid w:val="009A105B"/>
    <w:rsid w:val="009A1187"/>
    <w:rsid w:val="009B4DB1"/>
    <w:rsid w:val="009B7A17"/>
    <w:rsid w:val="009C02DE"/>
    <w:rsid w:val="009C7A99"/>
    <w:rsid w:val="009E2845"/>
    <w:rsid w:val="00A07D52"/>
    <w:rsid w:val="00A1776E"/>
    <w:rsid w:val="00A26A87"/>
    <w:rsid w:val="00A4081E"/>
    <w:rsid w:val="00A4672D"/>
    <w:rsid w:val="00A57564"/>
    <w:rsid w:val="00A773EF"/>
    <w:rsid w:val="00A80603"/>
    <w:rsid w:val="00A91C99"/>
    <w:rsid w:val="00A97EC3"/>
    <w:rsid w:val="00AB0450"/>
    <w:rsid w:val="00AB2CCD"/>
    <w:rsid w:val="00AB6768"/>
    <w:rsid w:val="00AB68BD"/>
    <w:rsid w:val="00AC2F94"/>
    <w:rsid w:val="00AC755A"/>
    <w:rsid w:val="00AE2920"/>
    <w:rsid w:val="00AE405D"/>
    <w:rsid w:val="00AF3714"/>
    <w:rsid w:val="00B21019"/>
    <w:rsid w:val="00B23FEA"/>
    <w:rsid w:val="00B240BC"/>
    <w:rsid w:val="00B333BA"/>
    <w:rsid w:val="00B46CCC"/>
    <w:rsid w:val="00B70902"/>
    <w:rsid w:val="00BC572F"/>
    <w:rsid w:val="00BC7925"/>
    <w:rsid w:val="00BC7D54"/>
    <w:rsid w:val="00C03C19"/>
    <w:rsid w:val="00C054FB"/>
    <w:rsid w:val="00C05699"/>
    <w:rsid w:val="00C11B14"/>
    <w:rsid w:val="00C27AFE"/>
    <w:rsid w:val="00C353DA"/>
    <w:rsid w:val="00C62EB3"/>
    <w:rsid w:val="00C6618C"/>
    <w:rsid w:val="00C758D4"/>
    <w:rsid w:val="00CA369B"/>
    <w:rsid w:val="00CA6BA9"/>
    <w:rsid w:val="00CC03E8"/>
    <w:rsid w:val="00CD6174"/>
    <w:rsid w:val="00CE01A3"/>
    <w:rsid w:val="00CE2C60"/>
    <w:rsid w:val="00CE31BF"/>
    <w:rsid w:val="00D017AE"/>
    <w:rsid w:val="00D163AA"/>
    <w:rsid w:val="00D425E1"/>
    <w:rsid w:val="00D44547"/>
    <w:rsid w:val="00D457C4"/>
    <w:rsid w:val="00D5532A"/>
    <w:rsid w:val="00D6266D"/>
    <w:rsid w:val="00D85ABB"/>
    <w:rsid w:val="00D9299E"/>
    <w:rsid w:val="00DB65C2"/>
    <w:rsid w:val="00DD2DA8"/>
    <w:rsid w:val="00DF1A7D"/>
    <w:rsid w:val="00DF5485"/>
    <w:rsid w:val="00DF5499"/>
    <w:rsid w:val="00E22B6C"/>
    <w:rsid w:val="00E33DF4"/>
    <w:rsid w:val="00E42A88"/>
    <w:rsid w:val="00E444BA"/>
    <w:rsid w:val="00E50195"/>
    <w:rsid w:val="00E527A4"/>
    <w:rsid w:val="00E55915"/>
    <w:rsid w:val="00E574B0"/>
    <w:rsid w:val="00E9004E"/>
    <w:rsid w:val="00E95807"/>
    <w:rsid w:val="00EA1A63"/>
    <w:rsid w:val="00EB6765"/>
    <w:rsid w:val="00ED2BA3"/>
    <w:rsid w:val="00ED79A5"/>
    <w:rsid w:val="00F01FC6"/>
    <w:rsid w:val="00F03932"/>
    <w:rsid w:val="00F14597"/>
    <w:rsid w:val="00F47FC9"/>
    <w:rsid w:val="00F65F93"/>
    <w:rsid w:val="00F74756"/>
    <w:rsid w:val="00F84706"/>
    <w:rsid w:val="00FA6182"/>
    <w:rsid w:val="00FB618C"/>
    <w:rsid w:val="00FB7EA2"/>
    <w:rsid w:val="00FC6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547E1"/>
  <w15:docId w15:val="{8E6E06F1-70B2-430D-AE2F-A295D2BC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5B"/>
  </w:style>
  <w:style w:type="paragraph" w:styleId="Heading1">
    <w:name w:val="heading 1"/>
    <w:basedOn w:val="Normal"/>
    <w:next w:val="Normal"/>
    <w:link w:val="Heading1Char"/>
    <w:uiPriority w:val="9"/>
    <w:qFormat/>
    <w:rsid w:val="00E958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5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9C"/>
    <w:rPr>
      <w:color w:val="0563C1" w:themeColor="hyperlink"/>
      <w:u w:val="single"/>
    </w:rPr>
  </w:style>
  <w:style w:type="paragraph" w:customStyle="1" w:styleId="Default">
    <w:name w:val="Default"/>
    <w:rsid w:val="005425C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93221"/>
    <w:pPr>
      <w:spacing w:after="0" w:line="240" w:lineRule="auto"/>
    </w:pPr>
  </w:style>
  <w:style w:type="paragraph" w:styleId="ListParagraph">
    <w:name w:val="List Paragraph"/>
    <w:basedOn w:val="Normal"/>
    <w:uiPriority w:val="99"/>
    <w:qFormat/>
    <w:rsid w:val="00385155"/>
    <w:pPr>
      <w:ind w:left="720"/>
      <w:contextualSpacing/>
    </w:pPr>
  </w:style>
  <w:style w:type="character" w:styleId="CommentReference">
    <w:name w:val="annotation reference"/>
    <w:uiPriority w:val="99"/>
    <w:rsid w:val="002046BD"/>
    <w:rPr>
      <w:sz w:val="16"/>
      <w:szCs w:val="16"/>
    </w:rPr>
  </w:style>
  <w:style w:type="paragraph" w:styleId="CommentText">
    <w:name w:val="annotation text"/>
    <w:basedOn w:val="Normal"/>
    <w:link w:val="CommentTextChar"/>
    <w:rsid w:val="002046BD"/>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2046BD"/>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0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BD"/>
    <w:rPr>
      <w:rFonts w:ascii="Tahoma" w:hAnsi="Tahoma" w:cs="Tahoma"/>
      <w:sz w:val="16"/>
      <w:szCs w:val="16"/>
    </w:rPr>
  </w:style>
  <w:style w:type="character" w:styleId="FollowedHyperlink">
    <w:name w:val="FollowedHyperlink"/>
    <w:basedOn w:val="DefaultParagraphFont"/>
    <w:uiPriority w:val="99"/>
    <w:semiHidden/>
    <w:unhideWhenUsed/>
    <w:rsid w:val="00D6266D"/>
    <w:rPr>
      <w:color w:val="954F72" w:themeColor="followedHyperlink"/>
      <w:u w:val="single"/>
    </w:rPr>
  </w:style>
  <w:style w:type="paragraph" w:customStyle="1" w:styleId="WP9BodyTex">
    <w:name w:val="WP9_Body Tex"/>
    <w:basedOn w:val="Normal"/>
    <w:rsid w:val="008652A9"/>
    <w:pPr>
      <w:widowControl w:val="0"/>
      <w:spacing w:after="0" w:line="240" w:lineRule="auto"/>
      <w:jc w:val="center"/>
    </w:pPr>
    <w:rPr>
      <w:rFonts w:ascii="Times New Roman" w:eastAsia="Times New Roman" w:hAnsi="Times New Roman" w:cs="Times New Roman"/>
      <w:sz w:val="28"/>
      <w:szCs w:val="20"/>
      <w:lang w:val="en-US"/>
    </w:rPr>
  </w:style>
  <w:style w:type="paragraph" w:styleId="NormalWeb">
    <w:name w:val="Normal (Web)"/>
    <w:basedOn w:val="Normal"/>
    <w:uiPriority w:val="99"/>
    <w:rsid w:val="008652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652A9"/>
    <w:rPr>
      <w:i/>
      <w:iCs/>
    </w:rPr>
  </w:style>
  <w:style w:type="character" w:customStyle="1" w:styleId="Heading1Char">
    <w:name w:val="Heading 1 Char"/>
    <w:basedOn w:val="DefaultParagraphFont"/>
    <w:link w:val="Heading1"/>
    <w:uiPriority w:val="9"/>
    <w:rsid w:val="00E958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5807"/>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E95807"/>
    <w:pPr>
      <w:spacing w:line="276" w:lineRule="auto"/>
      <w:outlineLvl w:val="9"/>
    </w:pPr>
    <w:rPr>
      <w:lang w:val="en-US"/>
    </w:rPr>
  </w:style>
  <w:style w:type="paragraph" w:styleId="TOC1">
    <w:name w:val="toc 1"/>
    <w:basedOn w:val="Normal"/>
    <w:next w:val="Normal"/>
    <w:autoRedefine/>
    <w:uiPriority w:val="39"/>
    <w:unhideWhenUsed/>
    <w:rsid w:val="00E95807"/>
    <w:pPr>
      <w:spacing w:after="100"/>
    </w:pPr>
  </w:style>
  <w:style w:type="paragraph" w:styleId="TOC2">
    <w:name w:val="toc 2"/>
    <w:basedOn w:val="Normal"/>
    <w:next w:val="Normal"/>
    <w:autoRedefine/>
    <w:uiPriority w:val="39"/>
    <w:unhideWhenUsed/>
    <w:rsid w:val="00D85ABB"/>
    <w:pPr>
      <w:tabs>
        <w:tab w:val="right" w:leader="dot" w:pos="9854"/>
      </w:tabs>
      <w:spacing w:after="100"/>
      <w:ind w:left="220"/>
    </w:pPr>
    <w:rPr>
      <w:rFonts w:asciiTheme="majorHAnsi" w:eastAsiaTheme="majorEastAsia" w:hAnsiTheme="majorHAnsi" w:cstheme="majorBidi"/>
      <w:bCs/>
      <w:noProof/>
      <w:lang w:eastAsia="en-AU"/>
    </w:rPr>
  </w:style>
  <w:style w:type="paragraph" w:styleId="Header">
    <w:name w:val="header"/>
    <w:basedOn w:val="Normal"/>
    <w:link w:val="HeaderChar"/>
    <w:uiPriority w:val="99"/>
    <w:unhideWhenUsed/>
    <w:rsid w:val="00E95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807"/>
  </w:style>
  <w:style w:type="paragraph" w:styleId="Footer">
    <w:name w:val="footer"/>
    <w:basedOn w:val="Normal"/>
    <w:link w:val="FooterChar"/>
    <w:uiPriority w:val="99"/>
    <w:unhideWhenUsed/>
    <w:rsid w:val="00E9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807"/>
  </w:style>
  <w:style w:type="character" w:styleId="Strong">
    <w:name w:val="Strong"/>
    <w:basedOn w:val="DefaultParagraphFont"/>
    <w:qFormat/>
    <w:rsid w:val="005C75D4"/>
    <w:rPr>
      <w:b/>
      <w:bCs/>
    </w:rPr>
  </w:style>
  <w:style w:type="paragraph" w:styleId="CommentSubject">
    <w:name w:val="annotation subject"/>
    <w:basedOn w:val="CommentText"/>
    <w:next w:val="CommentText"/>
    <w:link w:val="CommentSubjectChar"/>
    <w:uiPriority w:val="99"/>
    <w:semiHidden/>
    <w:unhideWhenUsed/>
    <w:rsid w:val="005A150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504"/>
    <w:rPr>
      <w:rFonts w:ascii="Arial" w:eastAsia="Times New Roman" w:hAnsi="Arial" w:cs="Times New Roman"/>
      <w:b/>
      <w:bCs/>
      <w:sz w:val="20"/>
      <w:szCs w:val="20"/>
      <w:lang w:eastAsia="en-AU"/>
    </w:rPr>
  </w:style>
  <w:style w:type="paragraph" w:styleId="EndnoteText">
    <w:name w:val="endnote text"/>
    <w:basedOn w:val="Normal"/>
    <w:link w:val="EndnoteTextChar"/>
    <w:uiPriority w:val="99"/>
    <w:semiHidden/>
    <w:unhideWhenUsed/>
    <w:rsid w:val="00D9299E"/>
    <w:pPr>
      <w:spacing w:after="0" w:line="240" w:lineRule="auto"/>
    </w:pPr>
    <w:rPr>
      <w:rFonts w:ascii="Calibri" w:hAnsi="Calibri" w:cs="Times New Roman"/>
      <w:sz w:val="20"/>
      <w:szCs w:val="20"/>
      <w:lang w:eastAsia="en-AU"/>
    </w:rPr>
  </w:style>
  <w:style w:type="character" w:customStyle="1" w:styleId="EndnoteTextChar">
    <w:name w:val="Endnote Text Char"/>
    <w:basedOn w:val="DefaultParagraphFont"/>
    <w:link w:val="EndnoteText"/>
    <w:uiPriority w:val="99"/>
    <w:semiHidden/>
    <w:rsid w:val="00D9299E"/>
    <w:rPr>
      <w:rFonts w:ascii="Calibri" w:hAnsi="Calibri" w:cs="Times New Roman"/>
      <w:sz w:val="20"/>
      <w:szCs w:val="20"/>
      <w:lang w:eastAsia="en-AU"/>
    </w:rPr>
  </w:style>
  <w:style w:type="character" w:styleId="EndnoteReference">
    <w:name w:val="endnote reference"/>
    <w:basedOn w:val="DefaultParagraphFont"/>
    <w:uiPriority w:val="99"/>
    <w:semiHidden/>
    <w:unhideWhenUsed/>
    <w:rsid w:val="00D9299E"/>
    <w:rPr>
      <w:vertAlign w:val="superscript"/>
    </w:rPr>
  </w:style>
  <w:style w:type="table" w:styleId="TableGrid">
    <w:name w:val="Table Grid"/>
    <w:basedOn w:val="TableNormal"/>
    <w:uiPriority w:val="39"/>
    <w:rsid w:val="00D85A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848">
      <w:bodyDiv w:val="1"/>
      <w:marLeft w:val="0"/>
      <w:marRight w:val="0"/>
      <w:marTop w:val="0"/>
      <w:marBottom w:val="0"/>
      <w:divBdr>
        <w:top w:val="none" w:sz="0" w:space="0" w:color="auto"/>
        <w:left w:val="none" w:sz="0" w:space="0" w:color="auto"/>
        <w:bottom w:val="none" w:sz="0" w:space="0" w:color="auto"/>
        <w:right w:val="none" w:sz="0" w:space="0" w:color="auto"/>
      </w:divBdr>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20955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acer.edu.au/acer-shop/group/ME" TargetMode="External"/><Relationship Id="rId18" Type="http://schemas.openxmlformats.org/officeDocument/2006/relationships/hyperlink" Target="http://www.education.vic.gov.au/school/teachers/teachingresources/careers/Pages/disabilitypathway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cver.edu.au/publications/1447.html" TargetMode="External"/><Relationship Id="rId7" Type="http://schemas.openxmlformats.org/officeDocument/2006/relationships/settings" Target="settings.xml"/><Relationship Id="rId12" Type="http://schemas.openxmlformats.org/officeDocument/2006/relationships/hyperlink" Target="mailto:kerrie.langford@nds.org.au" TargetMode="External"/><Relationship Id="rId17" Type="http://schemas.openxmlformats.org/officeDocument/2006/relationships/hyperlink" Target="https://shop.acer.edu.au/acer-shop/group/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ickettowork.org.au/testimonials/" TargetMode="External"/><Relationship Id="rId20" Type="http://schemas.openxmlformats.org/officeDocument/2006/relationships/hyperlink" Target="http://www.abs.gov.au/ausstats/abs@.nsf/mf/443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tickettowork.org.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ickettowork.org.au/research/transitions-employment-australian-young-people-disability-ticket-work-initiativ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bs.gov.au/AUSSTATS/abs@.nsf/Lookup/4102.0Main+Features40March+Quarter+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teachingresources/careers/Pages/disabilitypathways.aspx" TargetMode="External"/><Relationship Id="rId22" Type="http://schemas.openxmlformats.org/officeDocument/2006/relationships/hyperlink" Target="http://www.nlts2.org/report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tasc.sa.gov.au/Portals/5/Documents/TaSC%20Documents/Guidelines/Apprenticeships%20and%20traineeships/Guidelines_APPandTRAINEE_MinimumHoursOfPaidEmploymentAndTraining.pdf" TargetMode="External"/><Relationship Id="rId7" Type="http://schemas.openxmlformats.org/officeDocument/2006/relationships/hyperlink" Target="http://www.det.act.gov.au/school_education/vocational_learning_in_schools/asba" TargetMode="External"/><Relationship Id="rId2" Type="http://schemas.openxmlformats.org/officeDocument/2006/relationships/hyperlink" Target="http://www.sbatinnsw.info/documents/SBATGuidelines-2013.pdf" TargetMode="External"/><Relationship Id="rId1" Type="http://schemas.openxmlformats.org/officeDocument/2006/relationships/hyperlink" Target="http://www.education.vic.gov.au/school/principals/curriculum/pages/apprentice.aspx" TargetMode="External"/><Relationship Id="rId6" Type="http://schemas.openxmlformats.org/officeDocument/2006/relationships/hyperlink" Target="http://www.education.tas.gov.au/documentcentre/Documents/ASbA_Strategy%202013-15.pdf" TargetMode="External"/><Relationship Id="rId5" Type="http://schemas.openxmlformats.org/officeDocument/2006/relationships/hyperlink" Target="http://apprenticeshipsinfo.qld.gov.au/school-based/sat-policy-changes.html" TargetMode="External"/><Relationship Id="rId4" Type="http://schemas.openxmlformats.org/officeDocument/2006/relationships/hyperlink" Target="http://www.dob.nt.gov.au/training/policies/apprenticeships-and-traineeships/Pages/school-based.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3" ma:contentTypeDescription="Create a new document." ma:contentTypeScope="" ma:versionID="c04d545177a3464f41811bcc2e914cde">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3f731468cdc055eb95518d36472afba2"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D4AB-8715-47A1-A05E-20C4DFE74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B27D7-BED1-400F-B3D5-E996EE950D5E}">
  <ds:schemaRefs>
    <ds:schemaRef ds:uri="http://schemas.microsoft.com/sharepoint/v3/contenttype/forms"/>
  </ds:schemaRefs>
</ds:datastoreItem>
</file>

<file path=customXml/itemProps3.xml><?xml version="1.0" encoding="utf-8"?>
<ds:datastoreItem xmlns:ds="http://schemas.openxmlformats.org/officeDocument/2006/customXml" ds:itemID="{CF09E1BD-D06E-492C-B947-63EE481594FA}">
  <ds:schemaRefs>
    <ds:schemaRef ds:uri="http://schemas.microsoft.com/office/2006/metadata/properties"/>
    <ds:schemaRef ds:uri="http://purl.org/dc/terms/"/>
    <ds:schemaRef ds:uri="a79cebde-2843-4348-9de3-c762feceb196"/>
    <ds:schemaRef ds:uri="http://schemas.microsoft.com/office/2006/documentManagement/types"/>
    <ds:schemaRef ds:uri="47f00ede-a8cb-4a46-bd26-a2911a61ce35"/>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85F743-C2BA-40DB-B2DF-800C5A58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6143</Words>
  <Characters>35016</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Wakeford</dc:creator>
  <cp:lastModifiedBy>Kira Edwards</cp:lastModifiedBy>
  <cp:revision>2</cp:revision>
  <cp:lastPrinted>2015-05-04T07:38:00Z</cp:lastPrinted>
  <dcterms:created xsi:type="dcterms:W3CDTF">2021-06-01T05:31:00Z</dcterms:created>
  <dcterms:modified xsi:type="dcterms:W3CDTF">2021-06-01T05:31:00Z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