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63A5" w14:textId="77777777" w:rsidR="00523492" w:rsidRDefault="00523492" w:rsidP="00F27979">
      <w:pPr>
        <w:pStyle w:val="EndnoteText"/>
        <w:spacing w:line="259" w:lineRule="auto"/>
        <w:rPr>
          <w:rFonts w:cs="Arial"/>
          <w:b/>
          <w:bCs/>
          <w:sz w:val="28"/>
          <w:szCs w:val="28"/>
        </w:rPr>
      </w:pPr>
    </w:p>
    <w:p w14:paraId="05E156EF" w14:textId="731939F8" w:rsidR="00523492" w:rsidRPr="008462D9" w:rsidRDefault="00523492" w:rsidP="008462D9">
      <w:pPr>
        <w:pStyle w:val="EndnoteText"/>
        <w:spacing w:line="259" w:lineRule="auto"/>
        <w:rPr>
          <w:rFonts w:cs="Arial"/>
          <w:sz w:val="40"/>
          <w:szCs w:val="40"/>
        </w:rPr>
      </w:pPr>
      <w:r w:rsidRPr="008462D9">
        <w:rPr>
          <w:rFonts w:cs="Arial"/>
          <w:sz w:val="40"/>
          <w:szCs w:val="40"/>
        </w:rPr>
        <w:t>P</w:t>
      </w:r>
      <w:r w:rsidR="008462D9" w:rsidRPr="008462D9">
        <w:rPr>
          <w:rFonts w:cs="Arial"/>
          <w:sz w:val="40"/>
          <w:szCs w:val="40"/>
        </w:rPr>
        <w:t>roceed with caution</w:t>
      </w:r>
      <w:r w:rsidRPr="008462D9">
        <w:rPr>
          <w:rFonts w:cs="Arial"/>
          <w:sz w:val="40"/>
          <w:szCs w:val="40"/>
        </w:rPr>
        <w:t>:</w:t>
      </w:r>
    </w:p>
    <w:p w14:paraId="30D0C5D3" w14:textId="77777777" w:rsidR="00523492" w:rsidRPr="008462D9" w:rsidRDefault="00523492" w:rsidP="00100676">
      <w:pPr>
        <w:pStyle w:val="EndnoteText"/>
        <w:spacing w:line="259" w:lineRule="auto"/>
        <w:jc w:val="center"/>
        <w:rPr>
          <w:rFonts w:cs="Arial"/>
          <w:sz w:val="40"/>
          <w:szCs w:val="40"/>
        </w:rPr>
      </w:pPr>
    </w:p>
    <w:p w14:paraId="5441FB10" w14:textId="77777777" w:rsidR="007F1BC4" w:rsidRPr="008462D9" w:rsidRDefault="00523492" w:rsidP="008462D9">
      <w:pPr>
        <w:pStyle w:val="EndnoteText"/>
        <w:spacing w:line="259" w:lineRule="auto"/>
        <w:rPr>
          <w:rFonts w:cs="Arial"/>
          <w:sz w:val="40"/>
          <w:szCs w:val="40"/>
        </w:rPr>
      </w:pPr>
      <w:r w:rsidRPr="008462D9">
        <w:rPr>
          <w:rFonts w:cs="Arial"/>
          <w:sz w:val="40"/>
          <w:szCs w:val="40"/>
        </w:rPr>
        <w:t>Vocational</w:t>
      </w:r>
      <w:r w:rsidR="004F35CB" w:rsidRPr="008462D9">
        <w:rPr>
          <w:rFonts w:cs="Arial"/>
          <w:sz w:val="40"/>
          <w:szCs w:val="40"/>
        </w:rPr>
        <w:t xml:space="preserve"> and Applied Learning Pathways </w:t>
      </w:r>
      <w:r w:rsidRPr="008462D9">
        <w:rPr>
          <w:rFonts w:cs="Arial"/>
          <w:sz w:val="40"/>
          <w:szCs w:val="40"/>
        </w:rPr>
        <w:t xml:space="preserve">in Senior Secondary Schooling: the </w:t>
      </w:r>
      <w:hyperlink r:id="rId11" w:history="1">
        <w:r w:rsidRPr="008462D9">
          <w:rPr>
            <w:rStyle w:val="Hyperlink"/>
            <w:rFonts w:cs="Arial"/>
            <w:sz w:val="40"/>
            <w:szCs w:val="40"/>
          </w:rPr>
          <w:t>Firth Report</w:t>
        </w:r>
      </w:hyperlink>
      <w:r w:rsidRPr="008462D9">
        <w:rPr>
          <w:rFonts w:cs="Arial"/>
          <w:sz w:val="40"/>
          <w:szCs w:val="40"/>
        </w:rPr>
        <w:t xml:space="preserve"> and the Victorian Government’s Response</w:t>
      </w:r>
    </w:p>
    <w:p w14:paraId="02497357" w14:textId="77777777" w:rsidR="007F1BC4" w:rsidRPr="008462D9" w:rsidRDefault="007F1BC4" w:rsidP="00100676">
      <w:pPr>
        <w:pStyle w:val="EndnoteText"/>
        <w:spacing w:line="259" w:lineRule="auto"/>
        <w:rPr>
          <w:rFonts w:cs="Arial"/>
          <w:sz w:val="40"/>
          <w:szCs w:val="40"/>
        </w:rPr>
      </w:pPr>
    </w:p>
    <w:p w14:paraId="56DA7638" w14:textId="5A4C7336" w:rsidR="0007359E" w:rsidRPr="008462D9" w:rsidRDefault="008462D9" w:rsidP="00100676">
      <w:pPr>
        <w:pStyle w:val="EndnoteText"/>
        <w:spacing w:line="259" w:lineRule="auto"/>
        <w:rPr>
          <w:rFonts w:cs="Arial"/>
          <w:sz w:val="36"/>
          <w:szCs w:val="36"/>
        </w:rPr>
      </w:pPr>
      <w:r w:rsidRPr="008462D9">
        <w:rPr>
          <w:rFonts w:cs="Arial"/>
          <w:sz w:val="36"/>
          <w:szCs w:val="36"/>
        </w:rPr>
        <w:t>Introduction</w:t>
      </w:r>
    </w:p>
    <w:p w14:paraId="15F6233B" w14:textId="77777777" w:rsidR="0007359E" w:rsidRPr="0022431D" w:rsidRDefault="0007359E" w:rsidP="00100676">
      <w:pPr>
        <w:pStyle w:val="EndnoteText"/>
        <w:spacing w:line="259" w:lineRule="auto"/>
        <w:rPr>
          <w:rFonts w:cs="Arial"/>
          <w:sz w:val="24"/>
          <w:szCs w:val="24"/>
        </w:rPr>
      </w:pPr>
    </w:p>
    <w:p w14:paraId="1EB25398" w14:textId="77777777" w:rsidR="000B64E0" w:rsidRPr="00241ADA" w:rsidRDefault="000B64E0" w:rsidP="00100676">
      <w:pPr>
        <w:spacing w:line="259" w:lineRule="auto"/>
        <w:rPr>
          <w:rFonts w:cstheme="minorHAnsi"/>
          <w:sz w:val="24"/>
          <w:szCs w:val="24"/>
        </w:rPr>
      </w:pPr>
      <w:r w:rsidRPr="00241ADA">
        <w:rPr>
          <w:rFonts w:cstheme="minorHAnsi"/>
          <w:sz w:val="24"/>
          <w:szCs w:val="24"/>
        </w:rPr>
        <w:t>In November 2019, the Victorian Government commissioned the review into</w:t>
      </w:r>
      <w:r w:rsidRPr="00241ADA" w:rsidDel="005E48CB">
        <w:rPr>
          <w:rFonts w:cstheme="minorHAnsi"/>
          <w:sz w:val="24"/>
          <w:szCs w:val="24"/>
        </w:rPr>
        <w:t xml:space="preserve"> </w:t>
      </w:r>
      <w:r w:rsidRPr="00241ADA">
        <w:rPr>
          <w:rFonts w:cstheme="minorHAnsi"/>
          <w:sz w:val="24"/>
          <w:szCs w:val="24"/>
        </w:rPr>
        <w:t>vocational and applied learning pathways for senior secondary students, led by former Victorian Curriculum and Assessment Authority Chief Executive Officer, John Firth.</w:t>
      </w:r>
      <w:r w:rsidRPr="00241ADA" w:rsidDel="005E48CB">
        <w:rPr>
          <w:rFonts w:cstheme="minorHAnsi"/>
          <w:sz w:val="24"/>
          <w:szCs w:val="24"/>
        </w:rPr>
        <w:t xml:space="preserve"> </w:t>
      </w:r>
    </w:p>
    <w:p w14:paraId="3A3DBACC" w14:textId="77777777" w:rsidR="000B64E0" w:rsidRPr="00241ADA" w:rsidRDefault="000B64E0" w:rsidP="00100676">
      <w:pPr>
        <w:spacing w:line="259" w:lineRule="auto"/>
        <w:rPr>
          <w:rFonts w:cstheme="minorHAnsi"/>
          <w:sz w:val="24"/>
          <w:szCs w:val="24"/>
        </w:rPr>
      </w:pPr>
      <w:r w:rsidRPr="00241ADA">
        <w:rPr>
          <w:rFonts w:cstheme="minorHAnsi"/>
          <w:sz w:val="24"/>
          <w:szCs w:val="24"/>
        </w:rPr>
        <w:t>The major review was commissioned to make recommendations for reform with two key aims:</w:t>
      </w:r>
    </w:p>
    <w:p w14:paraId="6D33F002" w14:textId="77777777" w:rsidR="000B64E0" w:rsidRPr="00241ADA" w:rsidRDefault="000B64E0" w:rsidP="00100676">
      <w:pPr>
        <w:pStyle w:val="ListParagraph"/>
        <w:numPr>
          <w:ilvl w:val="0"/>
          <w:numId w:val="26"/>
        </w:numPr>
        <w:spacing w:after="160" w:line="259" w:lineRule="auto"/>
        <w:rPr>
          <w:rFonts w:cstheme="minorHAnsi"/>
          <w:sz w:val="24"/>
          <w:szCs w:val="24"/>
        </w:rPr>
      </w:pPr>
      <w:r w:rsidRPr="00241ADA">
        <w:rPr>
          <w:rFonts w:cstheme="minorHAnsi"/>
          <w:sz w:val="24"/>
          <w:szCs w:val="24"/>
        </w:rPr>
        <w:t xml:space="preserve">to ensure all Victorian secondary school students have access to high-quality vocational and applied learning options  </w:t>
      </w:r>
    </w:p>
    <w:p w14:paraId="7C8B7D00" w14:textId="77777777" w:rsidR="000B64E0" w:rsidRPr="00241ADA" w:rsidRDefault="000B64E0" w:rsidP="00100676">
      <w:pPr>
        <w:pStyle w:val="ListParagraph"/>
        <w:numPr>
          <w:ilvl w:val="0"/>
          <w:numId w:val="26"/>
        </w:numPr>
        <w:spacing w:after="160" w:line="259" w:lineRule="auto"/>
        <w:rPr>
          <w:rFonts w:cstheme="minorHAnsi"/>
          <w:sz w:val="24"/>
          <w:szCs w:val="24"/>
        </w:rPr>
      </w:pPr>
      <w:r w:rsidRPr="00241ADA">
        <w:rPr>
          <w:rFonts w:cstheme="minorHAnsi"/>
          <w:sz w:val="24"/>
          <w:szCs w:val="24"/>
        </w:rPr>
        <w:t>to look for ways to improve transitions for students between school, post-secondary education and work.</w:t>
      </w:r>
    </w:p>
    <w:p w14:paraId="0E476802" w14:textId="77777777" w:rsidR="00BD642C" w:rsidRPr="00241ADA" w:rsidRDefault="000B64E0" w:rsidP="00100676">
      <w:pPr>
        <w:spacing w:line="259" w:lineRule="auto"/>
        <w:rPr>
          <w:rFonts w:cstheme="minorHAnsi"/>
          <w:sz w:val="24"/>
          <w:szCs w:val="24"/>
        </w:rPr>
      </w:pPr>
      <w:r w:rsidRPr="00241ADA">
        <w:rPr>
          <w:rFonts w:cstheme="minorHAnsi"/>
          <w:sz w:val="24"/>
          <w:szCs w:val="24"/>
        </w:rPr>
        <w:t>Firth delivered his final report in November 2020. The Victorian Government delivered its response that same month, accepting in principle all of the review’s recommendations</w:t>
      </w:r>
      <w:r w:rsidR="00BD642C" w:rsidRPr="00241ADA">
        <w:rPr>
          <w:rFonts w:cstheme="minorHAnsi"/>
          <w:sz w:val="24"/>
          <w:szCs w:val="24"/>
        </w:rPr>
        <w:t>, stating:</w:t>
      </w:r>
      <w:r w:rsidRPr="00241ADA">
        <w:rPr>
          <w:rFonts w:cstheme="minorHAnsi"/>
          <w:sz w:val="24"/>
          <w:szCs w:val="24"/>
        </w:rPr>
        <w:t xml:space="preserve"> </w:t>
      </w:r>
    </w:p>
    <w:p w14:paraId="646DC3B4" w14:textId="77777777" w:rsidR="000B64E0" w:rsidRPr="008462D9" w:rsidRDefault="000B64E0" w:rsidP="008462D9">
      <w:pPr>
        <w:spacing w:line="259" w:lineRule="auto"/>
        <w:rPr>
          <w:rFonts w:cstheme="minorHAnsi"/>
          <w:sz w:val="24"/>
          <w:szCs w:val="24"/>
        </w:rPr>
      </w:pPr>
      <w:r w:rsidRPr="008462D9">
        <w:rPr>
          <w:rFonts w:cstheme="minorHAnsi"/>
          <w:sz w:val="24"/>
          <w:szCs w:val="24"/>
        </w:rPr>
        <w:t>They provide a set of transformative reforms that will improve the skills and work readiness of young people by:</w:t>
      </w:r>
    </w:p>
    <w:p w14:paraId="61F9CC52" w14:textId="77777777" w:rsidR="000B64E0" w:rsidRPr="008462D9" w:rsidRDefault="000B64E0" w:rsidP="00100676">
      <w:pPr>
        <w:pStyle w:val="ListParagraph"/>
        <w:numPr>
          <w:ilvl w:val="0"/>
          <w:numId w:val="25"/>
        </w:numPr>
        <w:spacing w:after="160" w:line="259" w:lineRule="auto"/>
        <w:ind w:left="1080"/>
        <w:rPr>
          <w:rFonts w:cstheme="minorHAnsi"/>
          <w:sz w:val="24"/>
          <w:szCs w:val="24"/>
        </w:rPr>
      </w:pPr>
      <w:r w:rsidRPr="008462D9">
        <w:rPr>
          <w:rFonts w:cstheme="minorHAnsi"/>
          <w:sz w:val="24"/>
          <w:szCs w:val="24"/>
        </w:rPr>
        <w:t xml:space="preserve">lifting the quality and perception of vocational education </w:t>
      </w:r>
    </w:p>
    <w:p w14:paraId="47205043" w14:textId="77777777" w:rsidR="000B64E0" w:rsidRPr="008462D9" w:rsidRDefault="000B64E0" w:rsidP="00100676">
      <w:pPr>
        <w:pStyle w:val="ListParagraph"/>
        <w:numPr>
          <w:ilvl w:val="0"/>
          <w:numId w:val="25"/>
        </w:numPr>
        <w:spacing w:after="160" w:line="259" w:lineRule="auto"/>
        <w:ind w:left="1080"/>
        <w:rPr>
          <w:rFonts w:cstheme="minorHAnsi"/>
          <w:sz w:val="24"/>
          <w:szCs w:val="24"/>
        </w:rPr>
      </w:pPr>
      <w:r w:rsidRPr="008462D9">
        <w:rPr>
          <w:rFonts w:cstheme="minorHAnsi"/>
          <w:sz w:val="24"/>
          <w:szCs w:val="24"/>
        </w:rPr>
        <w:t xml:space="preserve">helping more students access high-quality programs, and </w:t>
      </w:r>
    </w:p>
    <w:p w14:paraId="3DB3F873" w14:textId="2286B5C3" w:rsidR="000B64E0" w:rsidRPr="00241ADA" w:rsidRDefault="000B64E0" w:rsidP="00100676">
      <w:pPr>
        <w:pStyle w:val="ListParagraph"/>
        <w:numPr>
          <w:ilvl w:val="0"/>
          <w:numId w:val="25"/>
        </w:numPr>
        <w:spacing w:after="160" w:line="259" w:lineRule="auto"/>
        <w:ind w:left="1080"/>
        <w:rPr>
          <w:rFonts w:cstheme="minorHAnsi"/>
          <w:i/>
          <w:iCs/>
          <w:sz w:val="24"/>
          <w:szCs w:val="24"/>
        </w:rPr>
      </w:pPr>
      <w:r w:rsidRPr="008462D9">
        <w:rPr>
          <w:rFonts w:cstheme="minorHAnsi"/>
          <w:sz w:val="24"/>
          <w:szCs w:val="24"/>
        </w:rPr>
        <w:t>providing students with a vocational pathway that gives them the skills they need to move successfully into further training and jobs</w:t>
      </w:r>
      <w:r w:rsidR="003334A6">
        <w:rPr>
          <w:rFonts w:cstheme="minorHAnsi"/>
          <w:sz w:val="24"/>
          <w:szCs w:val="24"/>
        </w:rPr>
        <w:t xml:space="preserve">. </w:t>
      </w:r>
      <w:hyperlink r:id="rId12" w:history="1">
        <w:r w:rsidR="003334A6" w:rsidRPr="003334A6">
          <w:rPr>
            <w:rStyle w:val="Hyperlink"/>
            <w:rFonts w:cstheme="minorHAnsi"/>
            <w:sz w:val="24"/>
            <w:szCs w:val="24"/>
          </w:rPr>
          <w:t>Report here</w:t>
        </w:r>
      </w:hyperlink>
      <w:r w:rsidRPr="00241ADA">
        <w:rPr>
          <w:rFonts w:cstheme="minorHAnsi"/>
          <w:i/>
          <w:iCs/>
          <w:sz w:val="24"/>
          <w:szCs w:val="24"/>
        </w:rPr>
        <w:t>.</w:t>
      </w:r>
    </w:p>
    <w:p w14:paraId="3C4F3303" w14:textId="77777777" w:rsidR="000D070D" w:rsidRDefault="000D070D" w:rsidP="00100676">
      <w:pPr>
        <w:pStyle w:val="EndnoteText"/>
        <w:spacing w:line="259" w:lineRule="auto"/>
        <w:rPr>
          <w:rFonts w:cs="Arial"/>
          <w:sz w:val="24"/>
          <w:szCs w:val="24"/>
        </w:rPr>
      </w:pPr>
    </w:p>
    <w:p w14:paraId="475CCC0E" w14:textId="48143F04" w:rsidR="00BD642C" w:rsidRDefault="00BD642C" w:rsidP="00100676">
      <w:pPr>
        <w:pStyle w:val="EndnoteText"/>
        <w:spacing w:line="259" w:lineRule="auto"/>
        <w:rPr>
          <w:rFonts w:cstheme="minorHAnsi"/>
          <w:sz w:val="24"/>
          <w:szCs w:val="24"/>
        </w:rPr>
      </w:pPr>
      <w:r>
        <w:rPr>
          <w:rFonts w:cs="Arial"/>
          <w:sz w:val="24"/>
          <w:szCs w:val="24"/>
        </w:rPr>
        <w:t xml:space="preserve">Ticket </w:t>
      </w:r>
      <w:r w:rsidR="00C12938">
        <w:rPr>
          <w:rFonts w:cs="Arial"/>
          <w:sz w:val="24"/>
          <w:szCs w:val="24"/>
        </w:rPr>
        <w:t>t</w:t>
      </w:r>
      <w:r>
        <w:rPr>
          <w:rFonts w:cs="Arial"/>
          <w:sz w:val="24"/>
          <w:szCs w:val="24"/>
        </w:rPr>
        <w:t xml:space="preserve">o Work supports the Government’s view that: </w:t>
      </w:r>
      <w:r w:rsidR="000B64E0" w:rsidRPr="00241ADA">
        <w:rPr>
          <w:rFonts w:cstheme="minorHAnsi"/>
          <w:sz w:val="24"/>
          <w:szCs w:val="24"/>
        </w:rPr>
        <w:t>the senior years of school are a critical period in a student’s life</w:t>
      </w:r>
      <w:r>
        <w:rPr>
          <w:rFonts w:cstheme="minorHAnsi"/>
          <w:sz w:val="24"/>
          <w:szCs w:val="24"/>
        </w:rPr>
        <w:t xml:space="preserve"> and that “</w:t>
      </w:r>
      <w:r w:rsidR="000B64E0" w:rsidRPr="00241ADA">
        <w:rPr>
          <w:rFonts w:cstheme="minorHAnsi"/>
          <w:sz w:val="24"/>
          <w:szCs w:val="24"/>
        </w:rPr>
        <w:t>they are especially critical now to be sure young people can get on to a good pathway – one that gives them the skills they need, and that leads them into further training, education and, ultimately, a great job</w:t>
      </w:r>
      <w:r>
        <w:rPr>
          <w:rFonts w:cstheme="minorHAnsi"/>
          <w:sz w:val="24"/>
          <w:szCs w:val="24"/>
        </w:rPr>
        <w:t>”</w:t>
      </w:r>
      <w:r w:rsidR="000B64E0" w:rsidRPr="00241ADA">
        <w:rPr>
          <w:rFonts w:cstheme="minorHAnsi"/>
          <w:sz w:val="24"/>
          <w:szCs w:val="24"/>
        </w:rPr>
        <w:t>.</w:t>
      </w:r>
    </w:p>
    <w:p w14:paraId="684FB141" w14:textId="78055D78" w:rsidR="000B64E0" w:rsidRDefault="00BD642C" w:rsidP="00100676">
      <w:pPr>
        <w:pStyle w:val="EndnoteText"/>
        <w:spacing w:line="259" w:lineRule="auto"/>
        <w:rPr>
          <w:rFonts w:cs="Arial"/>
          <w:sz w:val="24"/>
          <w:szCs w:val="24"/>
        </w:rPr>
      </w:pPr>
      <w:r>
        <w:rPr>
          <w:rFonts w:cstheme="minorHAnsi"/>
          <w:sz w:val="24"/>
          <w:szCs w:val="24"/>
        </w:rPr>
        <w:lastRenderedPageBreak/>
        <w:t>We welcome the Government’s recognition that broad engagement with stakeholders at every stage of implementation will be k</w:t>
      </w:r>
      <w:r w:rsidR="000B64E0" w:rsidRPr="00241ADA">
        <w:rPr>
          <w:rFonts w:cstheme="minorHAnsi"/>
          <w:sz w:val="24"/>
          <w:szCs w:val="24"/>
        </w:rPr>
        <w:t>ey to the success in implementing this reform agenda</w:t>
      </w:r>
      <w:r>
        <w:rPr>
          <w:rFonts w:cstheme="minorHAnsi"/>
          <w:sz w:val="24"/>
          <w:szCs w:val="24"/>
        </w:rPr>
        <w:t xml:space="preserve">. </w:t>
      </w:r>
    </w:p>
    <w:p w14:paraId="00DFBAC3" w14:textId="77777777" w:rsidR="005B4CBD" w:rsidRPr="00BD642C" w:rsidRDefault="005B4CBD" w:rsidP="00100676">
      <w:pPr>
        <w:pStyle w:val="EndnoteText"/>
        <w:spacing w:line="259" w:lineRule="auto"/>
        <w:rPr>
          <w:rFonts w:cs="Arial"/>
          <w:sz w:val="24"/>
          <w:szCs w:val="24"/>
        </w:rPr>
      </w:pPr>
    </w:p>
    <w:p w14:paraId="5450098A" w14:textId="77777777" w:rsidR="00D90F72" w:rsidRDefault="00523492" w:rsidP="00100676">
      <w:pPr>
        <w:pStyle w:val="EndnoteText"/>
        <w:spacing w:line="259" w:lineRule="auto"/>
        <w:rPr>
          <w:rFonts w:cs="Arial"/>
          <w:sz w:val="24"/>
          <w:szCs w:val="24"/>
        </w:rPr>
      </w:pPr>
      <w:r>
        <w:rPr>
          <w:rFonts w:cs="Arial"/>
          <w:sz w:val="24"/>
          <w:szCs w:val="24"/>
        </w:rPr>
        <w:t xml:space="preserve">This paper accepts that invitation. </w:t>
      </w:r>
    </w:p>
    <w:p w14:paraId="1D8AE7CC" w14:textId="77777777" w:rsidR="00D90F72" w:rsidRDefault="00D90F72" w:rsidP="00100676">
      <w:pPr>
        <w:pStyle w:val="EndnoteText"/>
        <w:spacing w:line="259" w:lineRule="auto"/>
        <w:rPr>
          <w:rFonts w:cs="Arial"/>
          <w:sz w:val="24"/>
          <w:szCs w:val="24"/>
        </w:rPr>
      </w:pPr>
    </w:p>
    <w:p w14:paraId="74EB4FD4" w14:textId="34B8020A" w:rsidR="000D070D" w:rsidRPr="00BD642C" w:rsidRDefault="00523492" w:rsidP="00100676">
      <w:pPr>
        <w:pStyle w:val="EndnoteText"/>
        <w:spacing w:line="259" w:lineRule="auto"/>
        <w:rPr>
          <w:rFonts w:cs="Arial"/>
          <w:sz w:val="24"/>
          <w:szCs w:val="24"/>
        </w:rPr>
      </w:pPr>
      <w:r>
        <w:rPr>
          <w:rFonts w:cs="Arial"/>
          <w:sz w:val="24"/>
          <w:szCs w:val="24"/>
        </w:rPr>
        <w:t xml:space="preserve">It warns that that good intentions will not be enough to deliver the two stated aims for the reforms </w:t>
      </w:r>
      <w:r w:rsidR="00683763">
        <w:rPr>
          <w:rFonts w:cs="Arial"/>
          <w:sz w:val="24"/>
          <w:szCs w:val="24"/>
        </w:rPr>
        <w:t>if, as</w:t>
      </w:r>
      <w:r w:rsidR="001D36AC">
        <w:rPr>
          <w:rFonts w:cs="Arial"/>
          <w:sz w:val="24"/>
          <w:szCs w:val="24"/>
        </w:rPr>
        <w:t xml:space="preserve"> </w:t>
      </w:r>
      <w:r w:rsidR="00D90F72">
        <w:rPr>
          <w:rFonts w:cs="Arial"/>
          <w:sz w:val="24"/>
          <w:szCs w:val="24"/>
        </w:rPr>
        <w:t xml:space="preserve">explicitly </w:t>
      </w:r>
      <w:r w:rsidR="001D36AC">
        <w:rPr>
          <w:rFonts w:cs="Arial"/>
          <w:sz w:val="24"/>
          <w:szCs w:val="24"/>
        </w:rPr>
        <w:t>stated, the reforms are intended</w:t>
      </w:r>
      <w:r w:rsidR="00D90F72">
        <w:rPr>
          <w:rFonts w:cs="Arial"/>
          <w:sz w:val="24"/>
          <w:szCs w:val="24"/>
        </w:rPr>
        <w:t xml:space="preserve"> to benefit </w:t>
      </w:r>
      <w:r w:rsidR="00D90F72">
        <w:rPr>
          <w:rFonts w:cs="Arial"/>
          <w:b/>
          <w:bCs/>
          <w:i/>
          <w:iCs/>
          <w:sz w:val="24"/>
          <w:szCs w:val="24"/>
        </w:rPr>
        <w:t>all</w:t>
      </w:r>
      <w:r>
        <w:rPr>
          <w:rFonts w:cs="Arial"/>
          <w:sz w:val="24"/>
          <w:szCs w:val="24"/>
        </w:rPr>
        <w:t xml:space="preserve"> students </w:t>
      </w:r>
      <w:r w:rsidR="00D90F72">
        <w:rPr>
          <w:rFonts w:cs="Arial"/>
          <w:sz w:val="24"/>
          <w:szCs w:val="24"/>
        </w:rPr>
        <w:t xml:space="preserve">including those </w:t>
      </w:r>
      <w:r>
        <w:rPr>
          <w:rFonts w:cs="Arial"/>
          <w:sz w:val="24"/>
          <w:szCs w:val="24"/>
        </w:rPr>
        <w:t xml:space="preserve">with </w:t>
      </w:r>
      <w:r w:rsidR="00677F9F">
        <w:rPr>
          <w:rFonts w:cs="Arial"/>
          <w:sz w:val="24"/>
          <w:szCs w:val="24"/>
        </w:rPr>
        <w:t>disability (all should mean all)</w:t>
      </w:r>
      <w:r>
        <w:rPr>
          <w:rFonts w:cs="Arial"/>
          <w:sz w:val="24"/>
          <w:szCs w:val="24"/>
        </w:rPr>
        <w:t>.</w:t>
      </w:r>
      <w:r w:rsidR="00677F9F">
        <w:rPr>
          <w:rFonts w:cs="Arial"/>
          <w:sz w:val="24"/>
          <w:szCs w:val="24"/>
        </w:rPr>
        <w:t xml:space="preserve"> </w:t>
      </w:r>
      <w:r>
        <w:rPr>
          <w:rFonts w:cs="Arial"/>
          <w:sz w:val="24"/>
          <w:szCs w:val="24"/>
        </w:rPr>
        <w:t>More than this, we are deeply concerned that the reforms may well lead to exacerbating existing disadvantage and undermine existing initiatives that are shown to deliver impr</w:t>
      </w:r>
      <w:r w:rsidR="00D90F72">
        <w:rPr>
          <w:rFonts w:cs="Arial"/>
          <w:sz w:val="24"/>
          <w:szCs w:val="24"/>
        </w:rPr>
        <w:t>o</w:t>
      </w:r>
      <w:r>
        <w:rPr>
          <w:rFonts w:cs="Arial"/>
          <w:sz w:val="24"/>
          <w:szCs w:val="24"/>
        </w:rPr>
        <w:t>ved educ</w:t>
      </w:r>
      <w:r w:rsidR="00D90F72">
        <w:rPr>
          <w:rFonts w:cs="Arial"/>
          <w:sz w:val="24"/>
          <w:szCs w:val="24"/>
        </w:rPr>
        <w:t>a</w:t>
      </w:r>
      <w:r>
        <w:rPr>
          <w:rFonts w:cs="Arial"/>
          <w:sz w:val="24"/>
          <w:szCs w:val="24"/>
        </w:rPr>
        <w:t xml:space="preserve">tion and employment outcomes for these young people. </w:t>
      </w:r>
    </w:p>
    <w:p w14:paraId="0262663D" w14:textId="77777777" w:rsidR="00172964" w:rsidRPr="00BD642C" w:rsidRDefault="00172964" w:rsidP="00100676">
      <w:pPr>
        <w:pStyle w:val="EndnoteText"/>
        <w:spacing w:line="259" w:lineRule="auto"/>
        <w:rPr>
          <w:rFonts w:cs="Arial"/>
          <w:color w:val="666666"/>
          <w:sz w:val="24"/>
          <w:szCs w:val="24"/>
          <w:shd w:val="clear" w:color="auto" w:fill="FFFFFF"/>
        </w:rPr>
      </w:pPr>
    </w:p>
    <w:p w14:paraId="13F8ED22" w14:textId="77777777" w:rsidR="007F0FB7" w:rsidRPr="00D30EFC" w:rsidRDefault="007F0FB7" w:rsidP="00100676">
      <w:pPr>
        <w:pStyle w:val="EndnoteText"/>
        <w:spacing w:line="259" w:lineRule="auto"/>
        <w:rPr>
          <w:rFonts w:cs="Arial"/>
          <w:b/>
          <w:bCs/>
          <w:sz w:val="36"/>
          <w:szCs w:val="36"/>
        </w:rPr>
      </w:pPr>
    </w:p>
    <w:p w14:paraId="4FADE2F5" w14:textId="1D9DBEB0" w:rsidR="00D90F72" w:rsidRPr="00DD2003" w:rsidRDefault="007F0FB7" w:rsidP="00100676">
      <w:pPr>
        <w:pStyle w:val="EndnoteText"/>
        <w:spacing w:line="259" w:lineRule="auto"/>
        <w:rPr>
          <w:rFonts w:cs="Arial"/>
          <w:sz w:val="44"/>
          <w:szCs w:val="44"/>
        </w:rPr>
      </w:pPr>
      <w:r w:rsidRPr="00DD2003">
        <w:rPr>
          <w:rFonts w:cs="Arial"/>
          <w:sz w:val="44"/>
          <w:szCs w:val="44"/>
        </w:rPr>
        <w:t>O</w:t>
      </w:r>
      <w:r w:rsidR="00D30EFC" w:rsidRPr="00DD2003">
        <w:rPr>
          <w:rFonts w:cs="Arial"/>
          <w:sz w:val="44"/>
          <w:szCs w:val="44"/>
        </w:rPr>
        <w:t>ur Concerns</w:t>
      </w:r>
    </w:p>
    <w:p w14:paraId="5CE8A4EC" w14:textId="77777777" w:rsidR="005D7762" w:rsidRPr="00DD2003" w:rsidRDefault="005D7762" w:rsidP="00100676">
      <w:pPr>
        <w:pStyle w:val="EndnoteText"/>
        <w:spacing w:line="259" w:lineRule="auto"/>
        <w:rPr>
          <w:rFonts w:cs="Arial"/>
          <w:sz w:val="28"/>
          <w:szCs w:val="28"/>
        </w:rPr>
      </w:pPr>
    </w:p>
    <w:p w14:paraId="640BDC5B" w14:textId="77777777" w:rsidR="001D36AC" w:rsidRPr="00DD2003" w:rsidRDefault="001D36AC" w:rsidP="00100676">
      <w:pPr>
        <w:pStyle w:val="EndnoteText"/>
        <w:spacing w:line="259" w:lineRule="auto"/>
        <w:rPr>
          <w:rFonts w:cs="Arial"/>
          <w:sz w:val="32"/>
          <w:szCs w:val="32"/>
        </w:rPr>
      </w:pPr>
      <w:r w:rsidRPr="00DD2003">
        <w:rPr>
          <w:rFonts w:cs="Arial"/>
          <w:sz w:val="32"/>
          <w:szCs w:val="32"/>
        </w:rPr>
        <w:t>Flaws in the Proposed Integrated Senior Secondary Certificate</w:t>
      </w:r>
    </w:p>
    <w:p w14:paraId="36117B1B" w14:textId="77777777" w:rsidR="005D7762" w:rsidRPr="0022431D" w:rsidRDefault="005D7762" w:rsidP="00100676">
      <w:pPr>
        <w:pStyle w:val="EndnoteText"/>
        <w:spacing w:line="259" w:lineRule="auto"/>
        <w:rPr>
          <w:rFonts w:cs="Arial"/>
          <w:sz w:val="24"/>
          <w:szCs w:val="24"/>
        </w:rPr>
      </w:pPr>
    </w:p>
    <w:p w14:paraId="57AC91CD" w14:textId="77777777" w:rsidR="001D36AC" w:rsidRDefault="001D36AC" w:rsidP="00100676">
      <w:pPr>
        <w:pStyle w:val="EndnoteText"/>
        <w:spacing w:line="259" w:lineRule="auto"/>
        <w:rPr>
          <w:rFonts w:cs="Arial"/>
          <w:sz w:val="24"/>
          <w:szCs w:val="24"/>
        </w:rPr>
      </w:pPr>
      <w:r>
        <w:rPr>
          <w:rFonts w:cs="Arial"/>
          <w:sz w:val="24"/>
          <w:szCs w:val="24"/>
        </w:rPr>
        <w:t xml:space="preserve">The </w:t>
      </w:r>
      <w:r w:rsidR="005D7762" w:rsidRPr="0022431D">
        <w:rPr>
          <w:rFonts w:cs="Arial"/>
          <w:sz w:val="24"/>
          <w:szCs w:val="24"/>
        </w:rPr>
        <w:t>Review recommends that Victoria is best served by an integrated senior secondary certificate system</w:t>
      </w:r>
      <w:r>
        <w:rPr>
          <w:rFonts w:cs="Arial"/>
          <w:sz w:val="24"/>
          <w:szCs w:val="24"/>
        </w:rPr>
        <w:t>:</w:t>
      </w:r>
    </w:p>
    <w:p w14:paraId="12623AE5" w14:textId="77777777" w:rsidR="001D36AC" w:rsidRDefault="001D36AC" w:rsidP="00100676">
      <w:pPr>
        <w:pStyle w:val="EndnoteText"/>
        <w:spacing w:line="259" w:lineRule="auto"/>
        <w:rPr>
          <w:rFonts w:cs="Arial"/>
          <w:sz w:val="24"/>
          <w:szCs w:val="24"/>
        </w:rPr>
      </w:pPr>
    </w:p>
    <w:p w14:paraId="5D7A195D" w14:textId="77777777" w:rsidR="005D7762" w:rsidRPr="00D30EFC" w:rsidRDefault="005D7762" w:rsidP="00100676">
      <w:pPr>
        <w:pStyle w:val="EndnoteText"/>
        <w:spacing w:line="259" w:lineRule="auto"/>
        <w:ind w:left="720"/>
        <w:rPr>
          <w:rFonts w:cs="Arial"/>
          <w:sz w:val="24"/>
          <w:szCs w:val="24"/>
        </w:rPr>
      </w:pPr>
      <w:r w:rsidRPr="00D30EFC">
        <w:rPr>
          <w:rFonts w:cs="Arial"/>
          <w:sz w:val="24"/>
          <w:szCs w:val="24"/>
        </w:rPr>
        <w:t>An integrated certificate will empower students to personalise a senior secondary pathway that is aligned with their interests, strengths and aspirations, and to create an optimal subject grouping that exposes them to learning that is most relevant to their desired post-school pathway.</w:t>
      </w:r>
    </w:p>
    <w:p w14:paraId="302BEB23" w14:textId="77777777" w:rsidR="005D7762" w:rsidRPr="00D30EFC" w:rsidRDefault="005D7762" w:rsidP="00100676">
      <w:pPr>
        <w:pStyle w:val="EndnoteText"/>
        <w:spacing w:line="259" w:lineRule="auto"/>
        <w:ind w:left="720"/>
        <w:rPr>
          <w:rFonts w:cs="Arial"/>
          <w:sz w:val="24"/>
          <w:szCs w:val="24"/>
        </w:rPr>
      </w:pPr>
    </w:p>
    <w:p w14:paraId="1FE87C34" w14:textId="0B86DE31" w:rsidR="005D7762" w:rsidRPr="00D30EFC" w:rsidRDefault="005D7762" w:rsidP="00100676">
      <w:pPr>
        <w:pStyle w:val="EndnoteText"/>
        <w:spacing w:line="259" w:lineRule="auto"/>
        <w:ind w:left="720"/>
        <w:rPr>
          <w:rFonts w:cs="Arial"/>
          <w:sz w:val="24"/>
          <w:szCs w:val="24"/>
        </w:rPr>
      </w:pPr>
      <w:r w:rsidRPr="00D30EFC">
        <w:rPr>
          <w:rFonts w:cs="Arial"/>
          <w:sz w:val="24"/>
          <w:szCs w:val="24"/>
        </w:rPr>
        <w:t xml:space="preserve">An integrated certificate will provide </w:t>
      </w:r>
      <w:r w:rsidRPr="00D30EFC">
        <w:rPr>
          <w:rFonts w:cs="Arial"/>
          <w:sz w:val="24"/>
          <w:szCs w:val="24"/>
          <w:u w:val="single"/>
        </w:rPr>
        <w:t>all</w:t>
      </w:r>
      <w:r w:rsidRPr="00D30EFC">
        <w:rPr>
          <w:rFonts w:cs="Arial"/>
          <w:sz w:val="24"/>
          <w:szCs w:val="24"/>
        </w:rPr>
        <w:t xml:space="preserve"> senior secondary students with a genuine and identifiable vocational pathway that aligns with their personal strengths, interests and post-school aspirations and exposes them to the most relevant learning for their next move.</w:t>
      </w:r>
    </w:p>
    <w:p w14:paraId="34F18C3E" w14:textId="77777777" w:rsidR="005D7762" w:rsidRPr="00241ADA" w:rsidRDefault="005D7762" w:rsidP="00100676">
      <w:pPr>
        <w:pStyle w:val="EndnoteText"/>
        <w:spacing w:line="259" w:lineRule="auto"/>
        <w:rPr>
          <w:rFonts w:cs="Arial"/>
          <w:i/>
          <w:iCs/>
          <w:sz w:val="24"/>
          <w:szCs w:val="24"/>
        </w:rPr>
      </w:pPr>
    </w:p>
    <w:p w14:paraId="319DE697" w14:textId="77777777" w:rsidR="00736390" w:rsidRDefault="001D36AC" w:rsidP="00100676">
      <w:pPr>
        <w:pStyle w:val="EndnoteText"/>
        <w:spacing w:line="259" w:lineRule="auto"/>
        <w:rPr>
          <w:rFonts w:cs="Arial"/>
          <w:sz w:val="24"/>
          <w:szCs w:val="24"/>
        </w:rPr>
      </w:pPr>
      <w:r>
        <w:rPr>
          <w:rFonts w:cs="Arial"/>
          <w:sz w:val="24"/>
          <w:szCs w:val="24"/>
        </w:rPr>
        <w:t xml:space="preserve">However, </w:t>
      </w:r>
      <w:r w:rsidR="008B287F">
        <w:rPr>
          <w:rFonts w:cs="Arial"/>
          <w:sz w:val="24"/>
          <w:szCs w:val="24"/>
        </w:rPr>
        <w:t xml:space="preserve">the </w:t>
      </w:r>
      <w:r>
        <w:rPr>
          <w:rFonts w:cs="Arial"/>
          <w:sz w:val="24"/>
          <w:szCs w:val="24"/>
        </w:rPr>
        <w:t>R</w:t>
      </w:r>
      <w:r w:rsidR="008B287F">
        <w:rPr>
          <w:rFonts w:cs="Arial"/>
          <w:sz w:val="24"/>
          <w:szCs w:val="24"/>
        </w:rPr>
        <w:t>eview</w:t>
      </w:r>
      <w:r w:rsidR="00007153">
        <w:rPr>
          <w:rFonts w:cs="Arial"/>
          <w:sz w:val="24"/>
          <w:szCs w:val="24"/>
        </w:rPr>
        <w:t xml:space="preserve"> </w:t>
      </w:r>
      <w:r>
        <w:rPr>
          <w:rFonts w:cs="Arial"/>
          <w:sz w:val="24"/>
          <w:szCs w:val="24"/>
        </w:rPr>
        <w:t xml:space="preserve">goes on to </w:t>
      </w:r>
      <w:r w:rsidR="008B287F">
        <w:rPr>
          <w:rFonts w:cs="Arial"/>
          <w:sz w:val="24"/>
          <w:szCs w:val="24"/>
        </w:rPr>
        <w:t>state</w:t>
      </w:r>
      <w:r>
        <w:rPr>
          <w:rFonts w:cs="Arial"/>
          <w:sz w:val="24"/>
          <w:szCs w:val="24"/>
        </w:rPr>
        <w:t xml:space="preserve"> that</w:t>
      </w:r>
      <w:r w:rsidR="005D7762" w:rsidRPr="0022431D">
        <w:rPr>
          <w:rFonts w:cs="Arial"/>
          <w:sz w:val="24"/>
          <w:szCs w:val="24"/>
        </w:rPr>
        <w:t xml:space="preserve"> the new integrated certificate</w:t>
      </w:r>
      <w:r w:rsidR="00007153">
        <w:rPr>
          <w:rFonts w:cs="Arial"/>
          <w:sz w:val="24"/>
          <w:szCs w:val="24"/>
        </w:rPr>
        <w:t xml:space="preserve"> w</w:t>
      </w:r>
      <w:r w:rsidR="005D7762" w:rsidRPr="0022431D">
        <w:rPr>
          <w:rFonts w:cs="Arial"/>
          <w:sz w:val="24"/>
          <w:szCs w:val="24"/>
        </w:rPr>
        <w:t xml:space="preserve">ould not </w:t>
      </w:r>
      <w:r w:rsidR="005D7D25" w:rsidRPr="0022431D">
        <w:rPr>
          <w:rFonts w:cs="Arial"/>
          <w:sz w:val="24"/>
          <w:szCs w:val="24"/>
        </w:rPr>
        <w:t>cater</w:t>
      </w:r>
      <w:r w:rsidR="005D7762" w:rsidRPr="0022431D">
        <w:rPr>
          <w:rFonts w:cs="Arial"/>
          <w:sz w:val="24"/>
          <w:szCs w:val="24"/>
        </w:rPr>
        <w:t xml:space="preserve"> for students </w:t>
      </w:r>
      <w:r w:rsidR="006534A7">
        <w:rPr>
          <w:rFonts w:cs="Arial"/>
          <w:sz w:val="24"/>
          <w:szCs w:val="24"/>
        </w:rPr>
        <w:t>who</w:t>
      </w:r>
      <w:r w:rsidR="006534A7" w:rsidRPr="0022431D">
        <w:rPr>
          <w:rFonts w:cs="Arial"/>
          <w:sz w:val="24"/>
          <w:szCs w:val="24"/>
        </w:rPr>
        <w:t xml:space="preserve"> </w:t>
      </w:r>
      <w:r w:rsidR="005D7762" w:rsidRPr="0022431D">
        <w:rPr>
          <w:rFonts w:cs="Arial"/>
          <w:sz w:val="24"/>
          <w:szCs w:val="24"/>
        </w:rPr>
        <w:t xml:space="preserve">would </w:t>
      </w:r>
      <w:r w:rsidR="00635E4E" w:rsidRPr="0022431D">
        <w:rPr>
          <w:rFonts w:cs="Arial"/>
          <w:sz w:val="24"/>
          <w:szCs w:val="24"/>
        </w:rPr>
        <w:t xml:space="preserve">usually </w:t>
      </w:r>
      <w:r w:rsidR="008B287F">
        <w:rPr>
          <w:rFonts w:cs="Arial"/>
          <w:sz w:val="24"/>
          <w:szCs w:val="24"/>
        </w:rPr>
        <w:t>study Foundation VCAL</w:t>
      </w:r>
      <w:r>
        <w:rPr>
          <w:rFonts w:cs="Arial"/>
          <w:sz w:val="24"/>
          <w:szCs w:val="24"/>
        </w:rPr>
        <w:t xml:space="preserve"> [Victorian Certificate of Applied Learning]</w:t>
      </w:r>
      <w:r w:rsidR="00007153">
        <w:rPr>
          <w:rFonts w:cs="Arial"/>
          <w:sz w:val="24"/>
          <w:szCs w:val="24"/>
        </w:rPr>
        <w:t>,</w:t>
      </w:r>
      <w:r>
        <w:rPr>
          <w:rFonts w:cs="Arial"/>
          <w:sz w:val="24"/>
          <w:szCs w:val="24"/>
        </w:rPr>
        <w:t xml:space="preserve"> the majority of whom are</w:t>
      </w:r>
      <w:r w:rsidR="008B287F">
        <w:rPr>
          <w:rFonts w:cs="Arial"/>
          <w:sz w:val="24"/>
          <w:szCs w:val="24"/>
        </w:rPr>
        <w:t xml:space="preserve"> </w:t>
      </w:r>
      <w:r w:rsidR="00635E4E" w:rsidRPr="0022431D">
        <w:rPr>
          <w:rFonts w:cs="Arial"/>
          <w:sz w:val="24"/>
          <w:szCs w:val="24"/>
        </w:rPr>
        <w:t xml:space="preserve">students </w:t>
      </w:r>
      <w:r w:rsidR="008B287F">
        <w:rPr>
          <w:rFonts w:cs="Arial"/>
          <w:sz w:val="24"/>
          <w:szCs w:val="24"/>
        </w:rPr>
        <w:t>with disability</w:t>
      </w:r>
      <w:r w:rsidR="00736390">
        <w:rPr>
          <w:rFonts w:cs="Arial"/>
          <w:sz w:val="24"/>
          <w:szCs w:val="24"/>
        </w:rPr>
        <w:t>. Instead, these students</w:t>
      </w:r>
      <w:r w:rsidR="008B287F">
        <w:rPr>
          <w:rFonts w:cs="Arial"/>
          <w:sz w:val="24"/>
          <w:szCs w:val="24"/>
        </w:rPr>
        <w:t xml:space="preserve"> </w:t>
      </w:r>
      <w:r w:rsidR="00736390">
        <w:rPr>
          <w:rFonts w:cs="Arial"/>
          <w:sz w:val="24"/>
          <w:szCs w:val="24"/>
        </w:rPr>
        <w:t>w</w:t>
      </w:r>
      <w:r w:rsidR="005D7762" w:rsidRPr="0022431D">
        <w:rPr>
          <w:rFonts w:cs="Arial"/>
          <w:sz w:val="24"/>
          <w:szCs w:val="24"/>
        </w:rPr>
        <w:t>ould</w:t>
      </w:r>
      <w:r w:rsidR="00736390">
        <w:rPr>
          <w:rFonts w:cs="Arial"/>
          <w:sz w:val="24"/>
          <w:szCs w:val="24"/>
        </w:rPr>
        <w:t xml:space="preserve"> be funnelled into</w:t>
      </w:r>
      <w:r w:rsidR="005D7762" w:rsidRPr="0022431D">
        <w:rPr>
          <w:rFonts w:cs="Arial"/>
          <w:sz w:val="24"/>
          <w:szCs w:val="24"/>
        </w:rPr>
        <w:t xml:space="preserve"> a new certificate called</w:t>
      </w:r>
      <w:r w:rsidR="00736390">
        <w:rPr>
          <w:rFonts w:cs="Arial"/>
          <w:sz w:val="24"/>
          <w:szCs w:val="24"/>
        </w:rPr>
        <w:t xml:space="preserve"> the</w:t>
      </w:r>
      <w:r w:rsidR="005D7762" w:rsidRPr="0022431D">
        <w:rPr>
          <w:rFonts w:cs="Arial"/>
          <w:sz w:val="24"/>
          <w:szCs w:val="24"/>
        </w:rPr>
        <w:t xml:space="preserve"> Foundation Pathways Certificate.</w:t>
      </w:r>
      <w:r w:rsidR="008B287F">
        <w:rPr>
          <w:rFonts w:cs="Arial"/>
          <w:sz w:val="24"/>
          <w:szCs w:val="24"/>
        </w:rPr>
        <w:t xml:space="preserve"> </w:t>
      </w:r>
    </w:p>
    <w:p w14:paraId="11A3EDF3" w14:textId="77777777" w:rsidR="00736390" w:rsidRDefault="00736390" w:rsidP="00100676">
      <w:pPr>
        <w:pStyle w:val="EndnoteText"/>
        <w:spacing w:line="259" w:lineRule="auto"/>
        <w:rPr>
          <w:rFonts w:cs="Arial"/>
          <w:sz w:val="24"/>
          <w:szCs w:val="24"/>
        </w:rPr>
      </w:pPr>
    </w:p>
    <w:p w14:paraId="58EC3481" w14:textId="24C3EDCF" w:rsidR="005D7762" w:rsidRPr="003334A6" w:rsidRDefault="00736390" w:rsidP="00100676">
      <w:pPr>
        <w:pStyle w:val="EndnoteText"/>
        <w:spacing w:line="259" w:lineRule="auto"/>
        <w:rPr>
          <w:rFonts w:cs="Arial"/>
          <w:b/>
          <w:bCs/>
          <w:sz w:val="24"/>
          <w:szCs w:val="24"/>
        </w:rPr>
      </w:pPr>
      <w:r w:rsidRPr="003334A6">
        <w:rPr>
          <w:rFonts w:cs="Arial"/>
          <w:b/>
          <w:bCs/>
          <w:sz w:val="24"/>
          <w:szCs w:val="24"/>
        </w:rPr>
        <w:t>Our concern is that t</w:t>
      </w:r>
      <w:r w:rsidR="008B287F" w:rsidRPr="003334A6">
        <w:rPr>
          <w:rFonts w:cs="Arial"/>
          <w:b/>
          <w:bCs/>
          <w:sz w:val="24"/>
          <w:szCs w:val="24"/>
        </w:rPr>
        <w:t xml:space="preserve">his </w:t>
      </w:r>
      <w:r w:rsidR="00FD5F6E" w:rsidRPr="003334A6">
        <w:rPr>
          <w:rFonts w:cs="Arial"/>
          <w:b/>
          <w:bCs/>
          <w:sz w:val="24"/>
          <w:szCs w:val="24"/>
        </w:rPr>
        <w:t xml:space="preserve">is not in line with evidenced based practice </w:t>
      </w:r>
      <w:r w:rsidR="00007153" w:rsidRPr="003334A6">
        <w:rPr>
          <w:rFonts w:cs="Arial"/>
          <w:b/>
          <w:bCs/>
          <w:sz w:val="24"/>
          <w:szCs w:val="24"/>
        </w:rPr>
        <w:t>as to what constitutes</w:t>
      </w:r>
      <w:r w:rsidR="00FD5F6E" w:rsidRPr="003334A6">
        <w:rPr>
          <w:rFonts w:cs="Arial"/>
          <w:b/>
          <w:bCs/>
          <w:sz w:val="24"/>
          <w:szCs w:val="24"/>
        </w:rPr>
        <w:t xml:space="preserve"> quality senior school</w:t>
      </w:r>
      <w:r w:rsidR="006534A7" w:rsidRPr="003334A6">
        <w:rPr>
          <w:rFonts w:cs="Arial"/>
          <w:b/>
          <w:bCs/>
          <w:sz w:val="24"/>
          <w:szCs w:val="24"/>
        </w:rPr>
        <w:t>ing</w:t>
      </w:r>
      <w:r w:rsidR="00FD5F6E" w:rsidRPr="003334A6">
        <w:rPr>
          <w:rFonts w:cs="Arial"/>
          <w:b/>
          <w:bCs/>
          <w:sz w:val="24"/>
          <w:szCs w:val="24"/>
        </w:rPr>
        <w:t>. The net effect will be to</w:t>
      </w:r>
      <w:r w:rsidRPr="003334A6">
        <w:rPr>
          <w:rFonts w:cs="Arial"/>
          <w:b/>
          <w:bCs/>
          <w:sz w:val="24"/>
          <w:szCs w:val="24"/>
        </w:rPr>
        <w:t xml:space="preserve"> </w:t>
      </w:r>
      <w:r w:rsidR="008B287F" w:rsidRPr="003334A6">
        <w:rPr>
          <w:rFonts w:cs="Arial"/>
          <w:b/>
          <w:bCs/>
          <w:sz w:val="24"/>
          <w:szCs w:val="24"/>
        </w:rPr>
        <w:t>reduce the life chances of</w:t>
      </w:r>
      <w:r w:rsidR="00007153" w:rsidRPr="003334A6">
        <w:rPr>
          <w:rFonts w:cs="Arial"/>
          <w:b/>
          <w:bCs/>
          <w:sz w:val="24"/>
          <w:szCs w:val="24"/>
        </w:rPr>
        <w:t xml:space="preserve"> </w:t>
      </w:r>
      <w:r w:rsidR="008B287F" w:rsidRPr="003334A6">
        <w:rPr>
          <w:rFonts w:cs="Arial"/>
          <w:b/>
          <w:bCs/>
          <w:sz w:val="24"/>
          <w:szCs w:val="24"/>
        </w:rPr>
        <w:t>student</w:t>
      </w:r>
      <w:r w:rsidR="00FD5F6E" w:rsidRPr="003334A6">
        <w:rPr>
          <w:rFonts w:cs="Arial"/>
          <w:b/>
          <w:bCs/>
          <w:sz w:val="24"/>
          <w:szCs w:val="24"/>
        </w:rPr>
        <w:t>s</w:t>
      </w:r>
      <w:r w:rsidR="00007153" w:rsidRPr="003334A6">
        <w:rPr>
          <w:rFonts w:cs="Arial"/>
          <w:b/>
          <w:bCs/>
          <w:sz w:val="24"/>
          <w:szCs w:val="24"/>
        </w:rPr>
        <w:t xml:space="preserve"> with disability</w:t>
      </w:r>
      <w:r w:rsidR="008B287F" w:rsidRPr="003334A6">
        <w:rPr>
          <w:rFonts w:cs="Arial"/>
          <w:b/>
          <w:bCs/>
          <w:sz w:val="24"/>
          <w:szCs w:val="24"/>
        </w:rPr>
        <w:t>.</w:t>
      </w:r>
    </w:p>
    <w:p w14:paraId="78A71FA9" w14:textId="77777777" w:rsidR="00697CEA" w:rsidRPr="0022431D" w:rsidRDefault="00697CEA" w:rsidP="00100676">
      <w:pPr>
        <w:pStyle w:val="EndnoteText"/>
        <w:spacing w:line="259" w:lineRule="auto"/>
        <w:rPr>
          <w:rFonts w:cs="Arial"/>
          <w:sz w:val="24"/>
          <w:szCs w:val="24"/>
        </w:rPr>
      </w:pPr>
    </w:p>
    <w:p w14:paraId="3E769EB1" w14:textId="74D4F1B7" w:rsidR="00FF54AE" w:rsidRPr="0022431D" w:rsidRDefault="00234B97" w:rsidP="00100676">
      <w:pPr>
        <w:pStyle w:val="NoSpacing"/>
        <w:spacing w:line="259" w:lineRule="auto"/>
        <w:rPr>
          <w:sz w:val="24"/>
          <w:szCs w:val="24"/>
        </w:rPr>
      </w:pPr>
      <w:r w:rsidRPr="0022431D">
        <w:rPr>
          <w:sz w:val="24"/>
          <w:szCs w:val="24"/>
        </w:rPr>
        <w:t xml:space="preserve">Many of the drivers of low labour force participation rates of people with disability start at school. People with disability are significantly less likely than their peers to </w:t>
      </w:r>
      <w:r w:rsidRPr="0022431D">
        <w:rPr>
          <w:sz w:val="24"/>
          <w:szCs w:val="24"/>
        </w:rPr>
        <w:lastRenderedPageBreak/>
        <w:t>complete Year 12</w:t>
      </w:r>
      <w:r w:rsidR="00DB2A52">
        <w:rPr>
          <w:sz w:val="24"/>
          <w:szCs w:val="24"/>
        </w:rPr>
        <w:t xml:space="preserve"> and </w:t>
      </w:r>
      <w:r w:rsidRPr="0022431D">
        <w:rPr>
          <w:sz w:val="24"/>
          <w:szCs w:val="24"/>
        </w:rPr>
        <w:t>less likely to participate in work experience</w:t>
      </w:r>
      <w:r w:rsidR="00DB2A52">
        <w:rPr>
          <w:sz w:val="24"/>
          <w:szCs w:val="24"/>
        </w:rPr>
        <w:t>. They are more likely to</w:t>
      </w:r>
      <w:r w:rsidRPr="0022431D">
        <w:rPr>
          <w:sz w:val="24"/>
          <w:szCs w:val="24"/>
        </w:rPr>
        <w:t xml:space="preserve"> face exclusion from the labour market, obtain fewer educational qualifications, are more likely to experience poverty and be socially isolated (</w:t>
      </w:r>
      <w:proofErr w:type="spellStart"/>
      <w:r w:rsidRPr="0022431D">
        <w:rPr>
          <w:sz w:val="24"/>
          <w:szCs w:val="24"/>
        </w:rPr>
        <w:t>Athanasou</w:t>
      </w:r>
      <w:proofErr w:type="spellEnd"/>
      <w:r w:rsidRPr="0022431D">
        <w:rPr>
          <w:sz w:val="24"/>
          <w:szCs w:val="24"/>
        </w:rPr>
        <w:t xml:space="preserve"> et al. 2019, SVA 2020). </w:t>
      </w:r>
    </w:p>
    <w:p w14:paraId="67B2AF5C" w14:textId="7C2AEFE8" w:rsidR="00FF54AE" w:rsidRPr="0022431D" w:rsidRDefault="00FF54AE" w:rsidP="00100676">
      <w:pPr>
        <w:pStyle w:val="NoSpacing"/>
        <w:spacing w:line="259" w:lineRule="auto"/>
      </w:pPr>
      <w:r w:rsidRPr="0022431D">
        <w:rPr>
          <w:sz w:val="24"/>
          <w:szCs w:val="24"/>
        </w:rPr>
        <w:t>Problems with a smooth transition from school to the labour market f</w:t>
      </w:r>
      <w:r w:rsidR="006534A7">
        <w:rPr>
          <w:sz w:val="24"/>
          <w:szCs w:val="24"/>
        </w:rPr>
        <w:t>or</w:t>
      </w:r>
      <w:r w:rsidRPr="0022431D">
        <w:rPr>
          <w:sz w:val="24"/>
          <w:szCs w:val="24"/>
        </w:rPr>
        <w:t xml:space="preserve"> young people with disabilities are widely recognised</w:t>
      </w:r>
      <w:r w:rsidR="006534A7">
        <w:rPr>
          <w:sz w:val="24"/>
          <w:szCs w:val="24"/>
        </w:rPr>
        <w:t>:</w:t>
      </w:r>
      <w:r w:rsidRPr="0022431D">
        <w:rPr>
          <w:sz w:val="24"/>
          <w:szCs w:val="24"/>
        </w:rPr>
        <w:t xml:space="preserve"> unemployment rates are high (e.g. </w:t>
      </w:r>
      <w:proofErr w:type="spellStart"/>
      <w:r w:rsidRPr="0022431D">
        <w:rPr>
          <w:sz w:val="24"/>
          <w:szCs w:val="24"/>
        </w:rPr>
        <w:t>Siperstein</w:t>
      </w:r>
      <w:proofErr w:type="spellEnd"/>
      <w:r w:rsidRPr="0022431D">
        <w:rPr>
          <w:sz w:val="24"/>
          <w:szCs w:val="24"/>
        </w:rPr>
        <w:t xml:space="preserve"> et al., 2013; Eurostat, 2014) and a significant majority are excluded from the labour market (e.g. Arvidsson et al., 2016; </w:t>
      </w:r>
      <w:proofErr w:type="spellStart"/>
      <w:r w:rsidRPr="0022431D">
        <w:rPr>
          <w:sz w:val="24"/>
          <w:szCs w:val="24"/>
        </w:rPr>
        <w:t>Tideman</w:t>
      </w:r>
      <w:proofErr w:type="spellEnd"/>
      <w:r w:rsidRPr="0022431D">
        <w:rPr>
          <w:sz w:val="24"/>
          <w:szCs w:val="24"/>
        </w:rPr>
        <w:t xml:space="preserve"> et al., 2017). From an Australian perspective, transition to employment support systems </w:t>
      </w:r>
      <w:proofErr w:type="gramStart"/>
      <w:r w:rsidRPr="0022431D">
        <w:rPr>
          <w:sz w:val="24"/>
          <w:szCs w:val="24"/>
        </w:rPr>
        <w:t>are</w:t>
      </w:r>
      <w:proofErr w:type="gramEnd"/>
      <w:r w:rsidRPr="0022431D">
        <w:rPr>
          <w:sz w:val="24"/>
          <w:szCs w:val="24"/>
        </w:rPr>
        <w:t xml:space="preserve"> failing young people with disability, resulting in reduced opportunity for social and economic participation and the marginalisation of this group</w:t>
      </w:r>
      <w:r w:rsidR="003334A6">
        <w:rPr>
          <w:sz w:val="24"/>
          <w:szCs w:val="24"/>
        </w:rPr>
        <w:t xml:space="preserve"> </w:t>
      </w:r>
      <w:r w:rsidR="00D30EFC">
        <w:rPr>
          <w:sz w:val="24"/>
          <w:szCs w:val="24"/>
        </w:rPr>
        <w:t xml:space="preserve">(Beyer, S &amp; Beyer, A (2017), Thiele, R, </w:t>
      </w:r>
      <w:proofErr w:type="spellStart"/>
      <w:r w:rsidR="00D30EFC">
        <w:rPr>
          <w:sz w:val="24"/>
          <w:szCs w:val="24"/>
        </w:rPr>
        <w:t>Bigby</w:t>
      </w:r>
      <w:proofErr w:type="spellEnd"/>
      <w:r w:rsidR="00D30EFC">
        <w:rPr>
          <w:sz w:val="24"/>
          <w:szCs w:val="24"/>
        </w:rPr>
        <w:t xml:space="preserve">, C, </w:t>
      </w:r>
      <w:proofErr w:type="spellStart"/>
      <w:r w:rsidR="00D30EFC">
        <w:rPr>
          <w:sz w:val="24"/>
          <w:szCs w:val="24"/>
        </w:rPr>
        <w:t>Tideman</w:t>
      </w:r>
      <w:proofErr w:type="spellEnd"/>
      <w:r w:rsidR="00D30EFC">
        <w:rPr>
          <w:sz w:val="24"/>
          <w:szCs w:val="24"/>
        </w:rPr>
        <w:t>, M (2018)</w:t>
      </w:r>
      <w:r w:rsidR="006534A7">
        <w:rPr>
          <w:sz w:val="24"/>
          <w:szCs w:val="24"/>
        </w:rPr>
        <w:t>.</w:t>
      </w:r>
    </w:p>
    <w:p w14:paraId="4CFE4C11" w14:textId="2C7DFA73" w:rsidR="00FF54AE" w:rsidRPr="0022431D" w:rsidRDefault="006534A7" w:rsidP="00100676">
      <w:pPr>
        <w:pStyle w:val="EndnoteText"/>
        <w:spacing w:line="259" w:lineRule="auto"/>
        <w:rPr>
          <w:rFonts w:cs="Arial"/>
          <w:sz w:val="24"/>
          <w:szCs w:val="24"/>
        </w:rPr>
      </w:pPr>
      <w:r>
        <w:rPr>
          <w:rFonts w:cs="Arial"/>
          <w:sz w:val="24"/>
          <w:szCs w:val="24"/>
        </w:rPr>
        <w:t>Unless students with disability receive a</w:t>
      </w:r>
      <w:r w:rsidR="00FF54AE" w:rsidRPr="0022431D">
        <w:rPr>
          <w:rFonts w:cs="Arial"/>
          <w:sz w:val="24"/>
          <w:szCs w:val="24"/>
        </w:rPr>
        <w:t xml:space="preserve"> </w:t>
      </w:r>
      <w:proofErr w:type="gramStart"/>
      <w:r w:rsidR="00FF54AE" w:rsidRPr="0022431D">
        <w:rPr>
          <w:rFonts w:cs="Arial"/>
          <w:sz w:val="24"/>
          <w:szCs w:val="24"/>
        </w:rPr>
        <w:t>high quality</w:t>
      </w:r>
      <w:proofErr w:type="gramEnd"/>
      <w:r w:rsidR="00FF54AE" w:rsidRPr="0022431D">
        <w:rPr>
          <w:rFonts w:cs="Arial"/>
          <w:sz w:val="24"/>
          <w:szCs w:val="24"/>
        </w:rPr>
        <w:t xml:space="preserve"> senior school education experience, </w:t>
      </w:r>
      <w:r>
        <w:rPr>
          <w:rFonts w:cs="Arial"/>
          <w:sz w:val="24"/>
          <w:szCs w:val="24"/>
        </w:rPr>
        <w:t xml:space="preserve">they </w:t>
      </w:r>
      <w:r w:rsidR="00FF54AE" w:rsidRPr="0022431D">
        <w:rPr>
          <w:rFonts w:cs="Arial"/>
          <w:sz w:val="24"/>
          <w:szCs w:val="24"/>
        </w:rPr>
        <w:t>are unlikely to successfully transition f</w:t>
      </w:r>
      <w:r w:rsidR="00365800">
        <w:rPr>
          <w:rFonts w:cs="Arial"/>
          <w:sz w:val="24"/>
          <w:szCs w:val="24"/>
        </w:rPr>
        <w:t>rom</w:t>
      </w:r>
      <w:r w:rsidR="00FF54AE" w:rsidRPr="0022431D">
        <w:rPr>
          <w:rFonts w:cs="Arial"/>
          <w:sz w:val="24"/>
          <w:szCs w:val="24"/>
        </w:rPr>
        <w:t xml:space="preserve"> school to work,</w:t>
      </w:r>
      <w:r>
        <w:rPr>
          <w:rFonts w:cs="Arial"/>
          <w:sz w:val="24"/>
          <w:szCs w:val="24"/>
        </w:rPr>
        <w:t xml:space="preserve"> with their consequent </w:t>
      </w:r>
      <w:r w:rsidR="00FF54AE" w:rsidRPr="0022431D">
        <w:rPr>
          <w:rFonts w:cs="Arial"/>
          <w:sz w:val="24"/>
          <w:szCs w:val="24"/>
        </w:rPr>
        <w:t>excl</w:t>
      </w:r>
      <w:r>
        <w:rPr>
          <w:rFonts w:cs="Arial"/>
          <w:sz w:val="24"/>
          <w:szCs w:val="24"/>
        </w:rPr>
        <w:t>usion</w:t>
      </w:r>
      <w:r w:rsidR="00FF54AE" w:rsidRPr="0022431D">
        <w:rPr>
          <w:rFonts w:cs="Arial"/>
          <w:sz w:val="24"/>
          <w:szCs w:val="24"/>
        </w:rPr>
        <w:t xml:space="preserve"> from social and economic participation. </w:t>
      </w:r>
      <w:r>
        <w:rPr>
          <w:rFonts w:cs="Arial"/>
          <w:sz w:val="24"/>
          <w:szCs w:val="24"/>
        </w:rPr>
        <w:t>T</w:t>
      </w:r>
      <w:r w:rsidR="00FF54AE" w:rsidRPr="0022431D">
        <w:rPr>
          <w:rFonts w:cs="Arial"/>
          <w:sz w:val="24"/>
          <w:szCs w:val="24"/>
        </w:rPr>
        <w:t xml:space="preserve">he Firth </w:t>
      </w:r>
      <w:r>
        <w:rPr>
          <w:rFonts w:cs="Arial"/>
          <w:sz w:val="24"/>
          <w:szCs w:val="24"/>
        </w:rPr>
        <w:t>R</w:t>
      </w:r>
      <w:r w:rsidR="00FF54AE" w:rsidRPr="0022431D">
        <w:rPr>
          <w:rFonts w:cs="Arial"/>
          <w:sz w:val="24"/>
          <w:szCs w:val="24"/>
        </w:rPr>
        <w:t>eview</w:t>
      </w:r>
      <w:r>
        <w:rPr>
          <w:rFonts w:cs="Arial"/>
          <w:sz w:val="24"/>
          <w:szCs w:val="24"/>
        </w:rPr>
        <w:t xml:space="preserve"> reforms </w:t>
      </w:r>
      <w:r w:rsidR="00FF54AE" w:rsidRPr="0022431D">
        <w:rPr>
          <w:rFonts w:cs="Arial"/>
          <w:sz w:val="24"/>
          <w:szCs w:val="24"/>
        </w:rPr>
        <w:t xml:space="preserve">reduce </w:t>
      </w:r>
      <w:r>
        <w:rPr>
          <w:rFonts w:cs="Arial"/>
          <w:sz w:val="24"/>
          <w:szCs w:val="24"/>
        </w:rPr>
        <w:t xml:space="preserve">access </w:t>
      </w:r>
      <w:r w:rsidR="00FF54AE" w:rsidRPr="0022431D">
        <w:rPr>
          <w:rFonts w:cs="Arial"/>
          <w:sz w:val="24"/>
          <w:szCs w:val="24"/>
        </w:rPr>
        <w:t>to quality inclusive education</w:t>
      </w:r>
      <w:r>
        <w:rPr>
          <w:rFonts w:cs="Arial"/>
          <w:sz w:val="24"/>
          <w:szCs w:val="24"/>
        </w:rPr>
        <w:t xml:space="preserve"> for </w:t>
      </w:r>
      <w:r w:rsidRPr="0022431D">
        <w:rPr>
          <w:rFonts w:cs="Arial"/>
          <w:sz w:val="24"/>
          <w:szCs w:val="24"/>
        </w:rPr>
        <w:t>students with disability</w:t>
      </w:r>
      <w:r>
        <w:rPr>
          <w:rFonts w:cs="Arial"/>
          <w:sz w:val="24"/>
          <w:szCs w:val="24"/>
        </w:rPr>
        <w:t>. In doing so, the proposals</w:t>
      </w:r>
      <w:r w:rsidR="00FF54AE" w:rsidRPr="0022431D">
        <w:rPr>
          <w:rFonts w:cs="Arial"/>
          <w:sz w:val="24"/>
          <w:szCs w:val="24"/>
        </w:rPr>
        <w:t xml:space="preserve"> ignore </w:t>
      </w:r>
      <w:r>
        <w:rPr>
          <w:rFonts w:cs="Arial"/>
          <w:sz w:val="24"/>
          <w:szCs w:val="24"/>
        </w:rPr>
        <w:t>the substantial body of</w:t>
      </w:r>
      <w:r w:rsidRPr="0022431D">
        <w:rPr>
          <w:rFonts w:cs="Arial"/>
          <w:sz w:val="24"/>
          <w:szCs w:val="24"/>
        </w:rPr>
        <w:t xml:space="preserve"> </w:t>
      </w:r>
      <w:r w:rsidR="00FF54AE" w:rsidRPr="0022431D">
        <w:rPr>
          <w:rFonts w:cs="Arial"/>
          <w:sz w:val="24"/>
          <w:szCs w:val="24"/>
        </w:rPr>
        <w:t>international and local evidence on what works for students with disability in their senior secondary years.</w:t>
      </w:r>
    </w:p>
    <w:p w14:paraId="52B8F461" w14:textId="77777777" w:rsidR="00FF54AE" w:rsidRDefault="00FF54AE" w:rsidP="00100676">
      <w:pPr>
        <w:pStyle w:val="EndnoteText"/>
        <w:spacing w:line="259" w:lineRule="auto"/>
        <w:rPr>
          <w:rFonts w:cs="Arial"/>
          <w:sz w:val="24"/>
          <w:szCs w:val="24"/>
        </w:rPr>
      </w:pPr>
    </w:p>
    <w:p w14:paraId="1C83FCAA" w14:textId="4F672F93" w:rsidR="00331CFD" w:rsidRDefault="00331CFD" w:rsidP="00100676">
      <w:pPr>
        <w:pStyle w:val="EndnoteText"/>
        <w:spacing w:line="259" w:lineRule="auto"/>
        <w:rPr>
          <w:rFonts w:cs="Arial"/>
          <w:sz w:val="24"/>
          <w:szCs w:val="24"/>
        </w:rPr>
      </w:pPr>
      <w:r w:rsidRPr="0022431D">
        <w:rPr>
          <w:sz w:val="24"/>
          <w:szCs w:val="24"/>
        </w:rPr>
        <w:t>Schools have the central role in preparing their students for adult life as contributing citizens (Lindqvist, 2012). The importance of preparation during school for a successful transition from education to the labour market for young people with intellectual disability cannot be overstated</w:t>
      </w:r>
      <w:r w:rsidR="00D30EFC">
        <w:rPr>
          <w:sz w:val="24"/>
          <w:szCs w:val="24"/>
        </w:rPr>
        <w:t xml:space="preserve"> (Thiele, R., </w:t>
      </w:r>
      <w:proofErr w:type="spellStart"/>
      <w:r w:rsidR="00D30EFC">
        <w:rPr>
          <w:sz w:val="24"/>
          <w:szCs w:val="24"/>
        </w:rPr>
        <w:t>Biby</w:t>
      </w:r>
      <w:proofErr w:type="spellEnd"/>
      <w:r w:rsidR="00D30EFC">
        <w:rPr>
          <w:sz w:val="24"/>
          <w:szCs w:val="24"/>
        </w:rPr>
        <w:t xml:space="preserve">, C., </w:t>
      </w:r>
      <w:proofErr w:type="spellStart"/>
      <w:r w:rsidR="00D30EFC">
        <w:rPr>
          <w:sz w:val="24"/>
          <w:szCs w:val="24"/>
        </w:rPr>
        <w:t>Tideman</w:t>
      </w:r>
      <w:proofErr w:type="spellEnd"/>
      <w:r w:rsidR="00D30EFC">
        <w:rPr>
          <w:sz w:val="24"/>
          <w:szCs w:val="24"/>
        </w:rPr>
        <w:t>, M (2018)</w:t>
      </w:r>
      <w:r w:rsidR="003334A6">
        <w:rPr>
          <w:sz w:val="24"/>
          <w:szCs w:val="24"/>
        </w:rPr>
        <w:t>.</w:t>
      </w:r>
    </w:p>
    <w:p w14:paraId="0E80CDEB" w14:textId="77777777" w:rsidR="00331CFD" w:rsidRPr="0022431D" w:rsidRDefault="00331CFD" w:rsidP="00100676">
      <w:pPr>
        <w:pStyle w:val="EndnoteText"/>
        <w:spacing w:line="259" w:lineRule="auto"/>
        <w:rPr>
          <w:rFonts w:cs="Arial"/>
          <w:sz w:val="24"/>
          <w:szCs w:val="24"/>
        </w:rPr>
      </w:pPr>
    </w:p>
    <w:p w14:paraId="7E6860C5" w14:textId="24B68DA5" w:rsidR="00FF54AE" w:rsidRPr="0022431D" w:rsidRDefault="00FF54AE" w:rsidP="00100676">
      <w:pPr>
        <w:pStyle w:val="EndnoteText"/>
        <w:spacing w:line="259" w:lineRule="auto"/>
        <w:rPr>
          <w:rFonts w:cs="Arial"/>
          <w:sz w:val="24"/>
          <w:szCs w:val="24"/>
        </w:rPr>
      </w:pPr>
      <w:r w:rsidRPr="0022431D">
        <w:rPr>
          <w:rFonts w:cs="Arial"/>
          <w:sz w:val="24"/>
          <w:szCs w:val="24"/>
        </w:rPr>
        <w:t>The Victorian Equal Opportunity and Human Rights Commission found that poor education is one of the key reasons why the economic and social participation rate of people with disabilities is so low</w:t>
      </w:r>
      <w:r w:rsidR="003334A6">
        <w:rPr>
          <w:rFonts w:cs="Arial"/>
          <w:sz w:val="24"/>
          <w:szCs w:val="24"/>
        </w:rPr>
        <w:t xml:space="preserve"> </w:t>
      </w:r>
      <w:r w:rsidR="00D30EFC">
        <w:rPr>
          <w:rFonts w:cs="Arial"/>
          <w:sz w:val="24"/>
          <w:szCs w:val="24"/>
        </w:rPr>
        <w:t>(Victorian equal opportunity and human rights commission (2012).</w:t>
      </w:r>
    </w:p>
    <w:p w14:paraId="055572CF" w14:textId="77777777" w:rsidR="008B287F" w:rsidRDefault="008B287F" w:rsidP="00100676">
      <w:pPr>
        <w:pStyle w:val="EndnoteText"/>
        <w:spacing w:line="259" w:lineRule="auto"/>
        <w:rPr>
          <w:rFonts w:cs="Arial"/>
          <w:sz w:val="24"/>
          <w:szCs w:val="24"/>
        </w:rPr>
      </w:pPr>
    </w:p>
    <w:p w14:paraId="3A2231D0" w14:textId="5ECE968F" w:rsidR="008B287F" w:rsidRPr="0022431D" w:rsidRDefault="008B287F" w:rsidP="00100676">
      <w:pPr>
        <w:pStyle w:val="EndnoteText"/>
        <w:spacing w:line="259" w:lineRule="auto"/>
        <w:rPr>
          <w:rFonts w:cs="Arial"/>
          <w:sz w:val="24"/>
          <w:szCs w:val="24"/>
        </w:rPr>
      </w:pPr>
      <w:r w:rsidRPr="0022431D">
        <w:rPr>
          <w:rFonts w:cs="Arial"/>
          <w:sz w:val="24"/>
          <w:szCs w:val="24"/>
        </w:rPr>
        <w:t>Victoria does poorly in support</w:t>
      </w:r>
      <w:r w:rsidR="006534A7">
        <w:rPr>
          <w:rFonts w:cs="Arial"/>
          <w:sz w:val="24"/>
          <w:szCs w:val="24"/>
        </w:rPr>
        <w:t>ing</w:t>
      </w:r>
      <w:r w:rsidRPr="0022431D">
        <w:rPr>
          <w:rFonts w:cs="Arial"/>
          <w:sz w:val="24"/>
          <w:szCs w:val="24"/>
        </w:rPr>
        <w:t xml:space="preserve"> school to work transition for students with disability (NDIS participants)</w:t>
      </w:r>
      <w:r w:rsidR="00365800">
        <w:rPr>
          <w:rFonts w:cs="Arial"/>
          <w:sz w:val="24"/>
          <w:szCs w:val="24"/>
        </w:rPr>
        <w:t>,</w:t>
      </w:r>
      <w:r w:rsidRPr="0022431D">
        <w:rPr>
          <w:rFonts w:cs="Arial"/>
          <w:sz w:val="24"/>
          <w:szCs w:val="24"/>
        </w:rPr>
        <w:t xml:space="preserve"> compared to other states and territories</w:t>
      </w:r>
      <w:r w:rsidR="00365800">
        <w:rPr>
          <w:rFonts w:cs="Arial"/>
          <w:sz w:val="24"/>
          <w:szCs w:val="24"/>
        </w:rPr>
        <w:t>.</w:t>
      </w:r>
      <w:r w:rsidRPr="0022431D">
        <w:rPr>
          <w:rFonts w:cs="Arial"/>
          <w:sz w:val="24"/>
          <w:szCs w:val="24"/>
        </w:rPr>
        <w:t xml:space="preserve"> </w:t>
      </w:r>
      <w:r w:rsidR="00365800">
        <w:rPr>
          <w:rFonts w:cs="Arial"/>
          <w:sz w:val="24"/>
          <w:szCs w:val="24"/>
        </w:rPr>
        <w:t>T</w:t>
      </w:r>
      <w:r w:rsidRPr="0022431D">
        <w:rPr>
          <w:rFonts w:cs="Arial"/>
          <w:sz w:val="24"/>
          <w:szCs w:val="24"/>
        </w:rPr>
        <w:t>he proposed recommendations will further cement the disadvantage of Victorian students with disability.</w:t>
      </w:r>
    </w:p>
    <w:p w14:paraId="4CDDBE65" w14:textId="77777777" w:rsidR="008B287F" w:rsidRPr="0022431D" w:rsidRDefault="008B287F" w:rsidP="00100676">
      <w:pPr>
        <w:pStyle w:val="EndnoteText"/>
        <w:spacing w:line="259" w:lineRule="auto"/>
        <w:rPr>
          <w:rFonts w:cs="Arial"/>
          <w:sz w:val="24"/>
          <w:szCs w:val="24"/>
        </w:rPr>
      </w:pPr>
    </w:p>
    <w:p w14:paraId="321622F2" w14:textId="4C4DAA7F" w:rsidR="005B4CBD" w:rsidRDefault="00A87FD5" w:rsidP="005B4CBD">
      <w:pPr>
        <w:pStyle w:val="NoSpacing"/>
        <w:spacing w:after="0" w:line="259" w:lineRule="auto"/>
        <w:rPr>
          <w:sz w:val="24"/>
          <w:szCs w:val="24"/>
        </w:rPr>
      </w:pPr>
      <w:r w:rsidRPr="00D31DF1">
        <w:rPr>
          <w:sz w:val="24"/>
          <w:szCs w:val="24"/>
        </w:rPr>
        <w:t xml:space="preserve">The </w:t>
      </w:r>
      <w:proofErr w:type="spellStart"/>
      <w:r w:rsidR="00D8561C" w:rsidRPr="007033A9">
        <w:rPr>
          <w:sz w:val="24"/>
          <w:szCs w:val="24"/>
        </w:rPr>
        <w:t>Shergold</w:t>
      </w:r>
      <w:proofErr w:type="spellEnd"/>
      <w:r w:rsidRPr="00D31DF1">
        <w:rPr>
          <w:sz w:val="24"/>
          <w:szCs w:val="24"/>
        </w:rPr>
        <w:t xml:space="preserve"> </w:t>
      </w:r>
      <w:r w:rsidR="006534A7" w:rsidRPr="00D31DF1">
        <w:rPr>
          <w:sz w:val="24"/>
          <w:szCs w:val="24"/>
        </w:rPr>
        <w:t>R</w:t>
      </w:r>
      <w:r w:rsidRPr="00D31DF1">
        <w:rPr>
          <w:sz w:val="24"/>
          <w:szCs w:val="24"/>
        </w:rPr>
        <w:t xml:space="preserve">eview (2020) identified </w:t>
      </w:r>
      <w:r w:rsidR="00331CFD" w:rsidRPr="00D31DF1">
        <w:rPr>
          <w:sz w:val="24"/>
          <w:szCs w:val="24"/>
        </w:rPr>
        <w:t>s</w:t>
      </w:r>
      <w:r w:rsidRPr="00D31DF1">
        <w:rPr>
          <w:sz w:val="24"/>
          <w:szCs w:val="24"/>
        </w:rPr>
        <w:t>ystemic and structural factors can inhibit the participation of young people with disability in senior secondary schooling. The</w:t>
      </w:r>
      <w:r w:rsidRPr="0022431D">
        <w:rPr>
          <w:sz w:val="24"/>
          <w:szCs w:val="24"/>
        </w:rPr>
        <w:t xml:space="preserve"> review stated that ‘interventions to support senior secondary students with disability are essential not only at schoo</w:t>
      </w:r>
      <w:r w:rsidR="00FF54AE" w:rsidRPr="0022431D">
        <w:rPr>
          <w:sz w:val="24"/>
          <w:szCs w:val="24"/>
        </w:rPr>
        <w:t>l, but beyond the classroom</w:t>
      </w:r>
      <w:r w:rsidR="004F35CB">
        <w:rPr>
          <w:sz w:val="24"/>
          <w:szCs w:val="24"/>
        </w:rPr>
        <w:t>’</w:t>
      </w:r>
      <w:r w:rsidR="003334A6">
        <w:rPr>
          <w:sz w:val="24"/>
          <w:szCs w:val="24"/>
        </w:rPr>
        <w:t xml:space="preserve"> (</w:t>
      </w:r>
      <w:r w:rsidR="00D30EFC">
        <w:rPr>
          <w:sz w:val="24"/>
          <w:szCs w:val="24"/>
        </w:rPr>
        <w:t>Panel for education council review of senior secondary pathways into work, further education and training 2020</w:t>
      </w:r>
      <w:r w:rsidR="00C80417">
        <w:rPr>
          <w:sz w:val="24"/>
          <w:szCs w:val="24"/>
        </w:rPr>
        <w:t>).</w:t>
      </w:r>
    </w:p>
    <w:p w14:paraId="04B5C4DB" w14:textId="49D13B27" w:rsidR="005B4CBD" w:rsidRPr="005B4CBD" w:rsidRDefault="005B4CBD" w:rsidP="005B4CBD">
      <w:pPr>
        <w:spacing w:after="160" w:line="259" w:lineRule="auto"/>
        <w:rPr>
          <w:rFonts w:cs="Arial"/>
          <w:sz w:val="24"/>
          <w:szCs w:val="24"/>
        </w:rPr>
      </w:pPr>
      <w:r>
        <w:rPr>
          <w:sz w:val="24"/>
          <w:szCs w:val="24"/>
        </w:rPr>
        <w:br w:type="page"/>
      </w:r>
    </w:p>
    <w:p w14:paraId="5FB9A615" w14:textId="7AD71970" w:rsidR="005D7D25" w:rsidRPr="00DD2003" w:rsidRDefault="00785CDA" w:rsidP="00EC5313">
      <w:pPr>
        <w:pStyle w:val="NoSpacing"/>
        <w:spacing w:line="259" w:lineRule="auto"/>
        <w:rPr>
          <w:sz w:val="32"/>
          <w:szCs w:val="32"/>
        </w:rPr>
      </w:pPr>
      <w:r w:rsidRPr="00DD2003">
        <w:rPr>
          <w:sz w:val="32"/>
          <w:szCs w:val="32"/>
        </w:rPr>
        <w:lastRenderedPageBreak/>
        <w:t xml:space="preserve">It is important that any changes to senior school </w:t>
      </w:r>
      <w:r w:rsidR="00903D04" w:rsidRPr="00DD2003">
        <w:rPr>
          <w:sz w:val="32"/>
          <w:szCs w:val="32"/>
        </w:rPr>
        <w:t xml:space="preserve">in Victoria </w:t>
      </w:r>
      <w:r w:rsidRPr="00DD2003">
        <w:rPr>
          <w:sz w:val="32"/>
          <w:szCs w:val="32"/>
        </w:rPr>
        <w:t>are eviden</w:t>
      </w:r>
      <w:r w:rsidR="00903D04" w:rsidRPr="00DD2003">
        <w:rPr>
          <w:sz w:val="32"/>
          <w:szCs w:val="32"/>
        </w:rPr>
        <w:t>ced based,</w:t>
      </w:r>
      <w:r w:rsidRPr="00DD2003">
        <w:rPr>
          <w:sz w:val="32"/>
          <w:szCs w:val="32"/>
        </w:rPr>
        <w:t xml:space="preserve"> in line </w:t>
      </w:r>
      <w:r w:rsidR="009B2349" w:rsidRPr="00DD2003">
        <w:rPr>
          <w:sz w:val="32"/>
          <w:szCs w:val="32"/>
        </w:rPr>
        <w:t>with our international</w:t>
      </w:r>
      <w:r w:rsidR="00903D04" w:rsidRPr="00DD2003">
        <w:rPr>
          <w:sz w:val="32"/>
          <w:szCs w:val="32"/>
        </w:rPr>
        <w:t xml:space="preserve"> agreements</w:t>
      </w:r>
      <w:r w:rsidR="00FF54AE" w:rsidRPr="00DD2003">
        <w:rPr>
          <w:sz w:val="32"/>
          <w:szCs w:val="32"/>
        </w:rPr>
        <w:t xml:space="preserve"> </w:t>
      </w:r>
      <w:r w:rsidR="009B2349" w:rsidRPr="00DD2003">
        <w:rPr>
          <w:sz w:val="32"/>
          <w:szCs w:val="32"/>
        </w:rPr>
        <w:t xml:space="preserve">and do not </w:t>
      </w:r>
      <w:r w:rsidR="00903D04" w:rsidRPr="00DD2003">
        <w:rPr>
          <w:sz w:val="32"/>
          <w:szCs w:val="32"/>
        </w:rPr>
        <w:t xml:space="preserve">further </w:t>
      </w:r>
      <w:r w:rsidR="00331CFD" w:rsidRPr="00DD2003">
        <w:rPr>
          <w:sz w:val="32"/>
          <w:szCs w:val="32"/>
        </w:rPr>
        <w:t xml:space="preserve">restrict the life chances of </w:t>
      </w:r>
      <w:r w:rsidR="009B2349" w:rsidRPr="00DD2003">
        <w:rPr>
          <w:sz w:val="32"/>
          <w:szCs w:val="32"/>
        </w:rPr>
        <w:t>young people with disability</w:t>
      </w:r>
      <w:r w:rsidR="00331CFD" w:rsidRPr="00DD2003">
        <w:rPr>
          <w:sz w:val="32"/>
          <w:szCs w:val="32"/>
        </w:rPr>
        <w:t>.</w:t>
      </w:r>
      <w:r w:rsidR="009B2349" w:rsidRPr="00DD2003">
        <w:rPr>
          <w:sz w:val="32"/>
          <w:szCs w:val="32"/>
        </w:rPr>
        <w:t xml:space="preserve"> </w:t>
      </w:r>
      <w:r w:rsidRPr="00DD2003">
        <w:rPr>
          <w:sz w:val="32"/>
          <w:szCs w:val="32"/>
        </w:rPr>
        <w:t xml:space="preserve"> </w:t>
      </w:r>
      <w:r w:rsidR="00331CFD" w:rsidRPr="00DD2003">
        <w:rPr>
          <w:sz w:val="32"/>
          <w:szCs w:val="32"/>
        </w:rPr>
        <w:t xml:space="preserve">Denying </w:t>
      </w:r>
      <w:r w:rsidR="00FF54AE" w:rsidRPr="00DD2003">
        <w:rPr>
          <w:sz w:val="32"/>
          <w:szCs w:val="32"/>
        </w:rPr>
        <w:t>students</w:t>
      </w:r>
      <w:r w:rsidR="00903D04" w:rsidRPr="00DD2003">
        <w:rPr>
          <w:sz w:val="32"/>
          <w:szCs w:val="32"/>
        </w:rPr>
        <w:t xml:space="preserve"> with disability</w:t>
      </w:r>
      <w:r w:rsidR="00331CFD" w:rsidRPr="00DD2003">
        <w:rPr>
          <w:sz w:val="32"/>
          <w:szCs w:val="32"/>
        </w:rPr>
        <w:t xml:space="preserve"> their right to genuine educational opportunity</w:t>
      </w:r>
      <w:r w:rsidR="00EC5313" w:rsidRPr="00DD2003">
        <w:rPr>
          <w:sz w:val="32"/>
          <w:szCs w:val="32"/>
        </w:rPr>
        <w:t>.</w:t>
      </w:r>
    </w:p>
    <w:p w14:paraId="70254E11" w14:textId="77777777" w:rsidR="008973DE" w:rsidRPr="0022431D" w:rsidRDefault="008973DE" w:rsidP="00100676">
      <w:pPr>
        <w:pStyle w:val="EndnoteText"/>
        <w:spacing w:line="259" w:lineRule="auto"/>
        <w:rPr>
          <w:rFonts w:cs="Arial"/>
          <w:sz w:val="24"/>
          <w:szCs w:val="24"/>
        </w:rPr>
      </w:pPr>
    </w:p>
    <w:p w14:paraId="6230C53B" w14:textId="44D22A90" w:rsidR="008973DE" w:rsidRPr="0022431D" w:rsidRDefault="00F177B5" w:rsidP="00100676">
      <w:pPr>
        <w:pStyle w:val="EndnoteText"/>
        <w:spacing w:line="259" w:lineRule="auto"/>
        <w:rPr>
          <w:rFonts w:cs="Arial"/>
          <w:sz w:val="24"/>
          <w:szCs w:val="24"/>
        </w:rPr>
      </w:pPr>
      <w:r w:rsidRPr="0022431D">
        <w:rPr>
          <w:rFonts w:cs="Arial"/>
          <w:sz w:val="24"/>
          <w:szCs w:val="24"/>
        </w:rPr>
        <w:t>Children</w:t>
      </w:r>
      <w:r w:rsidR="00331CFD">
        <w:rPr>
          <w:rFonts w:cs="Arial"/>
          <w:sz w:val="24"/>
          <w:szCs w:val="24"/>
        </w:rPr>
        <w:t xml:space="preserve"> and </w:t>
      </w:r>
      <w:r w:rsidRPr="0022431D">
        <w:rPr>
          <w:rFonts w:cs="Arial"/>
          <w:sz w:val="24"/>
          <w:szCs w:val="24"/>
        </w:rPr>
        <w:t xml:space="preserve">Young </w:t>
      </w:r>
      <w:r w:rsidR="00331CFD">
        <w:rPr>
          <w:rFonts w:cs="Arial"/>
          <w:sz w:val="24"/>
          <w:szCs w:val="24"/>
        </w:rPr>
        <w:t>P</w:t>
      </w:r>
      <w:r w:rsidRPr="0022431D">
        <w:rPr>
          <w:rFonts w:cs="Arial"/>
          <w:sz w:val="24"/>
          <w:szCs w:val="24"/>
        </w:rPr>
        <w:t xml:space="preserve">eople </w:t>
      </w:r>
      <w:r w:rsidRPr="001D5466">
        <w:rPr>
          <w:rFonts w:cs="Arial"/>
          <w:sz w:val="24"/>
          <w:szCs w:val="24"/>
        </w:rPr>
        <w:t xml:space="preserve">with Disability </w:t>
      </w:r>
      <w:r w:rsidRPr="001D5466">
        <w:rPr>
          <w:sz w:val="24"/>
          <w:szCs w:val="24"/>
        </w:rPr>
        <w:t xml:space="preserve">Australia </w:t>
      </w:r>
      <w:r w:rsidR="00331CFD" w:rsidRPr="001D5466">
        <w:rPr>
          <w:sz w:val="24"/>
          <w:szCs w:val="24"/>
        </w:rPr>
        <w:t>(</w:t>
      </w:r>
      <w:r w:rsidR="00EE1A9B" w:rsidRPr="001D5466">
        <w:rPr>
          <w:sz w:val="24"/>
          <w:szCs w:val="24"/>
        </w:rPr>
        <w:t>CYDA</w:t>
      </w:r>
      <w:r w:rsidR="00331CFD" w:rsidRPr="001D5466">
        <w:rPr>
          <w:sz w:val="24"/>
          <w:szCs w:val="24"/>
        </w:rPr>
        <w:t>)</w:t>
      </w:r>
      <w:r w:rsidR="00903D04" w:rsidRPr="001D5466">
        <w:rPr>
          <w:sz w:val="24"/>
          <w:szCs w:val="24"/>
        </w:rPr>
        <w:t xml:space="preserve"> </w:t>
      </w:r>
      <w:r w:rsidRPr="001D5466">
        <w:rPr>
          <w:sz w:val="24"/>
          <w:szCs w:val="24"/>
        </w:rPr>
        <w:t>state</w:t>
      </w:r>
      <w:r w:rsidR="006245B0" w:rsidRPr="001D5466">
        <w:rPr>
          <w:sz w:val="24"/>
          <w:szCs w:val="24"/>
        </w:rPr>
        <w:t>s</w:t>
      </w:r>
      <w:r w:rsidR="00331CFD" w:rsidRPr="001D5466">
        <w:rPr>
          <w:sz w:val="24"/>
          <w:szCs w:val="24"/>
        </w:rPr>
        <w:t>:</w:t>
      </w:r>
      <w:r w:rsidR="00331CFD" w:rsidRPr="001D5466">
        <w:rPr>
          <w:rFonts w:cs="Arial"/>
          <w:color w:val="3E444F"/>
          <w:sz w:val="24"/>
          <w:szCs w:val="24"/>
          <w:shd w:val="clear" w:color="auto" w:fill="F2F2F2"/>
        </w:rPr>
        <w:t xml:space="preserve"> </w:t>
      </w:r>
      <w:r w:rsidR="00903D04" w:rsidRPr="001D5466">
        <w:rPr>
          <w:rFonts w:cs="Arial"/>
          <w:color w:val="3E444F"/>
          <w:sz w:val="24"/>
          <w:szCs w:val="24"/>
          <w:shd w:val="clear" w:color="auto" w:fill="F2F2F2"/>
        </w:rPr>
        <w:t>‘</w:t>
      </w:r>
      <w:r w:rsidR="008973DE" w:rsidRPr="001D5466">
        <w:rPr>
          <w:rFonts w:cs="Arial"/>
          <w:sz w:val="24"/>
          <w:szCs w:val="24"/>
        </w:rPr>
        <w:t>Despite the high value and strong evidence base linking educational attainment and improved life outcomes, students with disability are frequently denied educational opportunities. Even though there have been significant</w:t>
      </w:r>
      <w:r w:rsidR="008973DE" w:rsidRPr="0022431D">
        <w:rPr>
          <w:rFonts w:cs="Arial"/>
          <w:sz w:val="24"/>
          <w:szCs w:val="24"/>
        </w:rPr>
        <w:t xml:space="preserve"> advances in recognising and affording people with disability rights and equal opportunities, ableist attitudes are still entrenched in the Australian community and very much shape the typical school education experiences of students with disability</w:t>
      </w:r>
      <w:r w:rsidR="00331CFD">
        <w:rPr>
          <w:rFonts w:cs="Arial"/>
          <w:sz w:val="24"/>
          <w:szCs w:val="24"/>
        </w:rPr>
        <w:t>’</w:t>
      </w:r>
      <w:r w:rsidR="003334A6">
        <w:rPr>
          <w:rFonts w:cs="Arial"/>
          <w:sz w:val="24"/>
          <w:szCs w:val="24"/>
        </w:rPr>
        <w:t xml:space="preserve"> (</w:t>
      </w:r>
      <w:r w:rsidR="00C80417">
        <w:rPr>
          <w:rFonts w:cs="Arial"/>
          <w:sz w:val="24"/>
          <w:szCs w:val="24"/>
        </w:rPr>
        <w:t>Children with disability Australia (2015).</w:t>
      </w:r>
    </w:p>
    <w:p w14:paraId="040B475F" w14:textId="77777777" w:rsidR="00685C2F" w:rsidRPr="0022431D" w:rsidRDefault="00685C2F" w:rsidP="00100676">
      <w:pPr>
        <w:pStyle w:val="EndnoteText"/>
        <w:spacing w:line="259" w:lineRule="auto"/>
        <w:rPr>
          <w:rFonts w:cs="Arial"/>
          <w:sz w:val="24"/>
          <w:szCs w:val="24"/>
        </w:rPr>
      </w:pPr>
    </w:p>
    <w:p w14:paraId="3FBDC04F" w14:textId="213850EC" w:rsidR="00903D04" w:rsidRPr="0022431D" w:rsidRDefault="00903D04" w:rsidP="00100676">
      <w:pPr>
        <w:pStyle w:val="EndnoteText"/>
        <w:spacing w:line="259" w:lineRule="auto"/>
        <w:rPr>
          <w:rFonts w:cs="Arial"/>
          <w:sz w:val="24"/>
          <w:szCs w:val="24"/>
        </w:rPr>
      </w:pPr>
      <w:r w:rsidRPr="0022431D">
        <w:rPr>
          <w:rFonts w:cs="Arial"/>
          <w:sz w:val="24"/>
          <w:szCs w:val="24"/>
        </w:rPr>
        <w:t>The United Nations Convention on the Rights of Persons with Disability 2006 (CRPD) and the Convention on the Rights of the Child 1989 (CRC) clearly establish</w:t>
      </w:r>
      <w:r w:rsidR="007033A9">
        <w:rPr>
          <w:rFonts w:cs="Arial"/>
          <w:sz w:val="24"/>
          <w:szCs w:val="24"/>
        </w:rPr>
        <w:t>ed</w:t>
      </w:r>
      <w:r w:rsidRPr="0022431D">
        <w:rPr>
          <w:rFonts w:cs="Arial"/>
          <w:sz w:val="24"/>
          <w:szCs w:val="24"/>
        </w:rPr>
        <w:t xml:space="preserve"> the right of children with disability to receive a quality and inclu</w:t>
      </w:r>
      <w:r w:rsidR="00DD1090" w:rsidRPr="0022431D">
        <w:rPr>
          <w:rFonts w:cs="Arial"/>
          <w:sz w:val="24"/>
          <w:szCs w:val="24"/>
        </w:rPr>
        <w:t>sive education.</w:t>
      </w:r>
      <w:r w:rsidR="00AA7080" w:rsidRPr="0022431D">
        <w:rPr>
          <w:rFonts w:cs="Arial"/>
          <w:sz w:val="24"/>
          <w:szCs w:val="24"/>
        </w:rPr>
        <w:t xml:space="preserve"> </w:t>
      </w:r>
      <w:r w:rsidRPr="0022431D">
        <w:rPr>
          <w:rFonts w:cs="Arial"/>
          <w:sz w:val="24"/>
          <w:szCs w:val="24"/>
        </w:rPr>
        <w:t>The evidence base describing egregious breaches of the human rights of children and young people with disability in schools is rapidly increasing</w:t>
      </w:r>
      <w:r w:rsidR="00331CFD">
        <w:rPr>
          <w:rFonts w:cs="Arial"/>
          <w:sz w:val="24"/>
          <w:szCs w:val="24"/>
        </w:rPr>
        <w:t xml:space="preserve"> [</w:t>
      </w:r>
      <w:r w:rsidRPr="0022431D">
        <w:rPr>
          <w:rFonts w:cs="Arial"/>
          <w:sz w:val="24"/>
          <w:szCs w:val="24"/>
        </w:rPr>
        <w:t>See</w:t>
      </w:r>
      <w:r w:rsidR="00331CFD">
        <w:rPr>
          <w:rFonts w:cs="Arial"/>
          <w:sz w:val="24"/>
          <w:szCs w:val="24"/>
        </w:rPr>
        <w:t>,</w:t>
      </w:r>
      <w:r w:rsidRPr="0022431D">
        <w:rPr>
          <w:rFonts w:cs="Arial"/>
          <w:sz w:val="24"/>
          <w:szCs w:val="24"/>
        </w:rPr>
        <w:t xml:space="preserve"> for</w:t>
      </w:r>
      <w:r w:rsidR="00331CFD">
        <w:rPr>
          <w:rFonts w:cs="Arial"/>
          <w:sz w:val="24"/>
          <w:szCs w:val="24"/>
        </w:rPr>
        <w:t xml:space="preserve"> example,</w:t>
      </w:r>
      <w:r w:rsidRPr="0022431D">
        <w:rPr>
          <w:rFonts w:cs="Arial"/>
          <w:sz w:val="24"/>
          <w:szCs w:val="24"/>
        </w:rPr>
        <w:t xml:space="preserve"> CYDA</w:t>
      </w:r>
      <w:r w:rsidR="00331CFD">
        <w:rPr>
          <w:rFonts w:cs="Arial"/>
          <w:sz w:val="24"/>
          <w:szCs w:val="24"/>
        </w:rPr>
        <w:t>:</w:t>
      </w:r>
      <w:r w:rsidRPr="0022431D">
        <w:rPr>
          <w:rFonts w:cs="Arial"/>
          <w:sz w:val="24"/>
          <w:szCs w:val="24"/>
        </w:rPr>
        <w:t xml:space="preserve"> August 2016</w:t>
      </w:r>
      <w:r w:rsidR="00331CFD">
        <w:rPr>
          <w:rFonts w:cs="Arial"/>
          <w:sz w:val="24"/>
          <w:szCs w:val="24"/>
        </w:rPr>
        <w:t>].</w:t>
      </w:r>
    </w:p>
    <w:p w14:paraId="6D876466" w14:textId="77777777" w:rsidR="00DD1090" w:rsidRPr="0022431D" w:rsidRDefault="00DD1090" w:rsidP="00100676">
      <w:pPr>
        <w:pStyle w:val="EndnoteText"/>
        <w:spacing w:line="259" w:lineRule="auto"/>
        <w:rPr>
          <w:rFonts w:cs="Arial"/>
          <w:sz w:val="24"/>
          <w:szCs w:val="24"/>
        </w:rPr>
      </w:pPr>
    </w:p>
    <w:p w14:paraId="7E2384C1" w14:textId="4DB7AC08" w:rsidR="006245B0" w:rsidRDefault="00DD1090" w:rsidP="00100676">
      <w:pPr>
        <w:spacing w:after="0" w:line="259" w:lineRule="auto"/>
        <w:ind w:left="-5"/>
        <w:rPr>
          <w:rFonts w:cs="Arial"/>
          <w:sz w:val="24"/>
          <w:szCs w:val="24"/>
        </w:rPr>
      </w:pPr>
      <w:r w:rsidRPr="0022431D">
        <w:rPr>
          <w:rFonts w:cs="Arial"/>
          <w:sz w:val="24"/>
          <w:szCs w:val="24"/>
        </w:rPr>
        <w:t>The UN Committee on the Rights of Persons with Disabilities (2016) stated students with disability should receive the support to ensure the</w:t>
      </w:r>
      <w:r w:rsidR="00331CFD">
        <w:rPr>
          <w:rFonts w:cs="Arial"/>
          <w:sz w:val="24"/>
          <w:szCs w:val="24"/>
        </w:rPr>
        <w:t>ir</w:t>
      </w:r>
      <w:r w:rsidRPr="0022431D">
        <w:rPr>
          <w:rFonts w:cs="Arial"/>
          <w:sz w:val="24"/>
          <w:szCs w:val="24"/>
        </w:rPr>
        <w:t xml:space="preserve"> effective transition from learning at school to vocational and tertiary education, and work.</w:t>
      </w:r>
      <w:r w:rsidR="00685C2F" w:rsidRPr="0022431D">
        <w:rPr>
          <w:rFonts w:cs="Arial"/>
          <w:sz w:val="24"/>
          <w:szCs w:val="24"/>
        </w:rPr>
        <w:t xml:space="preserve"> Article 24 of the United Nations Convention on the Rights of Persons with Disabilities (2007) promotes, amongst other things, education for all to their full potential.</w:t>
      </w:r>
    </w:p>
    <w:p w14:paraId="33A8C8F0" w14:textId="77777777" w:rsidR="006245B0" w:rsidRDefault="006245B0" w:rsidP="00100676">
      <w:pPr>
        <w:spacing w:after="0" w:line="259" w:lineRule="auto"/>
        <w:ind w:left="-5"/>
        <w:rPr>
          <w:rFonts w:cs="Arial"/>
          <w:sz w:val="24"/>
          <w:szCs w:val="24"/>
        </w:rPr>
      </w:pPr>
    </w:p>
    <w:p w14:paraId="6D317D85" w14:textId="77777777" w:rsidR="006245B0" w:rsidRDefault="00DD1090" w:rsidP="00100676">
      <w:pPr>
        <w:spacing w:after="0" w:line="259" w:lineRule="auto"/>
        <w:ind w:left="-5"/>
        <w:rPr>
          <w:rFonts w:cs="Arial"/>
          <w:sz w:val="24"/>
          <w:szCs w:val="24"/>
        </w:rPr>
      </w:pPr>
      <w:r w:rsidRPr="0022431D">
        <w:rPr>
          <w:rFonts w:cs="Arial"/>
          <w:sz w:val="24"/>
          <w:szCs w:val="24"/>
        </w:rPr>
        <w:t xml:space="preserve">Likewise, the National Disability Strategy </w:t>
      </w:r>
      <w:r w:rsidR="00331CFD">
        <w:rPr>
          <w:rFonts w:cs="Arial"/>
          <w:sz w:val="24"/>
          <w:szCs w:val="24"/>
        </w:rPr>
        <w:t>[</w:t>
      </w:r>
      <w:r w:rsidRPr="0022431D">
        <w:rPr>
          <w:rFonts w:cs="Arial"/>
          <w:sz w:val="24"/>
          <w:szCs w:val="24"/>
        </w:rPr>
        <w:t>NDS</w:t>
      </w:r>
      <w:r w:rsidR="00331CFD">
        <w:rPr>
          <w:rFonts w:cs="Arial"/>
          <w:sz w:val="24"/>
          <w:szCs w:val="24"/>
        </w:rPr>
        <w:t>:</w:t>
      </w:r>
      <w:r w:rsidRPr="0022431D">
        <w:rPr>
          <w:rFonts w:cs="Arial"/>
          <w:sz w:val="24"/>
          <w:szCs w:val="24"/>
        </w:rPr>
        <w:t xml:space="preserve"> key policy strategy 3.1</w:t>
      </w:r>
      <w:r w:rsidR="00331CFD">
        <w:rPr>
          <w:rFonts w:cs="Arial"/>
          <w:sz w:val="24"/>
          <w:szCs w:val="24"/>
        </w:rPr>
        <w:t>]</w:t>
      </w:r>
      <w:r w:rsidRPr="0022431D">
        <w:rPr>
          <w:rFonts w:cs="Arial"/>
          <w:sz w:val="24"/>
          <w:szCs w:val="24"/>
        </w:rPr>
        <w:t xml:space="preserve"> identifies the need for greater employment opportunities as a key to improving economic security and personal wellbeing for people with disability</w:t>
      </w:r>
      <w:r w:rsidR="006245B0">
        <w:rPr>
          <w:rFonts w:cs="Arial"/>
          <w:sz w:val="24"/>
          <w:szCs w:val="24"/>
        </w:rPr>
        <w:t>:</w:t>
      </w:r>
      <w:r w:rsidRPr="0022431D">
        <w:rPr>
          <w:rFonts w:cs="Arial"/>
          <w:sz w:val="24"/>
          <w:szCs w:val="24"/>
        </w:rPr>
        <w:t xml:space="preserve"> ‘Economic security is critical to the wellbeing and empowerment of people with disability and underpins the ability to make progress in all other outcomes and areas of life</w:t>
      </w:r>
      <w:r w:rsidR="00331CFD">
        <w:rPr>
          <w:rFonts w:cs="Arial"/>
          <w:sz w:val="24"/>
          <w:szCs w:val="24"/>
        </w:rPr>
        <w:t>.’</w:t>
      </w:r>
      <w:r w:rsidRPr="0022431D">
        <w:rPr>
          <w:rFonts w:cs="Arial"/>
          <w:sz w:val="24"/>
          <w:szCs w:val="24"/>
        </w:rPr>
        <w:t xml:space="preserve"> </w:t>
      </w:r>
      <w:r w:rsidR="00331CFD">
        <w:rPr>
          <w:rFonts w:cs="Arial"/>
          <w:sz w:val="24"/>
          <w:szCs w:val="24"/>
        </w:rPr>
        <w:t>[</w:t>
      </w:r>
      <w:r w:rsidRPr="0022431D">
        <w:rPr>
          <w:rFonts w:cs="Arial"/>
          <w:sz w:val="24"/>
          <w:szCs w:val="24"/>
        </w:rPr>
        <w:t>Department of Social Services, 2018, p. 42</w:t>
      </w:r>
      <w:r w:rsidR="00331CFD">
        <w:rPr>
          <w:rFonts w:cs="Arial"/>
          <w:sz w:val="24"/>
          <w:szCs w:val="24"/>
        </w:rPr>
        <w:t>]</w:t>
      </w:r>
      <w:r w:rsidRPr="0022431D">
        <w:rPr>
          <w:rFonts w:cs="Arial"/>
          <w:sz w:val="24"/>
          <w:szCs w:val="24"/>
        </w:rPr>
        <w:t xml:space="preserve"> </w:t>
      </w:r>
    </w:p>
    <w:p w14:paraId="1EA94B75" w14:textId="77777777" w:rsidR="006245B0" w:rsidRDefault="006245B0" w:rsidP="00100676">
      <w:pPr>
        <w:spacing w:after="0" w:line="259" w:lineRule="auto"/>
        <w:ind w:left="-5"/>
        <w:rPr>
          <w:rFonts w:cs="Arial"/>
          <w:sz w:val="24"/>
          <w:szCs w:val="24"/>
        </w:rPr>
      </w:pPr>
    </w:p>
    <w:p w14:paraId="5FC08FF5" w14:textId="1A4F80F5" w:rsidR="006245B0" w:rsidRDefault="00DD1090" w:rsidP="00100676">
      <w:pPr>
        <w:spacing w:after="0" w:line="259" w:lineRule="auto"/>
        <w:ind w:left="-5"/>
        <w:rPr>
          <w:rFonts w:cs="Arial"/>
          <w:sz w:val="24"/>
          <w:szCs w:val="24"/>
        </w:rPr>
      </w:pPr>
      <w:r w:rsidRPr="0022431D">
        <w:rPr>
          <w:rFonts w:cs="Arial"/>
          <w:sz w:val="24"/>
          <w:szCs w:val="24"/>
        </w:rPr>
        <w:t xml:space="preserve">The Strategy </w:t>
      </w:r>
      <w:r w:rsidR="00331CFD">
        <w:rPr>
          <w:rFonts w:cs="Arial"/>
          <w:sz w:val="24"/>
          <w:szCs w:val="24"/>
        </w:rPr>
        <w:t>[</w:t>
      </w:r>
      <w:r w:rsidRPr="0022431D">
        <w:rPr>
          <w:rFonts w:cs="Arial"/>
          <w:sz w:val="24"/>
          <w:szCs w:val="24"/>
        </w:rPr>
        <w:t>key policy strategy 5.5</w:t>
      </w:r>
      <w:r w:rsidR="00331CFD">
        <w:rPr>
          <w:rFonts w:cs="Arial"/>
          <w:sz w:val="24"/>
          <w:szCs w:val="24"/>
        </w:rPr>
        <w:t>]</w:t>
      </w:r>
      <w:r w:rsidRPr="0022431D">
        <w:rPr>
          <w:rFonts w:cs="Arial"/>
          <w:sz w:val="24"/>
          <w:szCs w:val="24"/>
        </w:rPr>
        <w:t xml:space="preserve"> also identifies the need for high quality programs designed to create smooth transition from education and employment </w:t>
      </w:r>
      <w:r w:rsidR="006245B0">
        <w:rPr>
          <w:rFonts w:cs="Arial"/>
          <w:sz w:val="24"/>
          <w:szCs w:val="24"/>
        </w:rPr>
        <w:t>[</w:t>
      </w:r>
      <w:r w:rsidRPr="0022431D">
        <w:rPr>
          <w:rFonts w:cs="Arial"/>
          <w:sz w:val="24"/>
          <w:szCs w:val="24"/>
        </w:rPr>
        <w:t>Department of Social Services, 2016</w:t>
      </w:r>
      <w:r w:rsidR="006245B0">
        <w:rPr>
          <w:rFonts w:cs="Arial"/>
          <w:sz w:val="24"/>
          <w:szCs w:val="24"/>
        </w:rPr>
        <w:t>]</w:t>
      </w:r>
      <w:r w:rsidRPr="0022431D">
        <w:rPr>
          <w:rFonts w:cs="Arial"/>
          <w:sz w:val="24"/>
          <w:szCs w:val="24"/>
        </w:rPr>
        <w:t>.</w:t>
      </w:r>
    </w:p>
    <w:p w14:paraId="795F9CA4" w14:textId="77777777" w:rsidR="006245B0" w:rsidRPr="00B816FA" w:rsidRDefault="006245B0" w:rsidP="00100676">
      <w:pPr>
        <w:spacing w:after="0" w:line="259" w:lineRule="auto"/>
        <w:ind w:left="-5"/>
        <w:rPr>
          <w:rFonts w:cs="Arial"/>
          <w:sz w:val="24"/>
          <w:szCs w:val="24"/>
        </w:rPr>
      </w:pPr>
    </w:p>
    <w:p w14:paraId="64093C55" w14:textId="1B24505A" w:rsidR="00903D04" w:rsidRPr="00C80417" w:rsidRDefault="006245B0" w:rsidP="00C80417">
      <w:pPr>
        <w:pStyle w:val="FootnoteText"/>
        <w:rPr>
          <w:rFonts w:cs="Arial"/>
        </w:rPr>
      </w:pPr>
      <w:r w:rsidRPr="00241ADA">
        <w:rPr>
          <w:sz w:val="24"/>
          <w:szCs w:val="24"/>
          <w:shd w:val="clear" w:color="auto" w:fill="FFFFFF"/>
        </w:rPr>
        <w:t xml:space="preserve">The </w:t>
      </w:r>
      <w:r w:rsidR="00903D04" w:rsidRPr="00241ADA">
        <w:rPr>
          <w:sz w:val="24"/>
          <w:szCs w:val="24"/>
          <w:shd w:val="clear" w:color="auto" w:fill="FFFFFF"/>
        </w:rPr>
        <w:t>Disability Discrimination Act 1992 (</w:t>
      </w:r>
      <w:proofErr w:type="spellStart"/>
      <w:r w:rsidR="00903D04" w:rsidRPr="00241ADA">
        <w:rPr>
          <w:sz w:val="24"/>
          <w:szCs w:val="24"/>
          <w:shd w:val="clear" w:color="auto" w:fill="FFFFFF"/>
        </w:rPr>
        <w:t>Cth</w:t>
      </w:r>
      <w:proofErr w:type="spellEnd"/>
      <w:r w:rsidR="00903D04" w:rsidRPr="00241ADA">
        <w:rPr>
          <w:sz w:val="24"/>
          <w:szCs w:val="24"/>
          <w:shd w:val="clear" w:color="auto" w:fill="FFFFFF"/>
        </w:rPr>
        <w:t>)</w:t>
      </w:r>
      <w:r w:rsidRPr="00241ADA">
        <w:rPr>
          <w:sz w:val="24"/>
          <w:szCs w:val="24"/>
          <w:shd w:val="clear" w:color="auto" w:fill="FFFFFF"/>
        </w:rPr>
        <w:t xml:space="preserve"> </w:t>
      </w:r>
      <w:r w:rsidR="00903D04" w:rsidRPr="00241ADA">
        <w:rPr>
          <w:sz w:val="24"/>
          <w:szCs w:val="24"/>
          <w:shd w:val="clear" w:color="auto" w:fill="FFFFFF"/>
        </w:rPr>
        <w:t xml:space="preserve">makes it unlawful to discriminate on the grounds of disability across a range of criteria that include denying access to any benefit provided by the educational authority, and developing curricula that will exclude a person from participation. Similarly, the Disability Standards for Education </w:t>
      </w:r>
      <w:r w:rsidR="00903D04" w:rsidRPr="00241ADA">
        <w:rPr>
          <w:sz w:val="24"/>
          <w:szCs w:val="24"/>
          <w:shd w:val="clear" w:color="auto" w:fill="FFFFFF"/>
        </w:rPr>
        <w:lastRenderedPageBreak/>
        <w:t>2005 (</w:t>
      </w:r>
      <w:proofErr w:type="spellStart"/>
      <w:r w:rsidR="00903D04" w:rsidRPr="00241ADA">
        <w:rPr>
          <w:sz w:val="24"/>
          <w:szCs w:val="24"/>
          <w:shd w:val="clear" w:color="auto" w:fill="FFFFFF"/>
        </w:rPr>
        <w:t>Cth</w:t>
      </w:r>
      <w:proofErr w:type="spellEnd"/>
      <w:r w:rsidR="00903D04" w:rsidRPr="00241ADA">
        <w:rPr>
          <w:sz w:val="24"/>
          <w:szCs w:val="24"/>
          <w:shd w:val="clear" w:color="auto" w:fill="FFFFFF"/>
        </w:rPr>
        <w:t>) require school</w:t>
      </w:r>
      <w:r w:rsidRPr="00241ADA">
        <w:rPr>
          <w:sz w:val="24"/>
          <w:szCs w:val="24"/>
          <w:shd w:val="clear" w:color="auto" w:fill="FFFFFF"/>
        </w:rPr>
        <w:t>s</w:t>
      </w:r>
      <w:r w:rsidR="00903D04" w:rsidRPr="00241ADA">
        <w:rPr>
          <w:sz w:val="24"/>
          <w:szCs w:val="24"/>
          <w:shd w:val="clear" w:color="auto" w:fill="FFFFFF"/>
        </w:rPr>
        <w:t xml:space="preserve"> to make their programs accessible to students with disabilities and make reasonable adjustments to enable student participation</w:t>
      </w:r>
      <w:r w:rsidR="003334A6">
        <w:rPr>
          <w:shd w:val="clear" w:color="auto" w:fill="FFFFFF"/>
        </w:rPr>
        <w:t xml:space="preserve"> </w:t>
      </w:r>
      <w:r w:rsidR="00C80417" w:rsidRPr="00C80417">
        <w:rPr>
          <w:sz w:val="24"/>
          <w:szCs w:val="24"/>
          <w:shd w:val="clear" w:color="auto" w:fill="FFFFFF"/>
        </w:rPr>
        <w:t>(</w:t>
      </w:r>
      <w:r w:rsidR="00C80417" w:rsidRPr="00C80417">
        <w:rPr>
          <w:rFonts w:cs="Arial"/>
          <w:sz w:val="24"/>
          <w:szCs w:val="24"/>
        </w:rPr>
        <w:t>Disability Discrimination Act 1992), (Disability Standards for Education 2005), (</w:t>
      </w:r>
      <w:r w:rsidR="00C80417" w:rsidRPr="00C80417">
        <w:rPr>
          <w:rFonts w:cs="Arial"/>
          <w:color w:val="292929"/>
          <w:sz w:val="24"/>
          <w:szCs w:val="24"/>
          <w:shd w:val="clear" w:color="auto" w:fill="FFFFFF"/>
        </w:rPr>
        <w:t>Brett, M., Harvey, A., Funston, A., Spicer, R. &amp; Wood, A. (2016)</w:t>
      </w:r>
      <w:r w:rsidR="003334A6">
        <w:rPr>
          <w:rFonts w:cs="Arial"/>
          <w:color w:val="292929"/>
          <w:sz w:val="24"/>
          <w:szCs w:val="24"/>
          <w:shd w:val="clear" w:color="auto" w:fill="FFFFFF"/>
        </w:rPr>
        <w:t>.</w:t>
      </w:r>
    </w:p>
    <w:p w14:paraId="515C735A" w14:textId="77777777" w:rsidR="00467C50" w:rsidRPr="00241ADA" w:rsidRDefault="00467C50" w:rsidP="00100676">
      <w:pPr>
        <w:pStyle w:val="EndnoteText"/>
        <w:spacing w:line="259" w:lineRule="auto"/>
        <w:rPr>
          <w:rFonts w:cs="Arial"/>
          <w:color w:val="000000" w:themeColor="text1"/>
          <w:sz w:val="24"/>
          <w:szCs w:val="24"/>
        </w:rPr>
      </w:pPr>
    </w:p>
    <w:p w14:paraId="62C221CE" w14:textId="7712E681" w:rsidR="006A1777" w:rsidRPr="0022431D" w:rsidRDefault="00467C50" w:rsidP="00100676">
      <w:pPr>
        <w:spacing w:after="0" w:line="259" w:lineRule="auto"/>
        <w:rPr>
          <w:rFonts w:cs="Arial"/>
          <w:sz w:val="24"/>
          <w:szCs w:val="24"/>
        </w:rPr>
      </w:pPr>
      <w:r w:rsidRPr="00241ADA">
        <w:rPr>
          <w:rFonts w:cs="Arial"/>
          <w:color w:val="000000" w:themeColor="text1"/>
          <w:sz w:val="24"/>
          <w:szCs w:val="24"/>
        </w:rPr>
        <w:t xml:space="preserve">The </w:t>
      </w:r>
      <w:r w:rsidR="009E0EE8" w:rsidRPr="00241ADA">
        <w:rPr>
          <w:rFonts w:cs="Arial"/>
          <w:color w:val="000000" w:themeColor="text1"/>
          <w:sz w:val="24"/>
          <w:szCs w:val="24"/>
        </w:rPr>
        <w:t xml:space="preserve">Royal Commission into </w:t>
      </w:r>
      <w:r w:rsidR="009E0EE8" w:rsidRPr="0022431D">
        <w:rPr>
          <w:rFonts w:cs="Arial"/>
          <w:sz w:val="24"/>
          <w:szCs w:val="24"/>
        </w:rPr>
        <w:t>Violence, Abuse, Neglect and Exploitation of people with disability has highlighted issues with school to work transition</w:t>
      </w:r>
      <w:r w:rsidR="00DB4C39">
        <w:rPr>
          <w:rFonts w:cs="Arial"/>
          <w:sz w:val="24"/>
          <w:szCs w:val="24"/>
        </w:rPr>
        <w:t xml:space="preserve"> </w:t>
      </w:r>
      <w:r w:rsidR="006245B0">
        <w:rPr>
          <w:rFonts w:cs="Arial"/>
          <w:sz w:val="24"/>
          <w:szCs w:val="24"/>
        </w:rPr>
        <w:t xml:space="preserve">finding </w:t>
      </w:r>
      <w:r w:rsidR="00DB4C39">
        <w:rPr>
          <w:rFonts w:cs="Arial"/>
          <w:sz w:val="24"/>
          <w:szCs w:val="24"/>
        </w:rPr>
        <w:t xml:space="preserve">that currently there is a </w:t>
      </w:r>
      <w:r w:rsidR="009E0EE8" w:rsidRPr="0022431D">
        <w:rPr>
          <w:rFonts w:cs="Arial"/>
          <w:sz w:val="24"/>
          <w:szCs w:val="24"/>
        </w:rPr>
        <w:t>polished pathway</w:t>
      </w:r>
      <w:r w:rsidR="00DB4C39">
        <w:rPr>
          <w:rFonts w:cs="Arial"/>
          <w:sz w:val="24"/>
          <w:szCs w:val="24"/>
        </w:rPr>
        <w:t xml:space="preserve"> to poverty</w:t>
      </w:r>
      <w:r w:rsidR="009E0EE8" w:rsidRPr="0022431D">
        <w:rPr>
          <w:rFonts w:cs="Arial"/>
          <w:sz w:val="24"/>
          <w:szCs w:val="24"/>
        </w:rPr>
        <w:t xml:space="preserve"> from school to day support and supported employment (as opposed to open employment</w:t>
      </w:r>
      <w:r w:rsidR="00FF54AE" w:rsidRPr="0022431D">
        <w:rPr>
          <w:rFonts w:cs="Arial"/>
          <w:sz w:val="24"/>
          <w:szCs w:val="24"/>
        </w:rPr>
        <w:t>)</w:t>
      </w:r>
      <w:r w:rsidR="009E0EE8" w:rsidRPr="0022431D">
        <w:rPr>
          <w:rFonts w:cs="Arial"/>
          <w:sz w:val="24"/>
          <w:szCs w:val="24"/>
        </w:rPr>
        <w:t xml:space="preserve">. </w:t>
      </w:r>
      <w:r w:rsidR="00DB4C39">
        <w:rPr>
          <w:rFonts w:cs="Arial"/>
          <w:sz w:val="24"/>
          <w:szCs w:val="24"/>
        </w:rPr>
        <w:t>The</w:t>
      </w:r>
      <w:r w:rsidR="006A1777" w:rsidRPr="0022431D">
        <w:rPr>
          <w:rFonts w:cs="Arial"/>
          <w:sz w:val="24"/>
          <w:szCs w:val="24"/>
        </w:rPr>
        <w:t xml:space="preserve"> commission </w:t>
      </w:r>
      <w:r w:rsidR="00DB4C39">
        <w:rPr>
          <w:rFonts w:cs="Arial"/>
          <w:sz w:val="24"/>
          <w:szCs w:val="24"/>
        </w:rPr>
        <w:t xml:space="preserve">Identified </w:t>
      </w:r>
      <w:r w:rsidR="006A1777" w:rsidRPr="0022431D">
        <w:rPr>
          <w:rFonts w:cs="Arial"/>
          <w:sz w:val="24"/>
          <w:szCs w:val="24"/>
        </w:rPr>
        <w:t>organisational barriers from education and training made it difficult in access skills training education and lack of support to engage with and complete qualifications.</w:t>
      </w:r>
    </w:p>
    <w:p w14:paraId="4C97BB12" w14:textId="2D0F5667" w:rsidR="005D7D25" w:rsidRPr="0022431D" w:rsidRDefault="009E0EE8" w:rsidP="00100676">
      <w:pPr>
        <w:spacing w:after="0" w:line="259" w:lineRule="auto"/>
        <w:rPr>
          <w:rFonts w:cs="Arial"/>
          <w:sz w:val="24"/>
          <w:szCs w:val="24"/>
        </w:rPr>
      </w:pPr>
      <w:r w:rsidRPr="0022431D">
        <w:rPr>
          <w:rFonts w:cs="Arial"/>
          <w:sz w:val="24"/>
          <w:szCs w:val="24"/>
        </w:rPr>
        <w:t xml:space="preserve">The </w:t>
      </w:r>
      <w:r w:rsidR="006245B0">
        <w:rPr>
          <w:rFonts w:cs="Arial"/>
          <w:sz w:val="24"/>
          <w:szCs w:val="24"/>
        </w:rPr>
        <w:t>C</w:t>
      </w:r>
      <w:r w:rsidRPr="0022431D">
        <w:rPr>
          <w:rFonts w:cs="Arial"/>
          <w:sz w:val="24"/>
          <w:szCs w:val="24"/>
        </w:rPr>
        <w:t xml:space="preserve">ommission is planning to explore this area </w:t>
      </w:r>
      <w:r w:rsidR="006245B0">
        <w:rPr>
          <w:rFonts w:cs="Arial"/>
          <w:sz w:val="24"/>
          <w:szCs w:val="24"/>
        </w:rPr>
        <w:t xml:space="preserve">further </w:t>
      </w:r>
      <w:r w:rsidRPr="0022431D">
        <w:rPr>
          <w:rFonts w:cs="Arial"/>
          <w:sz w:val="24"/>
          <w:szCs w:val="24"/>
        </w:rPr>
        <w:t xml:space="preserve">as part of </w:t>
      </w:r>
      <w:r w:rsidR="00FF54AE" w:rsidRPr="0022431D">
        <w:rPr>
          <w:rFonts w:cs="Arial"/>
          <w:sz w:val="24"/>
          <w:szCs w:val="24"/>
        </w:rPr>
        <w:t>their</w:t>
      </w:r>
      <w:r w:rsidRPr="0022431D">
        <w:rPr>
          <w:rFonts w:cs="Arial"/>
          <w:sz w:val="24"/>
          <w:szCs w:val="24"/>
        </w:rPr>
        <w:t xml:space="preserve"> enquiry</w:t>
      </w:r>
      <w:r w:rsidR="003334A6">
        <w:rPr>
          <w:rFonts w:cs="Arial"/>
          <w:sz w:val="24"/>
          <w:szCs w:val="24"/>
        </w:rPr>
        <w:t xml:space="preserve"> </w:t>
      </w:r>
      <w:r w:rsidR="00C80417">
        <w:rPr>
          <w:rFonts w:cs="Arial"/>
          <w:sz w:val="24"/>
          <w:szCs w:val="24"/>
        </w:rPr>
        <w:t>(Public hearing 9 Sydney).</w:t>
      </w:r>
    </w:p>
    <w:p w14:paraId="73F07635" w14:textId="77777777" w:rsidR="00234B97" w:rsidRPr="0022431D" w:rsidRDefault="00234B97" w:rsidP="00100676">
      <w:pPr>
        <w:pStyle w:val="EndnoteText"/>
        <w:spacing w:line="259" w:lineRule="auto"/>
        <w:rPr>
          <w:rFonts w:cs="Arial"/>
          <w:sz w:val="24"/>
          <w:szCs w:val="24"/>
        </w:rPr>
      </w:pPr>
    </w:p>
    <w:p w14:paraId="6AF3B2D5" w14:textId="77777777" w:rsidR="008973DE" w:rsidRPr="00DD2003" w:rsidRDefault="008973DE" w:rsidP="00100676">
      <w:pPr>
        <w:pStyle w:val="EndnoteText"/>
        <w:spacing w:line="259" w:lineRule="auto"/>
        <w:rPr>
          <w:rFonts w:cs="Arial"/>
          <w:bCs/>
          <w:sz w:val="32"/>
          <w:szCs w:val="32"/>
        </w:rPr>
      </w:pPr>
      <w:r w:rsidRPr="003334A6">
        <w:rPr>
          <w:rFonts w:cs="Arial"/>
          <w:bCs/>
          <w:sz w:val="36"/>
          <w:szCs w:val="36"/>
        </w:rPr>
        <w:t xml:space="preserve">Young people </w:t>
      </w:r>
      <w:r w:rsidR="0022431D" w:rsidRPr="003334A6">
        <w:rPr>
          <w:rFonts w:cs="Arial"/>
          <w:bCs/>
          <w:sz w:val="36"/>
          <w:szCs w:val="36"/>
        </w:rPr>
        <w:t xml:space="preserve">with disability </w:t>
      </w:r>
    </w:p>
    <w:p w14:paraId="184491F1" w14:textId="77777777" w:rsidR="00C80417" w:rsidRDefault="008973DE" w:rsidP="00100676">
      <w:pPr>
        <w:spacing w:after="0" w:line="259" w:lineRule="auto"/>
        <w:rPr>
          <w:rFonts w:cs="Arial"/>
          <w:sz w:val="24"/>
          <w:szCs w:val="24"/>
        </w:rPr>
      </w:pPr>
      <w:r w:rsidRPr="0022431D">
        <w:rPr>
          <w:rFonts w:cs="Arial"/>
          <w:sz w:val="24"/>
          <w:szCs w:val="24"/>
        </w:rPr>
        <w:t xml:space="preserve">Students with disability are </w:t>
      </w:r>
      <w:r w:rsidR="00C83510">
        <w:rPr>
          <w:rFonts w:cs="Arial"/>
          <w:sz w:val="24"/>
          <w:szCs w:val="24"/>
        </w:rPr>
        <w:t xml:space="preserve">a </w:t>
      </w:r>
      <w:r w:rsidRPr="0022431D">
        <w:rPr>
          <w:rFonts w:cs="Arial"/>
          <w:sz w:val="24"/>
          <w:szCs w:val="24"/>
        </w:rPr>
        <w:t>large</w:t>
      </w:r>
      <w:r w:rsidR="00C83510">
        <w:rPr>
          <w:rFonts w:cs="Arial"/>
          <w:sz w:val="24"/>
          <w:szCs w:val="24"/>
        </w:rPr>
        <w:t xml:space="preserve"> and growing</w:t>
      </w:r>
      <w:r w:rsidRPr="0022431D">
        <w:rPr>
          <w:rFonts w:cs="Arial"/>
          <w:sz w:val="24"/>
          <w:szCs w:val="24"/>
        </w:rPr>
        <w:t xml:space="preserve"> cohort in Australian schools</w:t>
      </w:r>
      <w:r w:rsidR="00C83510">
        <w:rPr>
          <w:rFonts w:cs="Arial"/>
          <w:sz w:val="24"/>
          <w:szCs w:val="24"/>
        </w:rPr>
        <w:t>:</w:t>
      </w:r>
      <w:r w:rsidRPr="0022431D">
        <w:rPr>
          <w:rFonts w:cs="Arial"/>
          <w:sz w:val="24"/>
          <w:szCs w:val="24"/>
        </w:rPr>
        <w:t xml:space="preserve"> almost 1 in 5 (20%) students receive educational adjustments because of disability</w:t>
      </w:r>
      <w:r w:rsidR="00C83510">
        <w:rPr>
          <w:rFonts w:cs="Arial"/>
          <w:sz w:val="24"/>
          <w:szCs w:val="24"/>
        </w:rPr>
        <w:t>.</w:t>
      </w:r>
      <w:r w:rsidR="00C80417">
        <w:rPr>
          <w:rFonts w:cs="Arial"/>
          <w:sz w:val="24"/>
          <w:szCs w:val="24"/>
        </w:rPr>
        <w:t xml:space="preserve"> </w:t>
      </w:r>
      <w:r w:rsidR="00C80417" w:rsidRPr="00C80417">
        <w:rPr>
          <w:rFonts w:cs="Arial"/>
          <w:sz w:val="24"/>
          <w:szCs w:val="24"/>
        </w:rPr>
        <w:t>(</w:t>
      </w:r>
      <w:r w:rsidR="00C80417" w:rsidRPr="0022431D">
        <w:rPr>
          <w:rFonts w:cs="Arial"/>
          <w:sz w:val="24"/>
          <w:szCs w:val="24"/>
        </w:rPr>
        <w:t>2019</w:t>
      </w:r>
      <w:r w:rsidR="00C80417" w:rsidRPr="00C80417">
        <w:rPr>
          <w:rFonts w:cs="Arial"/>
          <w:sz w:val="24"/>
          <w:szCs w:val="24"/>
        </w:rPr>
        <w:t xml:space="preserve"> Nationally Consistent Collection of Data on School Students with Disability</w:t>
      </w:r>
      <w:r w:rsidR="00C80417">
        <w:rPr>
          <w:rFonts w:cs="Arial"/>
          <w:sz w:val="24"/>
          <w:szCs w:val="24"/>
        </w:rPr>
        <w:t xml:space="preserve"> </w:t>
      </w:r>
      <w:r w:rsidR="00C80417" w:rsidRPr="00C80417">
        <w:rPr>
          <w:rFonts w:cs="Arial"/>
          <w:sz w:val="24"/>
          <w:szCs w:val="24"/>
        </w:rPr>
        <w:t>(NCCD)</w:t>
      </w:r>
      <w:r w:rsidR="00C80417">
        <w:rPr>
          <w:rFonts w:cs="Arial"/>
          <w:sz w:val="24"/>
          <w:szCs w:val="24"/>
        </w:rPr>
        <w:t>.</w:t>
      </w:r>
    </w:p>
    <w:p w14:paraId="22207EA8" w14:textId="1A365BBD" w:rsidR="00CB572C" w:rsidRPr="0022431D" w:rsidRDefault="008973DE" w:rsidP="00100676">
      <w:pPr>
        <w:spacing w:after="0" w:line="259" w:lineRule="auto"/>
        <w:rPr>
          <w:rFonts w:cs="Arial"/>
          <w:sz w:val="24"/>
          <w:szCs w:val="24"/>
        </w:rPr>
      </w:pPr>
      <w:r w:rsidRPr="0022431D">
        <w:rPr>
          <w:rFonts w:cs="Arial"/>
          <w:sz w:val="24"/>
          <w:szCs w:val="24"/>
        </w:rPr>
        <w:t xml:space="preserve">The </w:t>
      </w:r>
      <w:r w:rsidR="00C83510">
        <w:rPr>
          <w:rFonts w:cs="Arial"/>
          <w:sz w:val="24"/>
          <w:szCs w:val="24"/>
        </w:rPr>
        <w:t xml:space="preserve">single </w:t>
      </w:r>
      <w:r w:rsidRPr="0022431D">
        <w:rPr>
          <w:rFonts w:cs="Arial"/>
          <w:sz w:val="24"/>
          <w:szCs w:val="24"/>
        </w:rPr>
        <w:t>largest group of students who required adjustments have cognitive disability (55% of students with disability who receive adjustments).</w:t>
      </w:r>
    </w:p>
    <w:p w14:paraId="53A7AE73" w14:textId="77777777" w:rsidR="00FE1400" w:rsidRPr="0022431D" w:rsidRDefault="00FE1400" w:rsidP="00100676">
      <w:pPr>
        <w:spacing w:after="0" w:line="259" w:lineRule="auto"/>
        <w:rPr>
          <w:rFonts w:cs="Arial"/>
          <w:sz w:val="24"/>
          <w:szCs w:val="24"/>
        </w:rPr>
      </w:pPr>
    </w:p>
    <w:p w14:paraId="62DC4D30" w14:textId="77777777" w:rsidR="00B028CC" w:rsidRPr="0022431D" w:rsidRDefault="003B797B" w:rsidP="00100676">
      <w:pPr>
        <w:spacing w:after="0" w:line="259" w:lineRule="auto"/>
        <w:rPr>
          <w:rFonts w:cs="Arial"/>
          <w:sz w:val="24"/>
          <w:szCs w:val="24"/>
        </w:rPr>
      </w:pPr>
      <w:r w:rsidRPr="0022431D">
        <w:rPr>
          <w:rFonts w:cs="Arial"/>
          <w:sz w:val="24"/>
          <w:szCs w:val="24"/>
        </w:rPr>
        <w:t>The Collection of Data for School Students with Disability show</w:t>
      </w:r>
      <w:r w:rsidR="00C83510">
        <w:rPr>
          <w:rFonts w:cs="Arial"/>
          <w:sz w:val="24"/>
          <w:szCs w:val="24"/>
        </w:rPr>
        <w:t>s</w:t>
      </w:r>
      <w:r w:rsidRPr="0022431D">
        <w:rPr>
          <w:rFonts w:cs="Arial"/>
          <w:sz w:val="24"/>
          <w:szCs w:val="24"/>
        </w:rPr>
        <w:t xml:space="preserve"> that in</w:t>
      </w:r>
      <w:r w:rsidR="00B028CC" w:rsidRPr="0022431D">
        <w:rPr>
          <w:rFonts w:cs="Arial"/>
          <w:sz w:val="24"/>
          <w:szCs w:val="24"/>
        </w:rPr>
        <w:t xml:space="preserve"> </w:t>
      </w:r>
      <w:r w:rsidRPr="0022431D">
        <w:rPr>
          <w:rFonts w:cs="Arial"/>
          <w:sz w:val="24"/>
          <w:szCs w:val="24"/>
        </w:rPr>
        <w:t>Victoria</w:t>
      </w:r>
      <w:r w:rsidR="00B028CC" w:rsidRPr="0022431D">
        <w:rPr>
          <w:rFonts w:cs="Arial"/>
          <w:sz w:val="24"/>
          <w:szCs w:val="24"/>
        </w:rPr>
        <w:t>:</w:t>
      </w:r>
    </w:p>
    <w:p w14:paraId="388A1B5B" w14:textId="77777777" w:rsidR="003B797B" w:rsidRPr="0022431D" w:rsidRDefault="00B028CC" w:rsidP="00100676">
      <w:pPr>
        <w:pStyle w:val="ListParagraph"/>
        <w:numPr>
          <w:ilvl w:val="0"/>
          <w:numId w:val="16"/>
        </w:numPr>
        <w:spacing w:after="0" w:line="259" w:lineRule="auto"/>
        <w:rPr>
          <w:rFonts w:cs="Arial"/>
          <w:sz w:val="24"/>
          <w:szCs w:val="24"/>
        </w:rPr>
      </w:pPr>
      <w:r w:rsidRPr="0022431D">
        <w:rPr>
          <w:rFonts w:cs="Arial"/>
          <w:sz w:val="24"/>
          <w:szCs w:val="24"/>
        </w:rPr>
        <w:t>17% of Victorian students received education adjustments due to disability.</w:t>
      </w:r>
    </w:p>
    <w:p w14:paraId="254841A2" w14:textId="77777777" w:rsidR="003B797B" w:rsidRPr="00F7072A" w:rsidRDefault="00B028CC" w:rsidP="00100676">
      <w:pPr>
        <w:pStyle w:val="ListParagraph"/>
        <w:numPr>
          <w:ilvl w:val="0"/>
          <w:numId w:val="16"/>
        </w:numPr>
        <w:spacing w:after="0" w:line="259" w:lineRule="auto"/>
        <w:rPr>
          <w:rFonts w:cs="Arial"/>
          <w:sz w:val="24"/>
          <w:szCs w:val="24"/>
        </w:rPr>
      </w:pPr>
      <w:r w:rsidRPr="0022431D">
        <w:rPr>
          <w:rFonts w:cs="Arial"/>
          <w:sz w:val="24"/>
          <w:szCs w:val="24"/>
        </w:rPr>
        <w:t xml:space="preserve">Of </w:t>
      </w:r>
      <w:r w:rsidRPr="00F7072A">
        <w:rPr>
          <w:rFonts w:cs="Arial"/>
          <w:sz w:val="24"/>
          <w:szCs w:val="24"/>
        </w:rPr>
        <w:t xml:space="preserve">these students, 36% received the highest level of adjustments </w:t>
      </w:r>
      <w:r w:rsidR="00C83510" w:rsidRPr="00F7072A">
        <w:rPr>
          <w:rFonts w:cs="Arial"/>
          <w:sz w:val="24"/>
          <w:szCs w:val="24"/>
        </w:rPr>
        <w:t xml:space="preserve">- </w:t>
      </w:r>
      <w:r w:rsidRPr="00F7072A">
        <w:rPr>
          <w:rFonts w:cs="Arial"/>
          <w:sz w:val="24"/>
          <w:szCs w:val="24"/>
        </w:rPr>
        <w:t>quality</w:t>
      </w:r>
      <w:r w:rsidR="003B797B" w:rsidRPr="00F7072A">
        <w:rPr>
          <w:rFonts w:cs="Arial"/>
          <w:sz w:val="24"/>
          <w:szCs w:val="24"/>
        </w:rPr>
        <w:t xml:space="preserve"> </w:t>
      </w:r>
      <w:r w:rsidRPr="00F7072A">
        <w:rPr>
          <w:rFonts w:cs="Arial"/>
          <w:sz w:val="24"/>
          <w:szCs w:val="24"/>
        </w:rPr>
        <w:t>different</w:t>
      </w:r>
      <w:r w:rsidR="003B797B" w:rsidRPr="00F7072A">
        <w:rPr>
          <w:rFonts w:cs="Arial"/>
          <w:sz w:val="24"/>
          <w:szCs w:val="24"/>
        </w:rPr>
        <w:t>iated teaching practice (QDTP)</w:t>
      </w:r>
      <w:r w:rsidR="00C83510" w:rsidRPr="00F7072A">
        <w:rPr>
          <w:rFonts w:cs="Arial"/>
          <w:sz w:val="24"/>
          <w:szCs w:val="24"/>
        </w:rPr>
        <w:t>.</w:t>
      </w:r>
    </w:p>
    <w:p w14:paraId="600AB9F1" w14:textId="49532D20" w:rsidR="00B028CC" w:rsidRPr="00F7072A" w:rsidRDefault="00B028CC" w:rsidP="00100676">
      <w:pPr>
        <w:pStyle w:val="ListParagraph"/>
        <w:numPr>
          <w:ilvl w:val="0"/>
          <w:numId w:val="17"/>
        </w:numPr>
        <w:spacing w:after="0" w:line="259" w:lineRule="auto"/>
        <w:rPr>
          <w:rFonts w:cs="Arial"/>
          <w:sz w:val="24"/>
          <w:szCs w:val="24"/>
        </w:rPr>
      </w:pPr>
      <w:r w:rsidRPr="00F7072A">
        <w:rPr>
          <w:rFonts w:cs="Arial"/>
          <w:sz w:val="24"/>
          <w:szCs w:val="24"/>
        </w:rPr>
        <w:t>The largest disability cohort in Victorian schools is cognitive disability at 8.8% of the student population</w:t>
      </w:r>
      <w:r w:rsidR="00C83510" w:rsidRPr="00F7072A">
        <w:rPr>
          <w:rFonts w:cs="Arial"/>
          <w:sz w:val="24"/>
          <w:szCs w:val="24"/>
        </w:rPr>
        <w:t>.</w:t>
      </w:r>
      <w:r w:rsidR="00C80417">
        <w:rPr>
          <w:rFonts w:cs="Arial"/>
          <w:sz w:val="24"/>
          <w:szCs w:val="24"/>
        </w:rPr>
        <w:t xml:space="preserve"> (2015 collection of data for school students with disability NDCO)</w:t>
      </w:r>
    </w:p>
    <w:p w14:paraId="168C4771" w14:textId="77777777" w:rsidR="009B1638" w:rsidRDefault="009B1638" w:rsidP="00100676">
      <w:pPr>
        <w:spacing w:after="0" w:line="259" w:lineRule="auto"/>
        <w:rPr>
          <w:sz w:val="24"/>
          <w:szCs w:val="24"/>
        </w:rPr>
      </w:pPr>
    </w:p>
    <w:p w14:paraId="1E9D7B51" w14:textId="77777777" w:rsidR="009B1638" w:rsidRDefault="009B1638" w:rsidP="00100676">
      <w:pPr>
        <w:spacing w:after="0" w:line="259" w:lineRule="auto"/>
        <w:rPr>
          <w:sz w:val="24"/>
          <w:szCs w:val="24"/>
        </w:rPr>
      </w:pPr>
    </w:p>
    <w:p w14:paraId="1A908DEC" w14:textId="4EFC8A51" w:rsidR="00100676" w:rsidRPr="00F7072A" w:rsidRDefault="00100676" w:rsidP="00100676">
      <w:pPr>
        <w:spacing w:after="0" w:line="259" w:lineRule="auto"/>
        <w:rPr>
          <w:rFonts w:cs="Arial"/>
          <w:sz w:val="24"/>
          <w:szCs w:val="24"/>
        </w:rPr>
      </w:pPr>
      <w:r w:rsidRPr="00F7072A">
        <w:rPr>
          <w:sz w:val="24"/>
          <w:szCs w:val="24"/>
        </w:rPr>
        <w:t>On Track data show</w:t>
      </w:r>
    </w:p>
    <w:p w14:paraId="36A152C1" w14:textId="2B21E936" w:rsidR="00FE1400" w:rsidRPr="0022431D" w:rsidRDefault="00B028CC" w:rsidP="00100676">
      <w:pPr>
        <w:pStyle w:val="ListParagraph"/>
        <w:numPr>
          <w:ilvl w:val="0"/>
          <w:numId w:val="19"/>
        </w:numPr>
        <w:spacing w:after="0" w:line="259" w:lineRule="auto"/>
        <w:rPr>
          <w:rFonts w:cs="Arial"/>
          <w:sz w:val="24"/>
          <w:szCs w:val="24"/>
        </w:rPr>
      </w:pPr>
      <w:r w:rsidRPr="00F7072A">
        <w:rPr>
          <w:rFonts w:cs="Arial"/>
          <w:sz w:val="24"/>
          <w:szCs w:val="24"/>
        </w:rPr>
        <w:t>Victorian Indigenous students are over-represented in the Program for</w:t>
      </w:r>
      <w:r w:rsidR="003B797B" w:rsidRPr="00F7072A">
        <w:rPr>
          <w:rFonts w:cs="Arial"/>
          <w:sz w:val="24"/>
          <w:szCs w:val="24"/>
        </w:rPr>
        <w:t xml:space="preserve"> </w:t>
      </w:r>
      <w:r w:rsidRPr="00F7072A">
        <w:rPr>
          <w:rFonts w:cs="Arial"/>
          <w:sz w:val="24"/>
          <w:szCs w:val="24"/>
        </w:rPr>
        <w:t>Students with Disability (PSD) population, with 3.6% of PSD-eligible students</w:t>
      </w:r>
      <w:r w:rsidR="003B797B" w:rsidRPr="00F7072A">
        <w:rPr>
          <w:rFonts w:cs="Arial"/>
          <w:sz w:val="24"/>
          <w:szCs w:val="24"/>
        </w:rPr>
        <w:t xml:space="preserve"> </w:t>
      </w:r>
      <w:r w:rsidRPr="00F7072A">
        <w:rPr>
          <w:rFonts w:cs="Arial"/>
          <w:sz w:val="24"/>
          <w:szCs w:val="24"/>
        </w:rPr>
        <w:t>being Indigenous</w:t>
      </w:r>
      <w:r w:rsidRPr="0022431D">
        <w:rPr>
          <w:rFonts w:cs="Arial"/>
          <w:sz w:val="24"/>
          <w:szCs w:val="24"/>
        </w:rPr>
        <w:t>, compared to 1.6% of the Victorian school population being</w:t>
      </w:r>
      <w:r w:rsidR="003B797B" w:rsidRPr="0022431D">
        <w:rPr>
          <w:rFonts w:cs="Arial"/>
          <w:sz w:val="24"/>
          <w:szCs w:val="24"/>
        </w:rPr>
        <w:t xml:space="preserve"> </w:t>
      </w:r>
      <w:r w:rsidRPr="0022431D">
        <w:rPr>
          <w:rFonts w:cs="Arial"/>
          <w:sz w:val="24"/>
          <w:szCs w:val="24"/>
        </w:rPr>
        <w:t>Indigenous.</w:t>
      </w:r>
    </w:p>
    <w:p w14:paraId="65F07C8B" w14:textId="129BC978" w:rsidR="00FE1400" w:rsidRPr="0022431D" w:rsidRDefault="00FE1400" w:rsidP="00100676">
      <w:pPr>
        <w:pStyle w:val="ListParagraph"/>
        <w:numPr>
          <w:ilvl w:val="0"/>
          <w:numId w:val="19"/>
        </w:numPr>
        <w:spacing w:after="0" w:line="259" w:lineRule="auto"/>
        <w:rPr>
          <w:rFonts w:cs="Arial"/>
          <w:sz w:val="24"/>
          <w:szCs w:val="24"/>
        </w:rPr>
      </w:pPr>
      <w:r w:rsidRPr="0022431D">
        <w:rPr>
          <w:rFonts w:cs="Arial"/>
          <w:sz w:val="24"/>
          <w:szCs w:val="24"/>
        </w:rPr>
        <w:t>73% of students in special schools reported they had not received any assistance with jo</w:t>
      </w:r>
      <w:r w:rsidRPr="00C80417">
        <w:rPr>
          <w:rFonts w:cs="Arial"/>
          <w:sz w:val="24"/>
          <w:szCs w:val="24"/>
        </w:rPr>
        <w:t>b-seeking or job-placement.</w:t>
      </w:r>
      <w:r w:rsidR="00C80417" w:rsidRPr="00C80417">
        <w:rPr>
          <w:rFonts w:cs="Arial"/>
          <w:sz w:val="24"/>
          <w:szCs w:val="24"/>
        </w:rPr>
        <w:t xml:space="preserve"> (Victorian Government (2015) On Track Survey 2015)</w:t>
      </w:r>
    </w:p>
    <w:p w14:paraId="55E6D6CF" w14:textId="0D84C728" w:rsidR="00C80417" w:rsidRDefault="00FE1400" w:rsidP="00100676">
      <w:pPr>
        <w:pStyle w:val="ListParagraph"/>
        <w:numPr>
          <w:ilvl w:val="0"/>
          <w:numId w:val="19"/>
        </w:numPr>
        <w:spacing w:after="0" w:line="259" w:lineRule="auto"/>
        <w:rPr>
          <w:rFonts w:cs="Arial"/>
          <w:sz w:val="24"/>
          <w:szCs w:val="24"/>
        </w:rPr>
      </w:pPr>
      <w:r w:rsidRPr="0022431D">
        <w:rPr>
          <w:rFonts w:cs="Arial"/>
          <w:sz w:val="24"/>
          <w:szCs w:val="24"/>
        </w:rPr>
        <w:t>Only 6% of ex-students in Victorian special schools were in open employment six months after completing scho</w:t>
      </w:r>
      <w:r w:rsidRPr="00C80417">
        <w:rPr>
          <w:rFonts w:cs="Arial"/>
          <w:sz w:val="24"/>
          <w:szCs w:val="24"/>
        </w:rPr>
        <w:t>ol.</w:t>
      </w:r>
      <w:r w:rsidR="00C80417" w:rsidRPr="00C80417">
        <w:rPr>
          <w:rFonts w:cs="Arial"/>
          <w:sz w:val="24"/>
          <w:szCs w:val="24"/>
        </w:rPr>
        <w:t xml:space="preserve"> </w:t>
      </w:r>
      <w:r w:rsidR="00C80417">
        <w:rPr>
          <w:rFonts w:cs="Arial"/>
          <w:sz w:val="24"/>
          <w:szCs w:val="24"/>
        </w:rPr>
        <w:t>(</w:t>
      </w:r>
      <w:r w:rsidR="00C80417" w:rsidRPr="00C80417">
        <w:rPr>
          <w:rFonts w:cs="Arial"/>
          <w:sz w:val="24"/>
          <w:szCs w:val="24"/>
        </w:rPr>
        <w:t>Victorian Government (2015) On Track Survey 2015</w:t>
      </w:r>
      <w:r w:rsidR="00C80417">
        <w:rPr>
          <w:rFonts w:cs="Arial"/>
          <w:sz w:val="24"/>
          <w:szCs w:val="24"/>
        </w:rPr>
        <w:t>)</w:t>
      </w:r>
    </w:p>
    <w:p w14:paraId="2E5EFFB6" w14:textId="10EB9A47" w:rsidR="00FE1400" w:rsidRPr="00C80417" w:rsidRDefault="00C80417" w:rsidP="00C80417">
      <w:pPr>
        <w:spacing w:after="160" w:line="259" w:lineRule="auto"/>
        <w:rPr>
          <w:rFonts w:cs="Arial"/>
          <w:sz w:val="24"/>
          <w:szCs w:val="24"/>
        </w:rPr>
      </w:pPr>
      <w:r>
        <w:rPr>
          <w:rFonts w:cs="Arial"/>
          <w:sz w:val="24"/>
          <w:szCs w:val="24"/>
        </w:rPr>
        <w:br w:type="page"/>
      </w:r>
    </w:p>
    <w:p w14:paraId="13CB95C6" w14:textId="77777777" w:rsidR="00B028CC" w:rsidRPr="0022431D" w:rsidRDefault="00B028CC" w:rsidP="00100676">
      <w:pPr>
        <w:pStyle w:val="ListParagraph"/>
        <w:spacing w:after="0" w:line="259" w:lineRule="auto"/>
        <w:rPr>
          <w:rFonts w:cs="Arial"/>
          <w:sz w:val="24"/>
          <w:szCs w:val="24"/>
        </w:rPr>
      </w:pPr>
    </w:p>
    <w:p w14:paraId="043D86DA" w14:textId="16F70D74" w:rsidR="008973DE" w:rsidRPr="0022431D" w:rsidRDefault="008973DE" w:rsidP="00100676">
      <w:pPr>
        <w:spacing w:line="259" w:lineRule="auto"/>
        <w:rPr>
          <w:rFonts w:cs="Arial"/>
          <w:sz w:val="24"/>
          <w:szCs w:val="24"/>
        </w:rPr>
      </w:pPr>
      <w:r w:rsidRPr="0022431D">
        <w:rPr>
          <w:rFonts w:cs="Arial"/>
          <w:sz w:val="24"/>
          <w:szCs w:val="24"/>
        </w:rPr>
        <w:t>I</w:t>
      </w:r>
      <w:r w:rsidR="00C83510">
        <w:rPr>
          <w:rFonts w:cs="Arial"/>
          <w:sz w:val="24"/>
          <w:szCs w:val="24"/>
        </w:rPr>
        <w:t>t is i</w:t>
      </w:r>
      <w:r w:rsidRPr="0022431D">
        <w:rPr>
          <w:rFonts w:cs="Arial"/>
          <w:sz w:val="24"/>
          <w:szCs w:val="24"/>
        </w:rPr>
        <w:t xml:space="preserve">mportant to note that </w:t>
      </w:r>
      <w:proofErr w:type="gramStart"/>
      <w:r w:rsidR="00CB572C" w:rsidRPr="0022431D">
        <w:rPr>
          <w:rFonts w:cs="Arial"/>
          <w:sz w:val="24"/>
          <w:szCs w:val="24"/>
        </w:rPr>
        <w:t>the majority of</w:t>
      </w:r>
      <w:proofErr w:type="gramEnd"/>
      <w:r w:rsidR="00CB572C" w:rsidRPr="0022431D">
        <w:rPr>
          <w:rFonts w:cs="Arial"/>
          <w:sz w:val="24"/>
          <w:szCs w:val="24"/>
        </w:rPr>
        <w:t xml:space="preserve"> students with disability attend mainstream education settings</w:t>
      </w:r>
      <w:r w:rsidR="00C83510">
        <w:rPr>
          <w:rFonts w:cs="Arial"/>
          <w:sz w:val="24"/>
          <w:szCs w:val="24"/>
        </w:rPr>
        <w:t>:</w:t>
      </w:r>
      <w:r w:rsidR="00CB572C" w:rsidRPr="0022431D">
        <w:rPr>
          <w:rFonts w:cs="Arial"/>
          <w:sz w:val="24"/>
          <w:szCs w:val="24"/>
        </w:rPr>
        <w:t xml:space="preserve"> </w:t>
      </w:r>
      <w:r w:rsidRPr="0022431D">
        <w:rPr>
          <w:rFonts w:cs="Arial"/>
          <w:sz w:val="24"/>
          <w:szCs w:val="24"/>
        </w:rPr>
        <w:t>89% of students with a disability attend mainstream schools</w:t>
      </w:r>
      <w:r w:rsidR="00C83510">
        <w:rPr>
          <w:rFonts w:cs="Arial"/>
          <w:sz w:val="24"/>
          <w:szCs w:val="24"/>
        </w:rPr>
        <w:t xml:space="preserve">; </w:t>
      </w:r>
      <w:r w:rsidRPr="0022431D">
        <w:rPr>
          <w:rFonts w:cs="Arial"/>
          <w:sz w:val="24"/>
          <w:szCs w:val="24"/>
        </w:rPr>
        <w:t>80% of students with severe or profound disability attend mainstream schools.</w:t>
      </w:r>
    </w:p>
    <w:p w14:paraId="476B1C55" w14:textId="3A119B7C" w:rsidR="008973DE" w:rsidRPr="0022431D" w:rsidRDefault="008973DE" w:rsidP="00C80417">
      <w:pPr>
        <w:spacing w:line="259" w:lineRule="auto"/>
        <w:rPr>
          <w:rFonts w:eastAsia="Times New Roman" w:cs="Arial"/>
          <w:color w:val="45494B"/>
          <w:sz w:val="24"/>
          <w:szCs w:val="24"/>
          <w:lang w:eastAsia="en-AU"/>
        </w:rPr>
      </w:pPr>
      <w:r w:rsidRPr="0022431D">
        <w:rPr>
          <w:rFonts w:cs="Arial"/>
          <w:sz w:val="24"/>
          <w:szCs w:val="24"/>
        </w:rPr>
        <w:t>Though Year 12 or equivalent attainment for young people with disability is on the rise, it is still much less than their peers</w:t>
      </w:r>
      <w:r w:rsidR="00E053B4">
        <w:rPr>
          <w:rFonts w:cs="Arial"/>
          <w:sz w:val="24"/>
          <w:szCs w:val="24"/>
        </w:rPr>
        <w:t xml:space="preserve"> without disability</w:t>
      </w:r>
      <w:r w:rsidR="00C83510">
        <w:rPr>
          <w:rFonts w:cs="Arial"/>
          <w:sz w:val="24"/>
          <w:szCs w:val="24"/>
        </w:rPr>
        <w:t xml:space="preserve">. </w:t>
      </w:r>
      <w:r w:rsidR="00C83510" w:rsidRPr="0022431D">
        <w:rPr>
          <w:rFonts w:cs="Arial"/>
          <w:sz w:val="24"/>
          <w:szCs w:val="24"/>
        </w:rPr>
        <w:t xml:space="preserve">For students with disability, only around 32 per cent complete Year </w:t>
      </w:r>
      <w:r w:rsidR="00C80417" w:rsidRPr="0022431D">
        <w:rPr>
          <w:rFonts w:cs="Arial"/>
          <w:sz w:val="24"/>
          <w:szCs w:val="24"/>
        </w:rPr>
        <w:t>12</w:t>
      </w:r>
      <w:r w:rsidR="003334A6">
        <w:rPr>
          <w:rFonts w:cs="Arial"/>
          <w:sz w:val="24"/>
          <w:szCs w:val="24"/>
        </w:rPr>
        <w:t xml:space="preserve"> </w:t>
      </w:r>
      <w:r w:rsidR="00C80417" w:rsidRPr="00C80417">
        <w:rPr>
          <w:rFonts w:cs="Arial"/>
          <w:sz w:val="24"/>
          <w:szCs w:val="24"/>
        </w:rPr>
        <w:t>(</w:t>
      </w:r>
      <w:r w:rsidR="00C80417" w:rsidRPr="00C80417">
        <w:rPr>
          <w:sz w:val="24"/>
          <w:szCs w:val="24"/>
        </w:rPr>
        <w:t>Australian Institute of Health and Welfare (2019a</w:t>
      </w:r>
      <w:r w:rsidR="00C80417" w:rsidRPr="00C80417">
        <w:rPr>
          <w:rFonts w:cs="Arial"/>
          <w:sz w:val="24"/>
          <w:szCs w:val="24"/>
        </w:rPr>
        <w:t>)</w:t>
      </w:r>
      <w:r w:rsidR="00C80417">
        <w:rPr>
          <w:rFonts w:cs="Arial"/>
          <w:sz w:val="24"/>
          <w:szCs w:val="24"/>
        </w:rPr>
        <w:t>.</w:t>
      </w:r>
    </w:p>
    <w:p w14:paraId="732AB920" w14:textId="1ECBD30A" w:rsidR="008973DE" w:rsidRDefault="008973DE" w:rsidP="00A85EC4">
      <w:pPr>
        <w:spacing w:line="259" w:lineRule="auto"/>
        <w:rPr>
          <w:rFonts w:cs="Arial"/>
          <w:sz w:val="24"/>
          <w:szCs w:val="24"/>
        </w:rPr>
      </w:pPr>
      <w:r w:rsidRPr="0022431D">
        <w:rPr>
          <w:rFonts w:cs="Arial"/>
          <w:sz w:val="24"/>
          <w:szCs w:val="24"/>
        </w:rPr>
        <w:t>Australia has one of the lowest rates of employment for people with disability in the OECD</w:t>
      </w:r>
      <w:r w:rsidR="00C83510">
        <w:rPr>
          <w:rFonts w:cs="Arial"/>
          <w:sz w:val="24"/>
          <w:szCs w:val="24"/>
        </w:rPr>
        <w:t xml:space="preserve"> and</w:t>
      </w:r>
      <w:r w:rsidRPr="0022431D">
        <w:rPr>
          <w:rFonts w:cs="Arial"/>
          <w:sz w:val="24"/>
          <w:szCs w:val="24"/>
        </w:rPr>
        <w:t xml:space="preserve"> Victoria has one of lowest</w:t>
      </w:r>
      <w:r w:rsidR="00C83510">
        <w:rPr>
          <w:rFonts w:cs="Arial"/>
          <w:sz w:val="24"/>
          <w:szCs w:val="24"/>
        </w:rPr>
        <w:t xml:space="preserve"> rates</w:t>
      </w:r>
      <w:r w:rsidRPr="0022431D">
        <w:rPr>
          <w:rFonts w:cs="Arial"/>
          <w:sz w:val="24"/>
          <w:szCs w:val="24"/>
        </w:rPr>
        <w:t xml:space="preserve"> in Australia</w:t>
      </w:r>
      <w:r w:rsidR="00C83510">
        <w:rPr>
          <w:rFonts w:cs="Arial"/>
          <w:sz w:val="24"/>
          <w:szCs w:val="24"/>
        </w:rPr>
        <w:t xml:space="preserve"> [</w:t>
      </w:r>
      <w:r w:rsidR="00E03C63" w:rsidRPr="0022431D">
        <w:rPr>
          <w:rFonts w:cs="Arial"/>
          <w:sz w:val="24"/>
          <w:szCs w:val="24"/>
        </w:rPr>
        <w:t>see graph below of NDIS participants</w:t>
      </w:r>
      <w:r w:rsidR="00C83510">
        <w:rPr>
          <w:rFonts w:cs="Arial"/>
          <w:sz w:val="24"/>
          <w:szCs w:val="24"/>
        </w:rPr>
        <w:t>]</w:t>
      </w:r>
      <w:r w:rsidRPr="0022431D">
        <w:rPr>
          <w:rFonts w:cs="Arial"/>
          <w:sz w:val="24"/>
          <w:szCs w:val="24"/>
        </w:rPr>
        <w:t xml:space="preserve">. A University of Sydney study found that the education and employment gap between young people with disability and those without disability has widened </w:t>
      </w:r>
      <w:r w:rsidRPr="0022431D">
        <w:rPr>
          <w:rFonts w:cs="Arial"/>
          <w:sz w:val="24"/>
          <w:szCs w:val="24"/>
        </w:rPr>
        <w:fldChar w:fldCharType="begin"/>
      </w:r>
      <w:r w:rsidRPr="0022431D">
        <w:rPr>
          <w:rFonts w:cs="Arial"/>
          <w:sz w:val="24"/>
          <w:szCs w:val="24"/>
        </w:rPr>
        <w:instrText xml:space="preserve"> ADDIN EN.CITE &lt;EndNote&gt;&lt;Cite&gt;&lt;Author&gt;Emerson&lt;/Author&gt;&lt;Year&gt;2014&lt;/Year&gt;&lt;RecNum&gt;34&lt;/RecNum&gt;&lt;DisplayText&gt;(Emerson &amp;amp; Llewellyn, 2014)&lt;/DisplayText&gt;&lt;record&gt;&lt;rec-number&gt;34&lt;/rec-number&gt;&lt;foreign-keys&gt;&lt;key app="EN" db-id="stx5satavvxdvveepsx59affx9z95f5v2rzw" timestamp="1562122635"&gt;34&lt;/key&gt;&lt;/foreign-keys&gt;&lt;ref-type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Pr="0022431D">
        <w:rPr>
          <w:rFonts w:cs="Arial"/>
          <w:sz w:val="24"/>
          <w:szCs w:val="24"/>
        </w:rPr>
        <w:fldChar w:fldCharType="separate"/>
      </w:r>
      <w:r w:rsidRPr="0022431D">
        <w:rPr>
          <w:rFonts w:cs="Arial"/>
          <w:noProof/>
          <w:sz w:val="24"/>
          <w:szCs w:val="24"/>
        </w:rPr>
        <w:t>(Emerson &amp; Llewellyn, 2014)</w:t>
      </w:r>
      <w:r w:rsidRPr="0022431D">
        <w:rPr>
          <w:rFonts w:cs="Arial"/>
          <w:sz w:val="24"/>
          <w:szCs w:val="24"/>
        </w:rPr>
        <w:fldChar w:fldCharType="end"/>
      </w:r>
      <w:r w:rsidRPr="0022431D">
        <w:rPr>
          <w:rFonts w:cs="Arial"/>
          <w:sz w:val="24"/>
          <w:szCs w:val="24"/>
        </w:rPr>
        <w:t>.</w:t>
      </w:r>
    </w:p>
    <w:p w14:paraId="5BC81ACB" w14:textId="77777777" w:rsidR="003334A6" w:rsidRPr="0022431D" w:rsidRDefault="003334A6" w:rsidP="00A85EC4">
      <w:pPr>
        <w:spacing w:line="259" w:lineRule="auto"/>
        <w:rPr>
          <w:rFonts w:cs="Arial"/>
          <w:sz w:val="24"/>
          <w:szCs w:val="24"/>
        </w:rPr>
      </w:pPr>
    </w:p>
    <w:p w14:paraId="490CEF12" w14:textId="77777777" w:rsidR="008973DE" w:rsidRPr="00DD2003" w:rsidRDefault="008973DE" w:rsidP="00100676">
      <w:pPr>
        <w:pStyle w:val="Heading2"/>
        <w:shd w:val="clear" w:color="auto" w:fill="FFFFFF"/>
        <w:spacing w:before="0" w:after="225" w:line="259" w:lineRule="auto"/>
        <w:textAlignment w:val="baseline"/>
        <w:rPr>
          <w:rFonts w:ascii="Arial" w:hAnsi="Arial" w:cs="Arial"/>
          <w:bCs/>
          <w:color w:val="292929"/>
          <w:sz w:val="32"/>
          <w:szCs w:val="32"/>
        </w:rPr>
      </w:pPr>
      <w:r w:rsidRPr="00DD2003">
        <w:rPr>
          <w:rFonts w:ascii="Arial" w:hAnsi="Arial" w:cs="Arial"/>
          <w:bCs/>
          <w:color w:val="292929"/>
          <w:sz w:val="32"/>
          <w:szCs w:val="32"/>
        </w:rPr>
        <w:t xml:space="preserve">NDIS Data </w:t>
      </w:r>
    </w:p>
    <w:p w14:paraId="103C557E" w14:textId="77777777" w:rsidR="008973DE" w:rsidRPr="0022431D" w:rsidRDefault="008973DE" w:rsidP="00100676">
      <w:pPr>
        <w:pStyle w:val="EndnoteText"/>
        <w:spacing w:line="259" w:lineRule="auto"/>
        <w:rPr>
          <w:rFonts w:cs="Arial"/>
          <w:sz w:val="24"/>
          <w:szCs w:val="24"/>
          <w:lang w:val="en-US"/>
        </w:rPr>
      </w:pPr>
      <w:r w:rsidRPr="0022431D">
        <w:rPr>
          <w:rFonts w:cs="Arial"/>
          <w:noProof/>
          <w:sz w:val="24"/>
          <w:szCs w:val="24"/>
          <w:lang w:eastAsia="en-AU"/>
        </w:rPr>
        <w:drawing>
          <wp:inline distT="0" distB="0" distL="0" distR="0" wp14:anchorId="52B2439D" wp14:editId="041B933D">
            <wp:extent cx="4572000" cy="2743200"/>
            <wp:effectExtent l="0" t="0" r="0" b="0"/>
            <wp:docPr id="9" name="Chart 9" descr="NDIS Data Graph. Graph heading 15-24 year NDIS participant with a paid job September 2020.&#10;The graph shows that the ACT had 28%, South Australia had 22%, Western Australia had 22%, Queensland 18%, New South Wales 17%, Victoria16%, Northern Terrority12% and Tasmania 11%.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A86EFA" w14:textId="77777777" w:rsidR="008973DE" w:rsidRPr="0022431D" w:rsidRDefault="008973DE" w:rsidP="00100676">
      <w:pPr>
        <w:pStyle w:val="EndnoteText"/>
        <w:spacing w:line="259" w:lineRule="auto"/>
        <w:rPr>
          <w:rFonts w:cs="Arial"/>
          <w:sz w:val="24"/>
          <w:szCs w:val="24"/>
          <w:lang w:val="en-US"/>
        </w:rPr>
      </w:pPr>
    </w:p>
    <w:p w14:paraId="41266341" w14:textId="77777777" w:rsidR="00DD2003" w:rsidRDefault="008973DE" w:rsidP="00100676">
      <w:pPr>
        <w:pStyle w:val="EndnoteText"/>
        <w:spacing w:line="259" w:lineRule="auto"/>
        <w:rPr>
          <w:rFonts w:cs="Arial"/>
          <w:sz w:val="24"/>
          <w:szCs w:val="24"/>
          <w:lang w:val="en-US"/>
        </w:rPr>
      </w:pPr>
      <w:r w:rsidRPr="00DD2003">
        <w:rPr>
          <w:rFonts w:cs="Arial"/>
          <w:sz w:val="24"/>
          <w:szCs w:val="24"/>
          <w:lang w:val="en-US"/>
        </w:rPr>
        <w:t xml:space="preserve">NDIS Baseline Outcome Indicator Data as </w:t>
      </w:r>
      <w:proofErr w:type="gramStart"/>
      <w:r w:rsidRPr="00DD2003">
        <w:rPr>
          <w:rFonts w:cs="Arial"/>
          <w:sz w:val="24"/>
          <w:szCs w:val="24"/>
          <w:lang w:val="en-US"/>
        </w:rPr>
        <w:t>at</w:t>
      </w:r>
      <w:proofErr w:type="gramEnd"/>
      <w:r w:rsidRPr="00DD2003">
        <w:rPr>
          <w:rFonts w:cs="Arial"/>
          <w:sz w:val="24"/>
          <w:szCs w:val="24"/>
          <w:lang w:val="en-US"/>
        </w:rPr>
        <w:t xml:space="preserve"> 30 September 2020 (Downloaded from NDIA website</w:t>
      </w:r>
      <w:r w:rsidR="00DD2003">
        <w:rPr>
          <w:rFonts w:cs="Arial"/>
          <w:sz w:val="24"/>
          <w:szCs w:val="24"/>
          <w:lang w:val="en-US"/>
        </w:rPr>
        <w:t xml:space="preserve"> </w:t>
      </w:r>
      <w:hyperlink r:id="rId14" w:history="1">
        <w:r w:rsidR="00DD2003" w:rsidRPr="00DD2003">
          <w:rPr>
            <w:rStyle w:val="Hyperlink"/>
            <w:rFonts w:cs="Arial"/>
            <w:sz w:val="24"/>
            <w:szCs w:val="24"/>
            <w:lang w:val="en-US"/>
          </w:rPr>
          <w:t>here</w:t>
        </w:r>
      </w:hyperlink>
      <w:r w:rsidR="00DD2003">
        <w:rPr>
          <w:rFonts w:cs="Arial"/>
          <w:sz w:val="24"/>
          <w:szCs w:val="24"/>
          <w:lang w:val="en-US"/>
        </w:rPr>
        <w:t>.</w:t>
      </w:r>
    </w:p>
    <w:p w14:paraId="24EFACBC" w14:textId="77777777" w:rsidR="00DD2003" w:rsidRDefault="00DD2003">
      <w:pPr>
        <w:spacing w:after="160" w:line="259" w:lineRule="auto"/>
        <w:rPr>
          <w:rFonts w:cs="Arial"/>
          <w:sz w:val="24"/>
          <w:szCs w:val="24"/>
          <w:lang w:val="en-US"/>
        </w:rPr>
      </w:pPr>
      <w:r>
        <w:rPr>
          <w:rFonts w:cs="Arial"/>
          <w:sz w:val="24"/>
          <w:szCs w:val="24"/>
          <w:lang w:val="en-US"/>
        </w:rPr>
        <w:br w:type="page"/>
      </w:r>
    </w:p>
    <w:p w14:paraId="59B67377" w14:textId="78BA7A38" w:rsidR="008973DE" w:rsidRPr="0022431D" w:rsidRDefault="00DD2003" w:rsidP="00100676">
      <w:pPr>
        <w:pStyle w:val="EndnoteText"/>
        <w:spacing w:line="259" w:lineRule="auto"/>
        <w:rPr>
          <w:rFonts w:cs="Arial"/>
          <w:sz w:val="24"/>
          <w:szCs w:val="24"/>
          <w:lang w:val="en-US"/>
        </w:rPr>
      </w:pPr>
      <w:r>
        <w:rPr>
          <w:rFonts w:cs="Arial"/>
          <w:sz w:val="24"/>
          <w:szCs w:val="24"/>
          <w:lang w:val="en-US"/>
        </w:rPr>
        <w:lastRenderedPageBreak/>
        <w:t xml:space="preserve"> </w:t>
      </w:r>
    </w:p>
    <w:p w14:paraId="477885CE" w14:textId="0C6BED72" w:rsidR="00E03C63" w:rsidRPr="00DD2003" w:rsidRDefault="00C83510" w:rsidP="00100676">
      <w:pPr>
        <w:pStyle w:val="NoSpacing"/>
        <w:spacing w:before="100" w:beforeAutospacing="1" w:after="120" w:line="259" w:lineRule="auto"/>
        <w:rPr>
          <w:sz w:val="32"/>
          <w:szCs w:val="32"/>
        </w:rPr>
      </w:pPr>
      <w:r w:rsidRPr="00DD2003">
        <w:rPr>
          <w:sz w:val="36"/>
          <w:szCs w:val="36"/>
        </w:rPr>
        <w:t>In responding to the Firth Review</w:t>
      </w:r>
      <w:r w:rsidR="00260EA1" w:rsidRPr="00DD2003">
        <w:rPr>
          <w:sz w:val="36"/>
          <w:szCs w:val="36"/>
        </w:rPr>
        <w:t>,</w:t>
      </w:r>
      <w:r w:rsidRPr="00DD2003">
        <w:rPr>
          <w:sz w:val="36"/>
          <w:szCs w:val="36"/>
        </w:rPr>
        <w:t xml:space="preserve"> the Government</w:t>
      </w:r>
      <w:r w:rsidR="00DE3DC5" w:rsidRPr="00DD2003">
        <w:rPr>
          <w:sz w:val="36"/>
          <w:szCs w:val="36"/>
        </w:rPr>
        <w:t xml:space="preserve"> has </w:t>
      </w:r>
      <w:r w:rsidRPr="00DD2003">
        <w:rPr>
          <w:sz w:val="36"/>
          <w:szCs w:val="36"/>
        </w:rPr>
        <w:t xml:space="preserve">the responsibility </w:t>
      </w:r>
      <w:r w:rsidR="00DE3DC5" w:rsidRPr="00DD2003">
        <w:rPr>
          <w:sz w:val="36"/>
          <w:szCs w:val="36"/>
        </w:rPr>
        <w:t>to ensure any reform is evidenced based and built on learning international and in Australia</w:t>
      </w:r>
      <w:r w:rsidR="00DE3DC5" w:rsidRPr="00DD2003">
        <w:rPr>
          <w:sz w:val="32"/>
          <w:szCs w:val="32"/>
        </w:rPr>
        <w:t>.</w:t>
      </w:r>
    </w:p>
    <w:p w14:paraId="75B2070D" w14:textId="4FAFA1C2" w:rsidR="00C83510" w:rsidRPr="00DD2003" w:rsidRDefault="00DD2003" w:rsidP="00100676">
      <w:pPr>
        <w:pStyle w:val="NoSpacing"/>
        <w:spacing w:before="100" w:beforeAutospacing="1" w:after="120" w:line="259" w:lineRule="auto"/>
        <w:rPr>
          <w:bCs/>
          <w:sz w:val="32"/>
          <w:szCs w:val="32"/>
        </w:rPr>
      </w:pPr>
      <w:r w:rsidRPr="00DD2003">
        <w:rPr>
          <w:bCs/>
          <w:sz w:val="32"/>
          <w:szCs w:val="32"/>
        </w:rPr>
        <w:t>What the research is telling us</w:t>
      </w:r>
    </w:p>
    <w:p w14:paraId="49C5680C" w14:textId="77777777" w:rsidR="006B308F" w:rsidRPr="00DD2003" w:rsidRDefault="006B308F" w:rsidP="00100676">
      <w:pPr>
        <w:pStyle w:val="NoSpacing"/>
        <w:spacing w:before="100" w:beforeAutospacing="1" w:after="120" w:line="259" w:lineRule="auto"/>
        <w:rPr>
          <w:bCs/>
          <w:sz w:val="32"/>
          <w:szCs w:val="32"/>
        </w:rPr>
      </w:pPr>
      <w:r w:rsidRPr="00DD2003">
        <w:rPr>
          <w:bCs/>
          <w:sz w:val="32"/>
          <w:szCs w:val="32"/>
        </w:rPr>
        <w:t>International</w:t>
      </w:r>
      <w:r w:rsidR="00C83510" w:rsidRPr="00DD2003">
        <w:rPr>
          <w:bCs/>
          <w:sz w:val="32"/>
          <w:szCs w:val="32"/>
        </w:rPr>
        <w:t xml:space="preserve"> Research</w:t>
      </w:r>
    </w:p>
    <w:p w14:paraId="3535649C" w14:textId="206430A7" w:rsidR="00C83510" w:rsidRPr="00A12035" w:rsidRDefault="006B308F" w:rsidP="00100676">
      <w:pPr>
        <w:pStyle w:val="NoSpacing"/>
        <w:spacing w:before="100" w:beforeAutospacing="1" w:after="120" w:line="259" w:lineRule="auto"/>
        <w:rPr>
          <w:sz w:val="24"/>
          <w:szCs w:val="24"/>
        </w:rPr>
      </w:pPr>
      <w:r w:rsidRPr="00A12035">
        <w:rPr>
          <w:sz w:val="24"/>
          <w:szCs w:val="24"/>
        </w:rPr>
        <w:t xml:space="preserve">There has been significant international effort to determine </w:t>
      </w:r>
      <w:r w:rsidR="00260EA1">
        <w:rPr>
          <w:sz w:val="24"/>
          <w:szCs w:val="24"/>
        </w:rPr>
        <w:t xml:space="preserve">the </w:t>
      </w:r>
      <w:r w:rsidRPr="00A12035">
        <w:rPr>
          <w:sz w:val="24"/>
          <w:szCs w:val="24"/>
        </w:rPr>
        <w:t>elements to improve economic participation of young people with disability.</w:t>
      </w:r>
    </w:p>
    <w:p w14:paraId="5C617CC0" w14:textId="48BBB0C2" w:rsidR="0022431D" w:rsidRPr="00A12035" w:rsidRDefault="00C83510" w:rsidP="00100676">
      <w:pPr>
        <w:pStyle w:val="NoSpacing"/>
        <w:spacing w:before="100" w:beforeAutospacing="1" w:after="120" w:line="259" w:lineRule="auto"/>
        <w:rPr>
          <w:color w:val="0563C1" w:themeColor="hyperlink"/>
          <w:sz w:val="24"/>
          <w:szCs w:val="24"/>
          <w:u w:val="single"/>
        </w:rPr>
      </w:pPr>
      <w:r w:rsidRPr="00A12035">
        <w:rPr>
          <w:sz w:val="24"/>
          <w:szCs w:val="24"/>
        </w:rPr>
        <w:t>The r</w:t>
      </w:r>
      <w:r w:rsidR="006B308F" w:rsidRPr="00A12035">
        <w:rPr>
          <w:sz w:val="24"/>
          <w:szCs w:val="24"/>
        </w:rPr>
        <w:t xml:space="preserve">esearch has produced a consistent set of predictors of in-school activities that positively correlate with post school success in education, employment, and independent </w:t>
      </w:r>
      <w:r w:rsidR="00B9371B" w:rsidRPr="00A12035">
        <w:rPr>
          <w:sz w:val="24"/>
          <w:szCs w:val="24"/>
        </w:rPr>
        <w:t>livin</w:t>
      </w:r>
      <w:r w:rsidR="00CD5129">
        <w:rPr>
          <w:sz w:val="24"/>
          <w:szCs w:val="24"/>
        </w:rPr>
        <w:t>g</w:t>
      </w:r>
      <w:r w:rsidR="00B9371B" w:rsidRPr="00B9371B">
        <w:rPr>
          <w:sz w:val="24"/>
          <w:szCs w:val="24"/>
        </w:rPr>
        <w:t xml:space="preserve"> (</w:t>
      </w:r>
      <w:r w:rsidR="00DD2003" w:rsidRPr="00B9371B">
        <w:rPr>
          <w:sz w:val="24"/>
          <w:szCs w:val="24"/>
          <w:lang w:val="en-US"/>
        </w:rPr>
        <w:t>Carter, Erik &amp; Austin, Diane &amp; Trainor, Audrey. (2012)</w:t>
      </w:r>
      <w:r w:rsidR="00B9371B" w:rsidRPr="00B9371B">
        <w:rPr>
          <w:sz w:val="24"/>
          <w:szCs w:val="24"/>
          <w:lang w:val="en-US"/>
        </w:rPr>
        <w:t xml:space="preserve">, </w:t>
      </w:r>
      <w:r w:rsidR="00B9371B">
        <w:rPr>
          <w:sz w:val="24"/>
          <w:szCs w:val="24"/>
          <w:lang w:val="en-US"/>
        </w:rPr>
        <w:t>(</w:t>
      </w:r>
      <w:proofErr w:type="spellStart"/>
      <w:r w:rsidR="00B9371B" w:rsidRPr="00B9371B">
        <w:rPr>
          <w:sz w:val="24"/>
          <w:szCs w:val="24"/>
        </w:rPr>
        <w:t>Mazzotti</w:t>
      </w:r>
      <w:proofErr w:type="spellEnd"/>
      <w:r w:rsidR="00B9371B" w:rsidRPr="00B9371B">
        <w:rPr>
          <w:sz w:val="24"/>
          <w:szCs w:val="24"/>
        </w:rPr>
        <w:t xml:space="preserve">, Valerie L.; Rowe, Dawn A.; </w:t>
      </w:r>
      <w:proofErr w:type="spellStart"/>
      <w:r w:rsidR="00B9371B" w:rsidRPr="00B9371B">
        <w:rPr>
          <w:sz w:val="24"/>
          <w:szCs w:val="24"/>
        </w:rPr>
        <w:t>Kwiatek</w:t>
      </w:r>
      <w:proofErr w:type="spellEnd"/>
      <w:r w:rsidR="00B9371B" w:rsidRPr="00B9371B">
        <w:rPr>
          <w:sz w:val="24"/>
          <w:szCs w:val="24"/>
        </w:rPr>
        <w:t xml:space="preserve">, Stephen; </w:t>
      </w:r>
      <w:proofErr w:type="spellStart"/>
      <w:r w:rsidR="00B9371B" w:rsidRPr="00B9371B">
        <w:rPr>
          <w:sz w:val="24"/>
          <w:szCs w:val="24"/>
        </w:rPr>
        <w:t>Voggt</w:t>
      </w:r>
      <w:proofErr w:type="spellEnd"/>
      <w:r w:rsidR="00B9371B" w:rsidRPr="00B9371B">
        <w:rPr>
          <w:sz w:val="24"/>
          <w:szCs w:val="24"/>
        </w:rPr>
        <w:t>, Ashley; Chang, Wen-</w:t>
      </w:r>
      <w:proofErr w:type="spellStart"/>
      <w:r w:rsidR="00B9371B" w:rsidRPr="00B9371B">
        <w:rPr>
          <w:sz w:val="24"/>
          <w:szCs w:val="24"/>
        </w:rPr>
        <w:t>Hsuan</w:t>
      </w:r>
      <w:proofErr w:type="spellEnd"/>
      <w:r w:rsidR="00B9371B" w:rsidRPr="00B9371B">
        <w:rPr>
          <w:sz w:val="24"/>
          <w:szCs w:val="24"/>
        </w:rPr>
        <w:t>; Fowler, Catherine H.; et al. (2020), (Sheppard, L., Harrington, R. &amp; Howard, K. (2017).</w:t>
      </w:r>
    </w:p>
    <w:p w14:paraId="22FBC7EA" w14:textId="7574063C" w:rsidR="006B308F" w:rsidRPr="0022431D" w:rsidRDefault="006B308F" w:rsidP="00100676">
      <w:pPr>
        <w:spacing w:line="259" w:lineRule="auto"/>
        <w:rPr>
          <w:rFonts w:cs="Arial"/>
          <w:sz w:val="24"/>
          <w:szCs w:val="24"/>
        </w:rPr>
      </w:pPr>
      <w:r w:rsidRPr="00A12035">
        <w:rPr>
          <w:rFonts w:cs="Arial"/>
          <w:sz w:val="24"/>
          <w:szCs w:val="24"/>
        </w:rPr>
        <w:t xml:space="preserve">From 1987 to </w:t>
      </w:r>
      <w:r w:rsidR="00341263" w:rsidRPr="00A12035">
        <w:rPr>
          <w:rFonts w:cs="Arial"/>
          <w:sz w:val="24"/>
          <w:szCs w:val="24"/>
        </w:rPr>
        <w:t xml:space="preserve">the </w:t>
      </w:r>
      <w:r w:rsidRPr="00A12035">
        <w:rPr>
          <w:rFonts w:cs="Arial"/>
          <w:sz w:val="24"/>
          <w:szCs w:val="24"/>
        </w:rPr>
        <w:t xml:space="preserve">present, the U.S. Department of Education </w:t>
      </w:r>
      <w:r w:rsidR="00341263" w:rsidRPr="00A12035">
        <w:rPr>
          <w:rFonts w:cs="Arial"/>
          <w:sz w:val="24"/>
          <w:szCs w:val="24"/>
        </w:rPr>
        <w:t xml:space="preserve">has </w:t>
      </w:r>
      <w:r w:rsidRPr="00A12035">
        <w:rPr>
          <w:rFonts w:cs="Arial"/>
          <w:sz w:val="24"/>
          <w:szCs w:val="24"/>
        </w:rPr>
        <w:t>funded a series of National L</w:t>
      </w:r>
      <w:r w:rsidR="00DE3DC5" w:rsidRPr="00A12035">
        <w:rPr>
          <w:rFonts w:cs="Arial"/>
          <w:sz w:val="24"/>
          <w:szCs w:val="24"/>
        </w:rPr>
        <w:t xml:space="preserve">ongitudinal Transition Studies </w:t>
      </w:r>
      <w:r w:rsidRPr="00A12035">
        <w:rPr>
          <w:rFonts w:cs="Arial"/>
          <w:sz w:val="24"/>
          <w:szCs w:val="24"/>
        </w:rPr>
        <w:t>which followed youth with disabilities during and after high school.</w:t>
      </w:r>
    </w:p>
    <w:p w14:paraId="303120A5" w14:textId="77777777" w:rsidR="006B308F" w:rsidRPr="0022431D" w:rsidRDefault="00341263" w:rsidP="00100676">
      <w:pPr>
        <w:spacing w:line="259" w:lineRule="auto"/>
        <w:rPr>
          <w:rFonts w:cs="Arial"/>
          <w:sz w:val="24"/>
          <w:szCs w:val="24"/>
        </w:rPr>
      </w:pPr>
      <w:r>
        <w:rPr>
          <w:rFonts w:cs="Arial"/>
          <w:sz w:val="24"/>
          <w:szCs w:val="24"/>
        </w:rPr>
        <w:t>The r</w:t>
      </w:r>
      <w:r w:rsidR="006B308F" w:rsidRPr="0022431D">
        <w:rPr>
          <w:rFonts w:cs="Arial"/>
          <w:sz w:val="24"/>
          <w:szCs w:val="24"/>
        </w:rPr>
        <w:t>esearch has produced a consistent set of predictors of in-school activities that positively correlate with post-school success in education, employment, and independent living. Those that are statistically significant include</w:t>
      </w:r>
      <w:r>
        <w:rPr>
          <w:rFonts w:cs="Arial"/>
          <w:sz w:val="24"/>
          <w:szCs w:val="24"/>
        </w:rPr>
        <w:t>:</w:t>
      </w:r>
      <w:r w:rsidR="006B308F" w:rsidRPr="0022431D">
        <w:rPr>
          <w:rFonts w:cs="Arial"/>
          <w:sz w:val="24"/>
          <w:szCs w:val="24"/>
        </w:rPr>
        <w:t xml:space="preserve"> </w:t>
      </w:r>
    </w:p>
    <w:p w14:paraId="67BE1C1A" w14:textId="5A158A76" w:rsidR="006B308F" w:rsidRPr="00241ADA" w:rsidRDefault="006B308F" w:rsidP="00100676">
      <w:pPr>
        <w:pStyle w:val="ListParagraph"/>
        <w:numPr>
          <w:ilvl w:val="0"/>
          <w:numId w:val="13"/>
        </w:numPr>
        <w:spacing w:line="259" w:lineRule="auto"/>
        <w:rPr>
          <w:rFonts w:cs="Arial"/>
          <w:szCs w:val="20"/>
        </w:rPr>
      </w:pPr>
      <w:r w:rsidRPr="0022431D">
        <w:rPr>
          <w:rFonts w:cs="Arial"/>
          <w:sz w:val="24"/>
          <w:szCs w:val="24"/>
        </w:rPr>
        <w:t>participation in career and vocational education</w:t>
      </w:r>
      <w:r w:rsidR="00260EA1">
        <w:rPr>
          <w:rFonts w:cs="Arial"/>
          <w:sz w:val="24"/>
          <w:szCs w:val="24"/>
        </w:rPr>
        <w:t>.</w:t>
      </w:r>
      <w:r w:rsidR="00B9371B">
        <w:rPr>
          <w:rFonts w:cs="Arial"/>
          <w:sz w:val="24"/>
          <w:szCs w:val="24"/>
        </w:rPr>
        <w:t xml:space="preserve"> </w:t>
      </w:r>
      <w:r w:rsidR="00B9371B" w:rsidRPr="00B9371B">
        <w:rPr>
          <w:rFonts w:cs="Arial"/>
          <w:sz w:val="24"/>
          <w:szCs w:val="24"/>
        </w:rPr>
        <w:t>(</w:t>
      </w:r>
      <w:r w:rsidR="00B9371B" w:rsidRPr="00B9371B">
        <w:rPr>
          <w:sz w:val="24"/>
          <w:szCs w:val="24"/>
        </w:rPr>
        <w:t>Vocational education and training (VDSS)</w:t>
      </w:r>
    </w:p>
    <w:p w14:paraId="0348FA33" w14:textId="6378DEC9" w:rsidR="006B308F" w:rsidRPr="0022431D" w:rsidRDefault="006B308F" w:rsidP="00100676">
      <w:pPr>
        <w:pStyle w:val="ListParagraph"/>
        <w:numPr>
          <w:ilvl w:val="0"/>
          <w:numId w:val="13"/>
        </w:numPr>
        <w:spacing w:line="259" w:lineRule="auto"/>
        <w:rPr>
          <w:rFonts w:cs="Arial"/>
          <w:sz w:val="24"/>
          <w:szCs w:val="24"/>
        </w:rPr>
      </w:pPr>
      <w:r w:rsidRPr="0022431D">
        <w:rPr>
          <w:rFonts w:cs="Arial"/>
          <w:sz w:val="24"/>
          <w:szCs w:val="24"/>
        </w:rPr>
        <w:t>inclusion in general education (learning with peers without disability)</w:t>
      </w:r>
    </w:p>
    <w:p w14:paraId="21B32775" w14:textId="77777777" w:rsidR="006B308F" w:rsidRPr="0022431D" w:rsidRDefault="006B308F" w:rsidP="00100676">
      <w:pPr>
        <w:pStyle w:val="ListParagraph"/>
        <w:numPr>
          <w:ilvl w:val="0"/>
          <w:numId w:val="13"/>
        </w:numPr>
        <w:spacing w:line="259" w:lineRule="auto"/>
        <w:rPr>
          <w:rFonts w:cs="Arial"/>
          <w:sz w:val="24"/>
          <w:szCs w:val="24"/>
        </w:rPr>
      </w:pPr>
      <w:r w:rsidRPr="0022431D">
        <w:rPr>
          <w:rFonts w:cs="Arial"/>
          <w:sz w:val="24"/>
          <w:szCs w:val="24"/>
        </w:rPr>
        <w:t xml:space="preserve">completing high school certificate </w:t>
      </w:r>
    </w:p>
    <w:p w14:paraId="70FD7E6F" w14:textId="77777777" w:rsidR="00DE3DC5" w:rsidRPr="0022431D" w:rsidRDefault="00DE3DC5" w:rsidP="00100676">
      <w:pPr>
        <w:pStyle w:val="ListParagraph"/>
        <w:numPr>
          <w:ilvl w:val="0"/>
          <w:numId w:val="13"/>
        </w:numPr>
        <w:spacing w:line="259" w:lineRule="auto"/>
        <w:rPr>
          <w:rFonts w:cs="Arial"/>
          <w:sz w:val="24"/>
          <w:szCs w:val="24"/>
        </w:rPr>
      </w:pPr>
      <w:r w:rsidRPr="0022431D">
        <w:rPr>
          <w:rFonts w:cs="Arial"/>
          <w:sz w:val="24"/>
          <w:szCs w:val="24"/>
        </w:rPr>
        <w:t xml:space="preserve">expectation of employment </w:t>
      </w:r>
    </w:p>
    <w:p w14:paraId="47E84B61" w14:textId="77777777" w:rsidR="006B308F" w:rsidRPr="0022431D" w:rsidRDefault="006B308F" w:rsidP="00100676">
      <w:pPr>
        <w:pStyle w:val="ListParagraph"/>
        <w:numPr>
          <w:ilvl w:val="0"/>
          <w:numId w:val="13"/>
        </w:numPr>
        <w:spacing w:line="259" w:lineRule="auto"/>
        <w:rPr>
          <w:rFonts w:cs="Arial"/>
          <w:sz w:val="24"/>
          <w:szCs w:val="24"/>
        </w:rPr>
      </w:pPr>
      <w:r w:rsidRPr="0022431D">
        <w:rPr>
          <w:rFonts w:cs="Arial"/>
          <w:sz w:val="24"/>
          <w:szCs w:val="24"/>
        </w:rPr>
        <w:t xml:space="preserve">self-determination, and </w:t>
      </w:r>
    </w:p>
    <w:p w14:paraId="35A0A72C" w14:textId="3CD6F1ED" w:rsidR="00BF7FC7" w:rsidRDefault="006B308F" w:rsidP="00100676">
      <w:pPr>
        <w:pStyle w:val="ListParagraph"/>
        <w:numPr>
          <w:ilvl w:val="0"/>
          <w:numId w:val="13"/>
        </w:numPr>
        <w:spacing w:line="259" w:lineRule="auto"/>
        <w:rPr>
          <w:rFonts w:cs="Arial"/>
          <w:sz w:val="24"/>
          <w:szCs w:val="24"/>
        </w:rPr>
      </w:pPr>
      <w:proofErr w:type="gramStart"/>
      <w:r w:rsidRPr="0022431D">
        <w:rPr>
          <w:rFonts w:cs="Arial"/>
          <w:sz w:val="24"/>
          <w:szCs w:val="24"/>
        </w:rPr>
        <w:t>paid-employ</w:t>
      </w:r>
      <w:r w:rsidRPr="00B9371B">
        <w:rPr>
          <w:rFonts w:cs="Arial"/>
          <w:sz w:val="24"/>
          <w:szCs w:val="24"/>
        </w:rPr>
        <w:t>ment</w:t>
      </w:r>
      <w:proofErr w:type="gramEnd"/>
      <w:r w:rsidRPr="00B9371B">
        <w:rPr>
          <w:rFonts w:cs="Arial"/>
          <w:sz w:val="24"/>
          <w:szCs w:val="24"/>
        </w:rPr>
        <w:t xml:space="preserve">/work </w:t>
      </w:r>
      <w:r w:rsidR="00B9371B" w:rsidRPr="00B9371B">
        <w:rPr>
          <w:rFonts w:cs="Arial"/>
          <w:sz w:val="24"/>
          <w:szCs w:val="24"/>
        </w:rPr>
        <w:t>experience</w:t>
      </w:r>
      <w:r w:rsidR="00CD5129">
        <w:rPr>
          <w:rFonts w:cs="Arial"/>
          <w:sz w:val="24"/>
          <w:szCs w:val="24"/>
        </w:rPr>
        <w:t xml:space="preserve"> </w:t>
      </w:r>
      <w:r w:rsidR="00B9371B" w:rsidRPr="00B9371B">
        <w:rPr>
          <w:rFonts w:cs="Arial"/>
          <w:sz w:val="24"/>
          <w:szCs w:val="24"/>
        </w:rPr>
        <w:t>(</w:t>
      </w:r>
      <w:r w:rsidR="00B9371B" w:rsidRPr="00B9371B">
        <w:rPr>
          <w:sz w:val="24"/>
          <w:szCs w:val="24"/>
        </w:rPr>
        <w:t>Mazzotti_2020_CDTEI.pdf), (</w:t>
      </w:r>
      <w:proofErr w:type="spellStart"/>
      <w:r w:rsidR="00B9371B" w:rsidRPr="00B9371B">
        <w:rPr>
          <w:sz w:val="24"/>
          <w:szCs w:val="24"/>
        </w:rPr>
        <w:t>Mazzotti</w:t>
      </w:r>
      <w:proofErr w:type="spellEnd"/>
      <w:r w:rsidR="00B9371B" w:rsidRPr="00B9371B">
        <w:rPr>
          <w:sz w:val="24"/>
          <w:szCs w:val="24"/>
        </w:rPr>
        <w:t xml:space="preserve">, Valerie &amp; Rowe, D. &amp; Sinclair, James &amp; </w:t>
      </w:r>
      <w:proofErr w:type="spellStart"/>
      <w:r w:rsidR="00B9371B" w:rsidRPr="00B9371B">
        <w:rPr>
          <w:sz w:val="24"/>
          <w:szCs w:val="24"/>
        </w:rPr>
        <w:t>Poppen</w:t>
      </w:r>
      <w:proofErr w:type="spellEnd"/>
      <w:r w:rsidR="00B9371B" w:rsidRPr="00B9371B">
        <w:rPr>
          <w:sz w:val="24"/>
          <w:szCs w:val="24"/>
        </w:rPr>
        <w:t>, Marcus &amp; Woods, William &amp; Shearer, Mackenzie. (2015)</w:t>
      </w:r>
      <w:r w:rsidRPr="00B9371B">
        <w:rPr>
          <w:rFonts w:cs="Arial"/>
          <w:sz w:val="24"/>
          <w:szCs w:val="24"/>
        </w:rPr>
        <w:t xml:space="preserve"> </w:t>
      </w:r>
    </w:p>
    <w:p w14:paraId="467EAFCC" w14:textId="39901E8D" w:rsidR="00CD5129" w:rsidRPr="0076681C" w:rsidRDefault="00D8561C" w:rsidP="00CD5129">
      <w:pPr>
        <w:pStyle w:val="FootnoteText"/>
        <w:rPr>
          <w:lang w:val="en-US"/>
        </w:rPr>
      </w:pPr>
      <w:r w:rsidRPr="0022431D">
        <w:rPr>
          <w:rFonts w:cs="Arial"/>
          <w:sz w:val="24"/>
          <w:szCs w:val="24"/>
        </w:rPr>
        <w:t xml:space="preserve">Research </w:t>
      </w:r>
      <w:r w:rsidR="00341263">
        <w:rPr>
          <w:rFonts w:cs="Arial"/>
          <w:sz w:val="24"/>
          <w:szCs w:val="24"/>
        </w:rPr>
        <w:t xml:space="preserve">has </w:t>
      </w:r>
      <w:r w:rsidRPr="0022431D">
        <w:rPr>
          <w:rFonts w:cs="Arial"/>
          <w:sz w:val="24"/>
          <w:szCs w:val="24"/>
        </w:rPr>
        <w:t>found that</w:t>
      </w:r>
      <w:r w:rsidR="00341263">
        <w:rPr>
          <w:rFonts w:cs="Arial"/>
          <w:sz w:val="24"/>
          <w:szCs w:val="24"/>
        </w:rPr>
        <w:t xml:space="preserve"> s</w:t>
      </w:r>
      <w:r w:rsidRPr="0022431D">
        <w:rPr>
          <w:rFonts w:cs="Arial"/>
          <w:sz w:val="24"/>
          <w:szCs w:val="24"/>
        </w:rPr>
        <w:t>tudents with disabilities who had career-related instruction and v</w:t>
      </w:r>
      <w:r w:rsidRPr="00B9371B">
        <w:rPr>
          <w:rFonts w:cs="Arial"/>
          <w:sz w:val="24"/>
          <w:szCs w:val="24"/>
        </w:rPr>
        <w:t>ocational training at school</w:t>
      </w:r>
      <w:r w:rsidR="00341263" w:rsidRPr="00B9371B">
        <w:rPr>
          <w:rFonts w:cs="Arial"/>
          <w:sz w:val="24"/>
          <w:szCs w:val="24"/>
        </w:rPr>
        <w:t>:</w:t>
      </w:r>
      <w:r w:rsidRPr="00B9371B">
        <w:rPr>
          <w:rFonts w:cs="Arial"/>
          <w:sz w:val="24"/>
          <w:szCs w:val="24"/>
        </w:rPr>
        <w:t xml:space="preserve"> were more likely to graduate from high school</w:t>
      </w:r>
      <w:r w:rsidR="0076681C" w:rsidRPr="00B9371B">
        <w:rPr>
          <w:rFonts w:cs="Arial"/>
          <w:sz w:val="24"/>
          <w:szCs w:val="24"/>
        </w:rPr>
        <w:t xml:space="preserve"> </w:t>
      </w:r>
      <w:r w:rsidRPr="0022431D">
        <w:rPr>
          <w:rFonts w:cs="Arial"/>
          <w:sz w:val="24"/>
          <w:szCs w:val="24"/>
        </w:rPr>
        <w:t xml:space="preserve">and </w:t>
      </w:r>
      <w:r w:rsidR="00260EA1">
        <w:rPr>
          <w:rFonts w:cs="Arial"/>
          <w:sz w:val="24"/>
          <w:szCs w:val="24"/>
        </w:rPr>
        <w:t xml:space="preserve">more likely to gain </w:t>
      </w:r>
      <w:r w:rsidRPr="0022431D">
        <w:rPr>
          <w:rFonts w:cs="Arial"/>
          <w:sz w:val="24"/>
          <w:szCs w:val="24"/>
        </w:rPr>
        <w:t>employment in full-time competitive jobs after high school</w:t>
      </w:r>
      <w:r w:rsidR="00CD5129">
        <w:rPr>
          <w:rFonts w:cs="Arial"/>
          <w:sz w:val="24"/>
          <w:szCs w:val="24"/>
        </w:rPr>
        <w:t xml:space="preserve"> </w:t>
      </w:r>
      <w:r w:rsidR="00CD5129" w:rsidRPr="00B9371B">
        <w:rPr>
          <w:rFonts w:cs="Arial"/>
          <w:sz w:val="24"/>
          <w:szCs w:val="24"/>
        </w:rPr>
        <w:t>(</w:t>
      </w:r>
      <w:r w:rsidR="00CD5129" w:rsidRPr="00B9371B">
        <w:rPr>
          <w:rFonts w:eastAsia="Times New Roman" w:cs="Arial"/>
          <w:color w:val="333333"/>
          <w:sz w:val="24"/>
          <w:szCs w:val="24"/>
          <w:lang w:eastAsia="en-AU"/>
        </w:rPr>
        <w:t xml:space="preserve">Benz MR, Lindstrom L, </w:t>
      </w:r>
      <w:proofErr w:type="spellStart"/>
      <w:r w:rsidR="00CD5129" w:rsidRPr="00B9371B">
        <w:rPr>
          <w:rFonts w:eastAsia="Times New Roman" w:cs="Arial"/>
          <w:color w:val="333333"/>
          <w:sz w:val="24"/>
          <w:szCs w:val="24"/>
          <w:lang w:eastAsia="en-AU"/>
        </w:rPr>
        <w:t>Yovanoff</w:t>
      </w:r>
      <w:proofErr w:type="spellEnd"/>
      <w:r w:rsidR="00CD5129" w:rsidRPr="00B9371B">
        <w:rPr>
          <w:rFonts w:eastAsia="Times New Roman" w:cs="Arial"/>
          <w:color w:val="333333"/>
          <w:sz w:val="24"/>
          <w:szCs w:val="24"/>
          <w:lang w:eastAsia="en-AU"/>
        </w:rPr>
        <w:t xml:space="preserve"> P. (2000), </w:t>
      </w:r>
      <w:r w:rsidR="00CD5129" w:rsidRPr="00B9371B">
        <w:rPr>
          <w:rFonts w:cs="Arial"/>
          <w:sz w:val="24"/>
          <w:szCs w:val="24"/>
        </w:rPr>
        <w:t>(</w:t>
      </w:r>
      <w:proofErr w:type="spellStart"/>
      <w:r w:rsidR="00CD5129" w:rsidRPr="00B9371B">
        <w:rPr>
          <w:rFonts w:cs="Arial"/>
          <w:color w:val="333333"/>
          <w:sz w:val="24"/>
          <w:szCs w:val="24"/>
          <w:shd w:val="clear" w:color="auto" w:fill="FFFFFF"/>
        </w:rPr>
        <w:t>Daviso</w:t>
      </w:r>
      <w:proofErr w:type="spellEnd"/>
      <w:r w:rsidR="00CD5129" w:rsidRPr="00B9371B">
        <w:rPr>
          <w:rFonts w:cs="Arial"/>
          <w:color w:val="333333"/>
          <w:sz w:val="24"/>
          <w:szCs w:val="24"/>
          <w:shd w:val="clear" w:color="auto" w:fill="FFFFFF"/>
        </w:rPr>
        <w:t xml:space="preserve">, A. W., Baer, R. M., </w:t>
      </w:r>
      <w:proofErr w:type="spellStart"/>
      <w:r w:rsidR="00CD5129" w:rsidRPr="00B9371B">
        <w:rPr>
          <w:rFonts w:cs="Arial"/>
          <w:color w:val="333333"/>
          <w:sz w:val="24"/>
          <w:szCs w:val="24"/>
          <w:shd w:val="clear" w:color="auto" w:fill="FFFFFF"/>
        </w:rPr>
        <w:t>Flexer</w:t>
      </w:r>
      <w:proofErr w:type="spellEnd"/>
      <w:r w:rsidR="00CD5129" w:rsidRPr="00B9371B">
        <w:rPr>
          <w:rFonts w:cs="Arial"/>
          <w:color w:val="333333"/>
          <w:sz w:val="24"/>
          <w:szCs w:val="24"/>
          <w:shd w:val="clear" w:color="auto" w:fill="FFFFFF"/>
        </w:rPr>
        <w:t xml:space="preserve">, R. W., </w:t>
      </w:r>
      <w:proofErr w:type="spellStart"/>
      <w:r w:rsidR="00CD5129" w:rsidRPr="00B9371B">
        <w:rPr>
          <w:rFonts w:cs="Arial"/>
          <w:color w:val="333333"/>
          <w:sz w:val="24"/>
          <w:szCs w:val="24"/>
          <w:shd w:val="clear" w:color="auto" w:fill="FFFFFF"/>
        </w:rPr>
        <w:t>Meindl</w:t>
      </w:r>
      <w:proofErr w:type="spellEnd"/>
      <w:r w:rsidR="00CD5129" w:rsidRPr="00B9371B">
        <w:rPr>
          <w:rFonts w:cs="Arial"/>
          <w:color w:val="333333"/>
          <w:sz w:val="24"/>
          <w:szCs w:val="24"/>
          <w:shd w:val="clear" w:color="auto" w:fill="FFFFFF"/>
        </w:rPr>
        <w:t>, R. (</w:t>
      </w:r>
      <w:r w:rsidR="00CD5129" w:rsidRPr="00CD5129">
        <w:rPr>
          <w:rStyle w:val="nlmyear"/>
          <w:color w:val="333333"/>
          <w:sz w:val="24"/>
          <w:szCs w:val="24"/>
          <w:shd w:val="clear" w:color="auto" w:fill="FFFFFF"/>
        </w:rPr>
        <w:t>2016)</w:t>
      </w:r>
      <w:r w:rsidR="00CD5129" w:rsidRPr="00CD5129">
        <w:rPr>
          <w:rFonts w:cs="Arial"/>
          <w:sz w:val="24"/>
          <w:szCs w:val="24"/>
        </w:rPr>
        <w:t xml:space="preserve"> </w:t>
      </w:r>
      <w:r w:rsidR="00CD5129" w:rsidRPr="00CD5129">
        <w:rPr>
          <w:sz w:val="24"/>
          <w:szCs w:val="24"/>
        </w:rPr>
        <w:t>(Wonacott (2000) as well as Shandra and Hogan (2008)</w:t>
      </w:r>
      <w:r w:rsidR="00CD5129">
        <w:rPr>
          <w:sz w:val="24"/>
          <w:szCs w:val="24"/>
        </w:rPr>
        <w:t>.</w:t>
      </w:r>
    </w:p>
    <w:p w14:paraId="7D006276" w14:textId="0E9FF028" w:rsidR="00CD5129" w:rsidRPr="0076681C" w:rsidRDefault="00341263" w:rsidP="00CD5129">
      <w:pPr>
        <w:pStyle w:val="EndnoteText"/>
      </w:pPr>
      <w:r>
        <w:rPr>
          <w:rFonts w:cs="Arial"/>
          <w:sz w:val="24"/>
          <w:szCs w:val="24"/>
        </w:rPr>
        <w:lastRenderedPageBreak/>
        <w:t>S</w:t>
      </w:r>
      <w:r w:rsidR="00D8561C" w:rsidRPr="0022431D">
        <w:rPr>
          <w:rFonts w:cs="Arial"/>
          <w:sz w:val="24"/>
          <w:szCs w:val="24"/>
        </w:rPr>
        <w:t>tudents with disabilities who attended vocational education programs had higher employment rates and salarie</w:t>
      </w:r>
      <w:r w:rsidR="00D8561C" w:rsidRPr="00CD5129">
        <w:rPr>
          <w:rFonts w:cs="Arial"/>
          <w:sz w:val="24"/>
          <w:szCs w:val="24"/>
        </w:rPr>
        <w:t xml:space="preserve">s 5 years after high school </w:t>
      </w:r>
      <w:r w:rsidR="00CD5129" w:rsidRPr="00CD5129">
        <w:rPr>
          <w:rFonts w:cs="Arial"/>
          <w:sz w:val="24"/>
          <w:szCs w:val="24"/>
        </w:rPr>
        <w:t>graduation</w:t>
      </w:r>
      <w:r w:rsidR="00CD5129">
        <w:rPr>
          <w:rFonts w:cs="Arial"/>
          <w:sz w:val="24"/>
          <w:szCs w:val="24"/>
        </w:rPr>
        <w:t xml:space="preserve"> </w:t>
      </w:r>
      <w:r w:rsidR="00CD5129" w:rsidRPr="00CD5129">
        <w:rPr>
          <w:rFonts w:cs="Arial"/>
          <w:sz w:val="24"/>
          <w:szCs w:val="24"/>
        </w:rPr>
        <w:t>(</w:t>
      </w:r>
      <w:r w:rsidR="00CD5129" w:rsidRPr="00CD5129">
        <w:rPr>
          <w:sz w:val="24"/>
          <w:szCs w:val="24"/>
        </w:rPr>
        <w:t>Harvey, 2002). (Lindstrom, Kahn, &amp; Lindsey, 2013).</w:t>
      </w:r>
    </w:p>
    <w:p w14:paraId="6F3A2224" w14:textId="12CE55BC" w:rsidR="00D8561C" w:rsidRPr="0022431D" w:rsidRDefault="00D8561C" w:rsidP="00100676">
      <w:pPr>
        <w:pStyle w:val="EndnoteText"/>
        <w:spacing w:line="259" w:lineRule="auto"/>
        <w:rPr>
          <w:rFonts w:cs="Arial"/>
          <w:sz w:val="24"/>
          <w:szCs w:val="24"/>
        </w:rPr>
      </w:pPr>
    </w:p>
    <w:p w14:paraId="529FD5A7" w14:textId="2F07BCD5" w:rsidR="00CD5129" w:rsidRPr="006B45CB" w:rsidRDefault="006B308F" w:rsidP="00CD5129">
      <w:pPr>
        <w:pStyle w:val="FootnoteText"/>
        <w:rPr>
          <w:lang w:val="en-US"/>
        </w:rPr>
      </w:pPr>
      <w:r w:rsidRPr="0022431D">
        <w:rPr>
          <w:sz w:val="24"/>
          <w:szCs w:val="24"/>
        </w:rPr>
        <w:t>For decades, research has shown the strong relationship between the experience of work during secondary school and higher post-school employment for youth with disabilities</w:t>
      </w:r>
      <w:r w:rsidR="00CD5129">
        <w:rPr>
          <w:sz w:val="24"/>
          <w:szCs w:val="24"/>
        </w:rPr>
        <w:t xml:space="preserve"> </w:t>
      </w:r>
      <w:r w:rsidR="00CD5129" w:rsidRPr="00CD5129">
        <w:rPr>
          <w:sz w:val="24"/>
          <w:szCs w:val="24"/>
        </w:rPr>
        <w:t xml:space="preserve">(Colley &amp; Jamison, 1998), (Benz, </w:t>
      </w:r>
      <w:proofErr w:type="spellStart"/>
      <w:r w:rsidR="00CD5129" w:rsidRPr="00CD5129">
        <w:rPr>
          <w:sz w:val="24"/>
          <w:szCs w:val="24"/>
        </w:rPr>
        <w:t>Yovanoff</w:t>
      </w:r>
      <w:proofErr w:type="spellEnd"/>
      <w:r w:rsidR="00CD5129" w:rsidRPr="00CD5129">
        <w:rPr>
          <w:sz w:val="24"/>
          <w:szCs w:val="24"/>
        </w:rPr>
        <w:t xml:space="preserve"> &amp; Doren, 1997).</w:t>
      </w:r>
    </w:p>
    <w:p w14:paraId="16754445" w14:textId="58D458CF" w:rsidR="00CD5129" w:rsidRPr="006B45CB" w:rsidRDefault="00CD5129" w:rsidP="00CD5129">
      <w:pPr>
        <w:pStyle w:val="FootnoteText"/>
        <w:rPr>
          <w:lang w:val="en-US"/>
        </w:rPr>
      </w:pPr>
    </w:p>
    <w:p w14:paraId="47B153DB" w14:textId="56E3FBDD" w:rsidR="00D8561C" w:rsidRDefault="006B308F" w:rsidP="00100676">
      <w:pPr>
        <w:pStyle w:val="Bulletlist"/>
        <w:numPr>
          <w:ilvl w:val="0"/>
          <w:numId w:val="0"/>
        </w:numPr>
        <w:spacing w:line="259" w:lineRule="auto"/>
        <w:rPr>
          <w:sz w:val="24"/>
          <w:szCs w:val="24"/>
        </w:rPr>
      </w:pPr>
      <w:r w:rsidRPr="0022431D">
        <w:rPr>
          <w:sz w:val="24"/>
          <w:szCs w:val="24"/>
        </w:rPr>
        <w:t>Consistently, the most prominent factors shown to be associated with successful post-school employment outcomes are paid and unpaid work experiences during the last years of secondary school and the completion of a high school diploma” (</w:t>
      </w:r>
      <w:proofErr w:type="spellStart"/>
      <w:r w:rsidRPr="0022431D">
        <w:rPr>
          <w:sz w:val="24"/>
          <w:szCs w:val="24"/>
        </w:rPr>
        <w:t>Luecking</w:t>
      </w:r>
      <w:proofErr w:type="spellEnd"/>
      <w:r w:rsidRPr="0022431D">
        <w:rPr>
          <w:sz w:val="24"/>
          <w:szCs w:val="24"/>
        </w:rPr>
        <w:t xml:space="preserve"> 2009).</w:t>
      </w:r>
    </w:p>
    <w:p w14:paraId="78EAC1FC" w14:textId="034227E1" w:rsidR="002227D5" w:rsidRDefault="002227D5" w:rsidP="00100676">
      <w:pPr>
        <w:spacing w:line="259" w:lineRule="auto"/>
        <w:rPr>
          <w:rFonts w:cs="Arial"/>
          <w:sz w:val="24"/>
          <w:szCs w:val="24"/>
          <w:bdr w:val="none" w:sz="0" w:space="0" w:color="auto" w:frame="1"/>
        </w:rPr>
      </w:pPr>
      <w:r w:rsidRPr="0022431D">
        <w:rPr>
          <w:rFonts w:cs="Arial"/>
          <w:sz w:val="24"/>
          <w:szCs w:val="24"/>
          <w:bdr w:val="none" w:sz="0" w:space="0" w:color="auto" w:frame="1"/>
        </w:rPr>
        <w:t xml:space="preserve">An ILO report on inclusive </w:t>
      </w:r>
      <w:r w:rsidRPr="0022431D">
        <w:rPr>
          <w:rFonts w:cs="Arial"/>
          <w:sz w:val="24"/>
          <w:szCs w:val="24"/>
        </w:rPr>
        <w:t xml:space="preserve">apprenticeships and workplace learning found </w:t>
      </w:r>
      <w:r w:rsidRPr="0022431D">
        <w:rPr>
          <w:rFonts w:cs="Arial"/>
          <w:sz w:val="24"/>
          <w:szCs w:val="24"/>
          <w:bdr w:val="none" w:sz="0" w:space="0" w:color="auto" w:frame="1"/>
        </w:rPr>
        <w:t xml:space="preserve">countries with apprenticeship based technical vocational education and training systems have lower youth unemployment rates </w:t>
      </w:r>
      <w:r w:rsidRPr="0022431D">
        <w:rPr>
          <w:rFonts w:cs="Arial"/>
          <w:sz w:val="24"/>
          <w:szCs w:val="24"/>
          <w:bdr w:val="none" w:sz="0" w:space="0" w:color="auto" w:frame="1"/>
        </w:rPr>
        <w:fldChar w:fldCharType="begin"/>
      </w:r>
      <w:r w:rsidRPr="0022431D">
        <w:rPr>
          <w:rFonts w:cs="Arial"/>
          <w:sz w:val="24"/>
          <w:szCs w:val="24"/>
          <w:bdr w:val="none" w:sz="0" w:space="0" w:color="auto" w:frame="1"/>
        </w:rPr>
        <w:instrText xml:space="preserve"> ADDIN EN.CITE &lt;EndNote&gt;&lt;Cite&gt;&lt;Author&gt;International Labour Organisation&lt;/Author&gt;&lt;Year&gt;2018&lt;/Year&gt;&lt;RecNum&gt;35&lt;/RecNum&gt;&lt;Pages&gt;2&lt;/Pages&gt;&lt;DisplayText&gt;(International Labour Organisation, 2018, p. 2)&lt;/DisplayText&gt;&lt;record&gt;&lt;rec-number&gt;35&lt;/rec-number&gt;&lt;foreign-keys&gt;&lt;key app="EN" db-id="stx5satavvxdvveepsx59affx9z95f5v2rzw" timestamp="1562126858"&gt;35&lt;/key&gt;&lt;/foreign-keys&gt;&lt;ref-type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disabilities&lt;/title&gt;&lt;/titles&gt;&lt;dates&gt;&lt;year&gt;2018&lt;/year&gt;&lt;/dates&gt;&lt;pub-location&gt;Geneva&lt;/pub-location&gt;&lt;publisher&gt;International Labour Organisation&lt;/publisher&gt;&lt;urls&gt;&lt;related-urls&gt;&lt;url&gt;https://www.ilo.org/wcmsp5/groups/public/---ed_emp/---ifp_skills/documents/publication/wcms_633257.pdf&lt;/url&gt;&lt;/related-urls&gt;&lt;/urls&gt;&lt;/record&gt;&lt;/Cite&gt;&lt;/EndNote&gt;</w:instrText>
      </w:r>
      <w:r w:rsidRPr="0022431D">
        <w:rPr>
          <w:rFonts w:cs="Arial"/>
          <w:sz w:val="24"/>
          <w:szCs w:val="24"/>
          <w:bdr w:val="none" w:sz="0" w:space="0" w:color="auto" w:frame="1"/>
        </w:rPr>
        <w:fldChar w:fldCharType="separate"/>
      </w:r>
      <w:r w:rsidRPr="0022431D">
        <w:rPr>
          <w:rFonts w:cs="Arial"/>
          <w:noProof/>
          <w:sz w:val="24"/>
          <w:szCs w:val="24"/>
          <w:bdr w:val="none" w:sz="0" w:space="0" w:color="auto" w:frame="1"/>
        </w:rPr>
        <w:t>(International Labour Organisation, 2018, p. 2)</w:t>
      </w:r>
      <w:r w:rsidRPr="0022431D">
        <w:rPr>
          <w:rFonts w:cs="Arial"/>
          <w:sz w:val="24"/>
          <w:szCs w:val="24"/>
          <w:bdr w:val="none" w:sz="0" w:space="0" w:color="auto" w:frame="1"/>
        </w:rPr>
        <w:fldChar w:fldCharType="end"/>
      </w:r>
      <w:r w:rsidRPr="0022431D">
        <w:rPr>
          <w:rFonts w:cs="Arial"/>
          <w:sz w:val="24"/>
          <w:szCs w:val="24"/>
          <w:bdr w:val="none" w:sz="0" w:space="0" w:color="auto" w:frame="1"/>
        </w:rPr>
        <w:t>.</w:t>
      </w:r>
    </w:p>
    <w:p w14:paraId="1AF6FE2C" w14:textId="77777777" w:rsidR="003334A6" w:rsidRPr="002227D5" w:rsidRDefault="003334A6" w:rsidP="00100676">
      <w:pPr>
        <w:spacing w:line="259" w:lineRule="auto"/>
        <w:rPr>
          <w:rFonts w:cs="Arial"/>
          <w:sz w:val="24"/>
          <w:szCs w:val="24"/>
          <w:bdr w:val="none" w:sz="0" w:space="0" w:color="auto" w:frame="1"/>
        </w:rPr>
      </w:pPr>
    </w:p>
    <w:p w14:paraId="6120E10C" w14:textId="465839E5" w:rsidR="00D8561C" w:rsidRPr="0022431D" w:rsidRDefault="00A408FF" w:rsidP="00100676">
      <w:pPr>
        <w:pStyle w:val="EndnoteText"/>
        <w:spacing w:line="259" w:lineRule="auto"/>
        <w:rPr>
          <w:rFonts w:cs="Arial"/>
          <w:sz w:val="24"/>
          <w:szCs w:val="24"/>
        </w:rPr>
      </w:pPr>
      <w:r w:rsidRPr="00CD5129">
        <w:rPr>
          <w:rFonts w:cs="Arial"/>
          <w:sz w:val="28"/>
          <w:szCs w:val="28"/>
        </w:rPr>
        <w:t>It is i</w:t>
      </w:r>
      <w:r w:rsidR="00D8561C" w:rsidRPr="00CD5129">
        <w:rPr>
          <w:rFonts w:cs="Arial"/>
          <w:sz w:val="28"/>
          <w:szCs w:val="28"/>
        </w:rPr>
        <w:t xml:space="preserve">mportant to note </w:t>
      </w:r>
      <w:r w:rsidRPr="00CD5129">
        <w:rPr>
          <w:rFonts w:cs="Arial"/>
          <w:sz w:val="28"/>
          <w:szCs w:val="28"/>
        </w:rPr>
        <w:t>that the Firth Review’s proposed Foundation Pathways Certificate offers a general vocation program contrary to international research findings</w:t>
      </w:r>
      <w:r w:rsidR="00260EA1" w:rsidRPr="00CD5129">
        <w:rPr>
          <w:rFonts w:cs="Arial"/>
          <w:sz w:val="28"/>
          <w:szCs w:val="28"/>
        </w:rPr>
        <w:t>,</w:t>
      </w:r>
      <w:r w:rsidRPr="00CD5129">
        <w:rPr>
          <w:rFonts w:cs="Arial"/>
          <w:sz w:val="28"/>
          <w:szCs w:val="28"/>
        </w:rPr>
        <w:t xml:space="preserve"> that </w:t>
      </w:r>
      <w:r w:rsidR="00D8561C" w:rsidRPr="00CD5129">
        <w:rPr>
          <w:rFonts w:cs="Arial"/>
          <w:sz w:val="28"/>
          <w:szCs w:val="28"/>
        </w:rPr>
        <w:t xml:space="preserve">students with learning disabilities enrolled in occupationally specific </w:t>
      </w:r>
      <w:r w:rsidRPr="00CD5129">
        <w:rPr>
          <w:rFonts w:cs="Arial"/>
          <w:sz w:val="28"/>
          <w:szCs w:val="28"/>
        </w:rPr>
        <w:t xml:space="preserve">programs </w:t>
      </w:r>
      <w:r w:rsidR="00D8561C" w:rsidRPr="00CD5129">
        <w:rPr>
          <w:rFonts w:cs="Arial"/>
          <w:sz w:val="28"/>
          <w:szCs w:val="28"/>
        </w:rPr>
        <w:t>experience better post</w:t>
      </w:r>
      <w:r w:rsidR="00260EA1" w:rsidRPr="00CD5129">
        <w:rPr>
          <w:rFonts w:cs="Arial"/>
          <w:sz w:val="28"/>
          <w:szCs w:val="28"/>
        </w:rPr>
        <w:t>-</w:t>
      </w:r>
      <w:r w:rsidR="00D8561C" w:rsidRPr="00CD5129">
        <w:rPr>
          <w:rFonts w:cs="Arial"/>
          <w:sz w:val="28"/>
          <w:szCs w:val="28"/>
        </w:rPr>
        <w:t>high school employment outcomes</w:t>
      </w:r>
      <w:r w:rsidR="00CD5129" w:rsidRPr="00CD5129">
        <w:rPr>
          <w:rFonts w:cs="Arial"/>
          <w:sz w:val="28"/>
          <w:szCs w:val="28"/>
        </w:rPr>
        <w:t xml:space="preserve"> (Wagner, M. and Newman, L. (2015).</w:t>
      </w:r>
    </w:p>
    <w:p w14:paraId="456676FB" w14:textId="77777777" w:rsidR="003C3BDA" w:rsidRPr="0022431D" w:rsidRDefault="003C3BDA" w:rsidP="00100676">
      <w:pPr>
        <w:pStyle w:val="EndnoteText"/>
        <w:spacing w:line="259" w:lineRule="auto"/>
        <w:rPr>
          <w:rFonts w:cs="Arial"/>
          <w:sz w:val="24"/>
          <w:szCs w:val="24"/>
        </w:rPr>
      </w:pPr>
    </w:p>
    <w:p w14:paraId="06EF4B10" w14:textId="77777777" w:rsidR="009E0EE8" w:rsidRPr="00CD5129" w:rsidRDefault="006B308F" w:rsidP="00100676">
      <w:pPr>
        <w:spacing w:line="259" w:lineRule="auto"/>
        <w:jc w:val="both"/>
        <w:rPr>
          <w:rFonts w:cs="Arial"/>
          <w:color w:val="FF0000"/>
          <w:sz w:val="36"/>
          <w:szCs w:val="36"/>
        </w:rPr>
      </w:pPr>
      <w:r w:rsidRPr="00CD5129">
        <w:rPr>
          <w:rFonts w:cs="Arial"/>
          <w:color w:val="000000" w:themeColor="text1"/>
          <w:sz w:val="36"/>
          <w:szCs w:val="36"/>
        </w:rPr>
        <w:t xml:space="preserve">Australian data </w:t>
      </w:r>
    </w:p>
    <w:p w14:paraId="251F4A0E" w14:textId="5B04BE7B" w:rsidR="00D91F50" w:rsidRPr="0022431D" w:rsidRDefault="00D91F50" w:rsidP="00100676">
      <w:pPr>
        <w:kinsoku w:val="0"/>
        <w:overflowPunct w:val="0"/>
        <w:spacing w:after="160" w:line="259" w:lineRule="auto"/>
        <w:textAlignment w:val="baseline"/>
        <w:rPr>
          <w:rFonts w:cs="Arial"/>
          <w:sz w:val="24"/>
          <w:szCs w:val="24"/>
        </w:rPr>
      </w:pPr>
      <w:bookmarkStart w:id="0" w:name="_Toc395090223"/>
      <w:proofErr w:type="spellStart"/>
      <w:r w:rsidRPr="0022431D">
        <w:rPr>
          <w:rFonts w:cs="Arial"/>
          <w:sz w:val="24"/>
          <w:szCs w:val="24"/>
        </w:rPr>
        <w:t>Thoresen</w:t>
      </w:r>
      <w:proofErr w:type="spellEnd"/>
      <w:r w:rsidR="00061DD0">
        <w:rPr>
          <w:rFonts w:cs="Arial"/>
          <w:sz w:val="24"/>
          <w:szCs w:val="24"/>
        </w:rPr>
        <w:t>, Cocks and</w:t>
      </w:r>
      <w:r w:rsidR="004E3EE2" w:rsidRPr="0022431D">
        <w:rPr>
          <w:rFonts w:cs="Arial"/>
          <w:sz w:val="24"/>
          <w:szCs w:val="24"/>
        </w:rPr>
        <w:t xml:space="preserve"> </w:t>
      </w:r>
      <w:r w:rsidR="00061DD0">
        <w:rPr>
          <w:rFonts w:cs="Arial"/>
          <w:sz w:val="24"/>
          <w:szCs w:val="24"/>
        </w:rPr>
        <w:t>P</w:t>
      </w:r>
      <w:r w:rsidR="004E3EE2" w:rsidRPr="0022431D">
        <w:rPr>
          <w:rFonts w:cs="Arial"/>
          <w:sz w:val="24"/>
          <w:szCs w:val="24"/>
        </w:rPr>
        <w:t>arson (2019</w:t>
      </w:r>
      <w:r w:rsidRPr="0022431D">
        <w:rPr>
          <w:rFonts w:cs="Arial"/>
          <w:sz w:val="24"/>
          <w:szCs w:val="24"/>
        </w:rPr>
        <w:t>), in their three-year national longitudinal</w:t>
      </w:r>
      <w:r w:rsidR="00061DD0">
        <w:rPr>
          <w:rFonts w:cs="Arial"/>
          <w:sz w:val="24"/>
          <w:szCs w:val="24"/>
        </w:rPr>
        <w:t xml:space="preserve"> study,</w:t>
      </w:r>
      <w:r w:rsidRPr="0022431D">
        <w:rPr>
          <w:rFonts w:cs="Arial"/>
          <w:sz w:val="24"/>
          <w:szCs w:val="24"/>
        </w:rPr>
        <w:t xml:space="preserve"> found that VET and V</w:t>
      </w:r>
      <w:r w:rsidR="004969ED">
        <w:rPr>
          <w:rFonts w:cs="Arial"/>
          <w:sz w:val="24"/>
          <w:szCs w:val="24"/>
        </w:rPr>
        <w:t>ET</w:t>
      </w:r>
      <w:r w:rsidRPr="0022431D">
        <w:rPr>
          <w:rFonts w:cs="Arial"/>
          <w:sz w:val="24"/>
          <w:szCs w:val="24"/>
        </w:rPr>
        <w:t xml:space="preserve"> </w:t>
      </w:r>
      <w:r w:rsidR="00E053B4">
        <w:rPr>
          <w:rFonts w:cs="Arial"/>
          <w:sz w:val="24"/>
          <w:szCs w:val="24"/>
        </w:rPr>
        <w:t>d</w:t>
      </w:r>
      <w:r w:rsidRPr="0022431D">
        <w:rPr>
          <w:rFonts w:cs="Arial"/>
          <w:sz w:val="24"/>
          <w:szCs w:val="24"/>
        </w:rPr>
        <w:t>elivered to Secondary Schools</w:t>
      </w:r>
      <w:r w:rsidR="004969ED">
        <w:rPr>
          <w:rFonts w:cs="Arial"/>
          <w:sz w:val="24"/>
          <w:szCs w:val="24"/>
        </w:rPr>
        <w:t xml:space="preserve"> </w:t>
      </w:r>
      <w:r w:rsidRPr="0022431D">
        <w:rPr>
          <w:rFonts w:cs="Arial"/>
          <w:sz w:val="24"/>
          <w:szCs w:val="24"/>
        </w:rPr>
        <w:t>(VDSS) are strong vocational pathways with good employment outcomes for young people with disability, particularly VET or VDSS which includes some form of work-based training such as apprenticeships and traineeships.</w:t>
      </w:r>
      <w:r w:rsidR="00DE641B">
        <w:rPr>
          <w:rFonts w:cs="Arial"/>
          <w:sz w:val="24"/>
          <w:szCs w:val="24"/>
        </w:rPr>
        <w:t xml:space="preserve"> This suggests that </w:t>
      </w:r>
      <w:r w:rsidR="00DE641B" w:rsidRPr="00DE641B">
        <w:rPr>
          <w:rFonts w:cs="Arial"/>
          <w:sz w:val="24"/>
          <w:szCs w:val="24"/>
        </w:rPr>
        <w:t>VDSS</w:t>
      </w:r>
      <w:r w:rsidR="00DE641B">
        <w:rPr>
          <w:rFonts w:cs="Arial"/>
          <w:sz w:val="24"/>
          <w:szCs w:val="24"/>
        </w:rPr>
        <w:t xml:space="preserve"> and S</w:t>
      </w:r>
      <w:r w:rsidR="00061DD0">
        <w:rPr>
          <w:rFonts w:cs="Arial"/>
          <w:sz w:val="24"/>
          <w:szCs w:val="24"/>
        </w:rPr>
        <w:t xml:space="preserve">chool </w:t>
      </w:r>
      <w:r w:rsidR="00E053B4">
        <w:rPr>
          <w:rFonts w:cs="Arial"/>
          <w:sz w:val="24"/>
          <w:szCs w:val="24"/>
        </w:rPr>
        <w:t>b</w:t>
      </w:r>
      <w:r w:rsidR="00061DD0">
        <w:rPr>
          <w:rFonts w:cs="Arial"/>
          <w:sz w:val="24"/>
          <w:szCs w:val="24"/>
        </w:rPr>
        <w:t xml:space="preserve">ased </w:t>
      </w:r>
      <w:r w:rsidR="00DE641B">
        <w:rPr>
          <w:rFonts w:cs="Arial"/>
          <w:sz w:val="24"/>
          <w:szCs w:val="24"/>
        </w:rPr>
        <w:t>A</w:t>
      </w:r>
      <w:r w:rsidR="00061DD0">
        <w:rPr>
          <w:rFonts w:cs="Arial"/>
          <w:sz w:val="24"/>
          <w:szCs w:val="24"/>
        </w:rPr>
        <w:t xml:space="preserve">pprenticeships and </w:t>
      </w:r>
      <w:r w:rsidR="00DE641B">
        <w:rPr>
          <w:rFonts w:cs="Arial"/>
          <w:sz w:val="24"/>
          <w:szCs w:val="24"/>
        </w:rPr>
        <w:t>T</w:t>
      </w:r>
      <w:r w:rsidR="00061DD0">
        <w:rPr>
          <w:rFonts w:cs="Arial"/>
          <w:sz w:val="24"/>
          <w:szCs w:val="24"/>
        </w:rPr>
        <w:t>raineeships (</w:t>
      </w:r>
      <w:proofErr w:type="spellStart"/>
      <w:r w:rsidR="00061DD0">
        <w:rPr>
          <w:rFonts w:cs="Arial"/>
          <w:sz w:val="24"/>
          <w:szCs w:val="24"/>
        </w:rPr>
        <w:t>S</w:t>
      </w:r>
      <w:r w:rsidR="00E053B4">
        <w:rPr>
          <w:rFonts w:cs="Arial"/>
          <w:sz w:val="24"/>
          <w:szCs w:val="24"/>
        </w:rPr>
        <w:t>b</w:t>
      </w:r>
      <w:r w:rsidR="00061DD0">
        <w:rPr>
          <w:rFonts w:cs="Arial"/>
          <w:sz w:val="24"/>
          <w:szCs w:val="24"/>
        </w:rPr>
        <w:t>AT</w:t>
      </w:r>
      <w:proofErr w:type="spellEnd"/>
      <w:r w:rsidR="00061DD0">
        <w:rPr>
          <w:rFonts w:cs="Arial"/>
          <w:sz w:val="24"/>
          <w:szCs w:val="24"/>
        </w:rPr>
        <w:t>)</w:t>
      </w:r>
      <w:r w:rsidR="00DE641B">
        <w:rPr>
          <w:rFonts w:cs="Arial"/>
          <w:sz w:val="24"/>
          <w:szCs w:val="24"/>
        </w:rPr>
        <w:t xml:space="preserve"> </w:t>
      </w:r>
      <w:r w:rsidR="005B563F" w:rsidRPr="0022431D">
        <w:rPr>
          <w:rFonts w:cs="Arial"/>
          <w:sz w:val="24"/>
          <w:szCs w:val="24"/>
        </w:rPr>
        <w:t xml:space="preserve">can </w:t>
      </w:r>
      <w:r w:rsidR="00061DD0">
        <w:rPr>
          <w:rFonts w:cs="Arial"/>
          <w:sz w:val="24"/>
          <w:szCs w:val="24"/>
        </w:rPr>
        <w:t xml:space="preserve">provide </w:t>
      </w:r>
      <w:r w:rsidR="005B563F" w:rsidRPr="0022431D">
        <w:rPr>
          <w:rFonts w:cs="Arial"/>
          <w:sz w:val="24"/>
          <w:szCs w:val="24"/>
        </w:rPr>
        <w:t>successful vocational pathway</w:t>
      </w:r>
      <w:r w:rsidR="00061DD0">
        <w:rPr>
          <w:rFonts w:cs="Arial"/>
          <w:sz w:val="24"/>
          <w:szCs w:val="24"/>
        </w:rPr>
        <w:t>s</w:t>
      </w:r>
      <w:r w:rsidR="005B563F" w:rsidRPr="0022431D">
        <w:rPr>
          <w:rFonts w:cs="Arial"/>
          <w:sz w:val="24"/>
          <w:szCs w:val="24"/>
        </w:rPr>
        <w:t xml:space="preserve"> in the transition from school for young peo</w:t>
      </w:r>
      <w:r w:rsidR="00DE641B">
        <w:rPr>
          <w:rFonts w:cs="Arial"/>
          <w:sz w:val="24"/>
          <w:szCs w:val="24"/>
        </w:rPr>
        <w:t>ple with disabilities including</w:t>
      </w:r>
      <w:r w:rsidR="005B563F" w:rsidRPr="0022431D">
        <w:rPr>
          <w:rFonts w:cs="Arial"/>
          <w:sz w:val="24"/>
          <w:szCs w:val="24"/>
        </w:rPr>
        <w:t xml:space="preserve"> those </w:t>
      </w:r>
      <w:r w:rsidR="004969ED">
        <w:rPr>
          <w:rFonts w:cs="Arial"/>
          <w:sz w:val="24"/>
          <w:szCs w:val="24"/>
        </w:rPr>
        <w:t xml:space="preserve">with an </w:t>
      </w:r>
      <w:r w:rsidR="005B563F" w:rsidRPr="0022431D">
        <w:rPr>
          <w:rFonts w:cs="Arial"/>
          <w:sz w:val="24"/>
          <w:szCs w:val="24"/>
        </w:rPr>
        <w:t xml:space="preserve">intellectual </w:t>
      </w:r>
      <w:r w:rsidR="00DE641B" w:rsidRPr="0022431D">
        <w:rPr>
          <w:rFonts w:cs="Arial"/>
          <w:sz w:val="24"/>
          <w:szCs w:val="24"/>
        </w:rPr>
        <w:t>disability</w:t>
      </w:r>
      <w:r w:rsidR="005B563F" w:rsidRPr="0022431D">
        <w:rPr>
          <w:rFonts w:cs="Arial"/>
          <w:sz w:val="24"/>
          <w:szCs w:val="24"/>
        </w:rPr>
        <w:t xml:space="preserve">. </w:t>
      </w:r>
      <w:r w:rsidR="00061DD0">
        <w:rPr>
          <w:rFonts w:cs="Arial"/>
          <w:sz w:val="24"/>
          <w:szCs w:val="24"/>
        </w:rPr>
        <w:t>The identified e</w:t>
      </w:r>
      <w:r w:rsidR="005B563F" w:rsidRPr="0022431D">
        <w:rPr>
          <w:rFonts w:cs="Arial"/>
          <w:sz w:val="24"/>
          <w:szCs w:val="24"/>
        </w:rPr>
        <w:t>conomic outcomes include high workforce participation and employment rates and income, comparable to similarly aged Australians without disab</w:t>
      </w:r>
      <w:r w:rsidR="005B563F" w:rsidRPr="00CD5129">
        <w:rPr>
          <w:rFonts w:cs="Arial"/>
          <w:sz w:val="24"/>
          <w:szCs w:val="24"/>
        </w:rPr>
        <w:t>ility</w:t>
      </w:r>
      <w:r w:rsidR="00CD5129" w:rsidRPr="00CD5129">
        <w:rPr>
          <w:rFonts w:cs="Arial"/>
          <w:sz w:val="24"/>
          <w:szCs w:val="24"/>
        </w:rPr>
        <w:t xml:space="preserve"> (</w:t>
      </w:r>
      <w:r w:rsidR="00CD5129" w:rsidRPr="00CD5129">
        <w:rPr>
          <w:sz w:val="24"/>
          <w:szCs w:val="24"/>
        </w:rPr>
        <w:t xml:space="preserve">Cocks, Errol and </w:t>
      </w:r>
      <w:proofErr w:type="spellStart"/>
      <w:r w:rsidR="00CD5129" w:rsidRPr="00CD5129">
        <w:rPr>
          <w:sz w:val="24"/>
          <w:szCs w:val="24"/>
        </w:rPr>
        <w:t>Thoresen</w:t>
      </w:r>
      <w:proofErr w:type="spellEnd"/>
      <w:r w:rsidR="00CD5129" w:rsidRPr="00CD5129">
        <w:rPr>
          <w:sz w:val="24"/>
          <w:szCs w:val="24"/>
        </w:rPr>
        <w:t xml:space="preserve">, </w:t>
      </w:r>
      <w:proofErr w:type="spellStart"/>
      <w:r w:rsidR="00CD5129" w:rsidRPr="00CD5129">
        <w:rPr>
          <w:sz w:val="24"/>
          <w:szCs w:val="24"/>
        </w:rPr>
        <w:t>Stian</w:t>
      </w:r>
      <w:proofErr w:type="spellEnd"/>
      <w:r w:rsidR="00CD5129" w:rsidRPr="00CD5129">
        <w:rPr>
          <w:sz w:val="24"/>
          <w:szCs w:val="24"/>
        </w:rPr>
        <w:t xml:space="preserve"> H. 2013).</w:t>
      </w:r>
    </w:p>
    <w:p w14:paraId="3C68B921" w14:textId="1C008702" w:rsidR="00D91F50" w:rsidRDefault="00D91F50" w:rsidP="00CD5129">
      <w:pPr>
        <w:widowControl w:val="0"/>
        <w:autoSpaceDE w:val="0"/>
        <w:autoSpaceDN w:val="0"/>
        <w:adjustRightInd w:val="0"/>
        <w:spacing w:after="0" w:line="240" w:lineRule="auto"/>
        <w:ind w:left="500" w:right="200" w:hanging="500"/>
        <w:rPr>
          <w:rFonts w:cs="Arial"/>
          <w:szCs w:val="20"/>
        </w:rPr>
      </w:pPr>
      <w:r w:rsidRPr="0022431D">
        <w:rPr>
          <w:rFonts w:cs="Arial"/>
          <w:sz w:val="24"/>
          <w:szCs w:val="24"/>
        </w:rPr>
        <w:t>Cocks and</w:t>
      </w:r>
      <w:r w:rsidR="005B563F" w:rsidRPr="0022431D">
        <w:rPr>
          <w:rFonts w:cs="Arial"/>
          <w:sz w:val="24"/>
          <w:szCs w:val="24"/>
        </w:rPr>
        <w:t xml:space="preserve"> </w:t>
      </w:r>
      <w:proofErr w:type="spellStart"/>
      <w:r w:rsidR="005B563F" w:rsidRPr="0022431D">
        <w:rPr>
          <w:rFonts w:cs="Arial"/>
          <w:sz w:val="24"/>
          <w:szCs w:val="24"/>
        </w:rPr>
        <w:t>Thoresen</w:t>
      </w:r>
      <w:proofErr w:type="spellEnd"/>
      <w:r w:rsidR="005B563F" w:rsidRPr="0022431D">
        <w:rPr>
          <w:rFonts w:cs="Arial"/>
          <w:sz w:val="24"/>
          <w:szCs w:val="24"/>
        </w:rPr>
        <w:t xml:space="preserve"> (2013) found</w:t>
      </w:r>
      <w:r w:rsidRPr="0022431D">
        <w:rPr>
          <w:rFonts w:cs="Arial"/>
          <w:sz w:val="24"/>
          <w:szCs w:val="24"/>
        </w:rPr>
        <w:t xml:space="preserve"> that VDSS is advantageous for young people with disabilities as support can be provided by the school, as well as other involved stakeholders which may include the employer, DES, Group Training Organisations (GTOs), Registered Training Organisations (RTOs) including technical and further education (TAFE) institutes, as well as family, friends</w:t>
      </w:r>
      <w:r w:rsidR="004969ED">
        <w:rPr>
          <w:rFonts w:cs="Arial"/>
          <w:sz w:val="24"/>
          <w:szCs w:val="24"/>
        </w:rPr>
        <w:t xml:space="preserve"> </w:t>
      </w:r>
      <w:r w:rsidRPr="0022431D">
        <w:rPr>
          <w:rFonts w:cs="Arial"/>
          <w:sz w:val="24"/>
          <w:szCs w:val="24"/>
        </w:rPr>
        <w:t>and work colleagues. They found that “VDSS can be a successful vocational pathway in the transition from school for young people with disabilities</w:t>
      </w:r>
      <w:r w:rsidRPr="00CD5129">
        <w:rPr>
          <w:rFonts w:cs="Arial"/>
          <w:sz w:val="24"/>
          <w:szCs w:val="24"/>
        </w:rPr>
        <w:t>” (</w:t>
      </w:r>
      <w:r w:rsidR="00CD5129" w:rsidRPr="00CD5129">
        <w:rPr>
          <w:rFonts w:cs="Arial"/>
          <w:sz w:val="24"/>
          <w:szCs w:val="24"/>
        </w:rPr>
        <w:t xml:space="preserve">Cocks, Errol and </w:t>
      </w:r>
      <w:proofErr w:type="spellStart"/>
      <w:r w:rsidR="00CD5129" w:rsidRPr="00CD5129">
        <w:rPr>
          <w:rFonts w:cs="Arial"/>
          <w:sz w:val="24"/>
          <w:szCs w:val="24"/>
        </w:rPr>
        <w:t>Thoresen</w:t>
      </w:r>
      <w:proofErr w:type="spellEnd"/>
      <w:r w:rsidR="00CD5129" w:rsidRPr="00CD5129">
        <w:rPr>
          <w:rFonts w:cs="Arial"/>
          <w:sz w:val="24"/>
          <w:szCs w:val="24"/>
        </w:rPr>
        <w:t xml:space="preserve">, </w:t>
      </w:r>
      <w:proofErr w:type="spellStart"/>
      <w:r w:rsidR="00CD5129" w:rsidRPr="00CD5129">
        <w:rPr>
          <w:rFonts w:cs="Arial"/>
          <w:sz w:val="24"/>
          <w:szCs w:val="24"/>
        </w:rPr>
        <w:t>Stian</w:t>
      </w:r>
      <w:proofErr w:type="spellEnd"/>
      <w:r w:rsidR="00CD5129" w:rsidRPr="00CD5129">
        <w:rPr>
          <w:rFonts w:cs="Arial"/>
          <w:sz w:val="24"/>
          <w:szCs w:val="24"/>
        </w:rPr>
        <w:t xml:space="preserve"> H. </w:t>
      </w:r>
      <w:r w:rsidRPr="0022431D">
        <w:rPr>
          <w:rFonts w:cs="Arial"/>
          <w:sz w:val="24"/>
          <w:szCs w:val="24"/>
        </w:rPr>
        <w:t>2013, p.8)</w:t>
      </w:r>
      <w:r w:rsidR="004969ED">
        <w:rPr>
          <w:rFonts w:cs="Arial"/>
          <w:sz w:val="24"/>
          <w:szCs w:val="24"/>
        </w:rPr>
        <w:t>.</w:t>
      </w:r>
      <w:r w:rsidR="00CD5129">
        <w:rPr>
          <w:rFonts w:cs="Arial"/>
          <w:sz w:val="24"/>
          <w:szCs w:val="24"/>
        </w:rPr>
        <w:t xml:space="preserve"> </w:t>
      </w:r>
      <w:r w:rsidR="00915760" w:rsidRPr="0022431D">
        <w:rPr>
          <w:rFonts w:cs="Arial"/>
          <w:sz w:val="24"/>
          <w:szCs w:val="24"/>
        </w:rPr>
        <w:t xml:space="preserve">This is confirmed in the </w:t>
      </w:r>
      <w:proofErr w:type="spellStart"/>
      <w:r w:rsidR="00915760" w:rsidRPr="0022431D">
        <w:rPr>
          <w:rFonts w:cs="Arial"/>
          <w:sz w:val="24"/>
          <w:szCs w:val="24"/>
        </w:rPr>
        <w:t>S</w:t>
      </w:r>
      <w:r w:rsidR="00061DD0">
        <w:rPr>
          <w:rFonts w:cs="Arial"/>
          <w:sz w:val="24"/>
          <w:szCs w:val="24"/>
        </w:rPr>
        <w:t>h</w:t>
      </w:r>
      <w:r w:rsidR="00A1646F">
        <w:rPr>
          <w:rFonts w:cs="Arial"/>
          <w:sz w:val="24"/>
          <w:szCs w:val="24"/>
        </w:rPr>
        <w:t>ergold</w:t>
      </w:r>
      <w:proofErr w:type="spellEnd"/>
      <w:r w:rsidR="00A1646F">
        <w:rPr>
          <w:rFonts w:cs="Arial"/>
          <w:sz w:val="24"/>
          <w:szCs w:val="24"/>
        </w:rPr>
        <w:t xml:space="preserve"> </w:t>
      </w:r>
      <w:r w:rsidR="00A1646F" w:rsidRPr="00CD5129">
        <w:rPr>
          <w:rFonts w:cs="Arial"/>
          <w:sz w:val="24"/>
          <w:szCs w:val="24"/>
        </w:rPr>
        <w:t>review</w:t>
      </w:r>
      <w:r w:rsidR="00CD5129" w:rsidRPr="00CD5129">
        <w:rPr>
          <w:rFonts w:cs="Arial"/>
          <w:sz w:val="24"/>
          <w:szCs w:val="24"/>
        </w:rPr>
        <w:t xml:space="preserve"> (Panel for the Education Council Review of Senior Secondary</w:t>
      </w:r>
      <w:r w:rsidR="0014158E">
        <w:rPr>
          <w:rFonts w:cs="Arial"/>
          <w:sz w:val="24"/>
          <w:szCs w:val="24"/>
        </w:rPr>
        <w:t xml:space="preserve"> </w:t>
      </w:r>
      <w:r w:rsidR="00CD5129" w:rsidRPr="00CD5129">
        <w:rPr>
          <w:rFonts w:cs="Arial"/>
          <w:sz w:val="24"/>
          <w:szCs w:val="24"/>
        </w:rPr>
        <w:lastRenderedPageBreak/>
        <w:t>Pathways into Work, Further Education and Training 2020).</w:t>
      </w:r>
    </w:p>
    <w:p w14:paraId="15263971" w14:textId="77777777" w:rsidR="00CD5129" w:rsidRPr="00CD5129" w:rsidRDefault="00CD5129" w:rsidP="00CD5129">
      <w:pPr>
        <w:widowControl w:val="0"/>
        <w:autoSpaceDE w:val="0"/>
        <w:autoSpaceDN w:val="0"/>
        <w:adjustRightInd w:val="0"/>
        <w:spacing w:after="0" w:line="240" w:lineRule="auto"/>
        <w:ind w:left="500" w:right="200" w:hanging="500"/>
        <w:rPr>
          <w:rFonts w:cs="Arial"/>
          <w:szCs w:val="20"/>
        </w:rPr>
      </w:pPr>
    </w:p>
    <w:p w14:paraId="1892E9C1" w14:textId="77777777" w:rsidR="00D91F50" w:rsidRPr="0022431D" w:rsidRDefault="00D91F50" w:rsidP="00100676">
      <w:pPr>
        <w:autoSpaceDE w:val="0"/>
        <w:autoSpaceDN w:val="0"/>
        <w:adjustRightInd w:val="0"/>
        <w:spacing w:after="160" w:line="259" w:lineRule="auto"/>
        <w:rPr>
          <w:rFonts w:cs="Arial"/>
          <w:sz w:val="24"/>
          <w:szCs w:val="24"/>
        </w:rPr>
      </w:pPr>
      <w:proofErr w:type="spellStart"/>
      <w:r w:rsidRPr="0022431D">
        <w:rPr>
          <w:rFonts w:cs="Arial"/>
          <w:sz w:val="24"/>
          <w:szCs w:val="24"/>
        </w:rPr>
        <w:t>Polidano</w:t>
      </w:r>
      <w:proofErr w:type="spellEnd"/>
      <w:r w:rsidRPr="0022431D">
        <w:rPr>
          <w:rFonts w:cs="Arial"/>
          <w:sz w:val="24"/>
          <w:szCs w:val="24"/>
        </w:rPr>
        <w:t xml:space="preserve"> (2010) also confirms that completing a VET qualification not only helps people with a disability to find work, but it also increases their chances of sustaining employment into the future.</w:t>
      </w:r>
    </w:p>
    <w:p w14:paraId="571E3E85" w14:textId="5B4807E8" w:rsidR="00C8624C" w:rsidRPr="0022431D" w:rsidRDefault="00C8624C" w:rsidP="00100676">
      <w:pPr>
        <w:autoSpaceDE w:val="0"/>
        <w:autoSpaceDN w:val="0"/>
        <w:adjustRightInd w:val="0"/>
        <w:spacing w:after="160" w:line="259" w:lineRule="auto"/>
        <w:rPr>
          <w:rFonts w:cs="Arial"/>
          <w:sz w:val="24"/>
          <w:szCs w:val="24"/>
        </w:rPr>
      </w:pPr>
      <w:r w:rsidRPr="0022431D">
        <w:rPr>
          <w:rFonts w:cs="Arial"/>
          <w:color w:val="292929"/>
          <w:sz w:val="24"/>
          <w:szCs w:val="24"/>
          <w:shd w:val="clear" w:color="auto" w:fill="FFFFFF"/>
        </w:rPr>
        <w:t xml:space="preserve">Apprenticeships and traineeships have been shown to be beneficial pathways for people with disabilities, particularly for people with intellectual and learning disabilities (Lewis, </w:t>
      </w:r>
      <w:proofErr w:type="spellStart"/>
      <w:r w:rsidRPr="0022431D">
        <w:rPr>
          <w:rFonts w:cs="Arial"/>
          <w:color w:val="292929"/>
          <w:sz w:val="24"/>
          <w:szCs w:val="24"/>
          <w:shd w:val="clear" w:color="auto" w:fill="FFFFFF"/>
        </w:rPr>
        <w:t>Thoresen</w:t>
      </w:r>
      <w:proofErr w:type="spellEnd"/>
      <w:r w:rsidRPr="0022431D">
        <w:rPr>
          <w:rFonts w:cs="Arial"/>
          <w:color w:val="292929"/>
          <w:sz w:val="24"/>
          <w:szCs w:val="24"/>
          <w:shd w:val="clear" w:color="auto" w:fill="FFFFFF"/>
        </w:rPr>
        <w:t xml:space="preserve"> &amp; Cocks 2011a, 2011b), for obtaining qualifications and employment as they combine training and education with practical work. Although the outcomes among apprenticeship and traineeship graduates with disabilities are </w:t>
      </w:r>
      <w:proofErr w:type="gramStart"/>
      <w:r w:rsidRPr="0022431D">
        <w:rPr>
          <w:rFonts w:cs="Arial"/>
          <w:color w:val="292929"/>
          <w:sz w:val="24"/>
          <w:szCs w:val="24"/>
          <w:shd w:val="clear" w:color="auto" w:fill="FFFFFF"/>
        </w:rPr>
        <w:t>similar to</w:t>
      </w:r>
      <w:proofErr w:type="gramEnd"/>
      <w:r w:rsidRPr="0022431D">
        <w:rPr>
          <w:rFonts w:cs="Arial"/>
          <w:color w:val="292929"/>
          <w:sz w:val="24"/>
          <w:szCs w:val="24"/>
          <w:shd w:val="clear" w:color="auto" w:fill="FFFFFF"/>
        </w:rPr>
        <w:t xml:space="preserve"> graduates without disabilities (Ball &amp; John 2005), people with disabilities are less likely to undertake and complete apprenticeships and traineeships than their peers without disabilities (ANTA 2000; Bagshaw &amp; Fowler; Cavallaro et al 2005; Griffin &amp; </w:t>
      </w:r>
      <w:proofErr w:type="spellStart"/>
      <w:r w:rsidRPr="0022431D">
        <w:rPr>
          <w:rFonts w:cs="Arial"/>
          <w:color w:val="292929"/>
          <w:sz w:val="24"/>
          <w:szCs w:val="24"/>
          <w:shd w:val="clear" w:color="auto" w:fill="FFFFFF"/>
        </w:rPr>
        <w:t>Beddie</w:t>
      </w:r>
      <w:proofErr w:type="spellEnd"/>
      <w:r w:rsidRPr="0022431D">
        <w:rPr>
          <w:rFonts w:cs="Arial"/>
          <w:color w:val="292929"/>
          <w:sz w:val="24"/>
          <w:szCs w:val="24"/>
          <w:shd w:val="clear" w:color="auto" w:fill="FFFFFF"/>
        </w:rPr>
        <w:t xml:space="preserve"> 2011; NCVER 2011c; National VET Equity </w:t>
      </w:r>
      <w:r w:rsidRPr="0022431D">
        <w:rPr>
          <w:rFonts w:cs="Arial"/>
          <w:sz w:val="24"/>
          <w:szCs w:val="24"/>
        </w:rPr>
        <w:t>Advisory Council 2011). </w:t>
      </w:r>
    </w:p>
    <w:p w14:paraId="3E515101" w14:textId="75643841" w:rsidR="00D91F50" w:rsidRPr="0022431D" w:rsidRDefault="00C8624C" w:rsidP="00100676">
      <w:pPr>
        <w:autoSpaceDE w:val="0"/>
        <w:autoSpaceDN w:val="0"/>
        <w:adjustRightInd w:val="0"/>
        <w:spacing w:after="160" w:line="259" w:lineRule="auto"/>
        <w:rPr>
          <w:rFonts w:cs="Arial"/>
          <w:sz w:val="24"/>
          <w:szCs w:val="24"/>
        </w:rPr>
      </w:pPr>
      <w:r w:rsidRPr="0022431D">
        <w:rPr>
          <w:rFonts w:cs="Arial"/>
          <w:sz w:val="24"/>
          <w:szCs w:val="24"/>
        </w:rPr>
        <w:t>It has been found that students with a disability enrolled in an apprenticeship or traineeship have better employment outcomes, when compared against other types of VET courses (Barnett 2004; Clark 2007). Likewise, training that involves practical experience in the workplace is more likely to lead to employment for young people with a disability (Dawe 2004; Clark 2007).</w:t>
      </w:r>
    </w:p>
    <w:p w14:paraId="509D614A" w14:textId="74306181" w:rsidR="00D91F50" w:rsidRPr="0022431D" w:rsidRDefault="00D91F50" w:rsidP="00100676">
      <w:pPr>
        <w:autoSpaceDE w:val="0"/>
        <w:autoSpaceDN w:val="0"/>
        <w:adjustRightInd w:val="0"/>
        <w:spacing w:after="160" w:line="259" w:lineRule="auto"/>
        <w:rPr>
          <w:rFonts w:cs="Arial"/>
          <w:sz w:val="24"/>
          <w:szCs w:val="24"/>
        </w:rPr>
      </w:pPr>
      <w:r w:rsidRPr="0022431D">
        <w:rPr>
          <w:rFonts w:cs="Arial"/>
          <w:sz w:val="24"/>
          <w:szCs w:val="24"/>
        </w:rPr>
        <w:t xml:space="preserve">Cocks and </w:t>
      </w:r>
      <w:proofErr w:type="spellStart"/>
      <w:r w:rsidRPr="0022431D">
        <w:rPr>
          <w:rFonts w:cs="Arial"/>
          <w:sz w:val="24"/>
          <w:szCs w:val="24"/>
        </w:rPr>
        <w:t>Thoresen</w:t>
      </w:r>
      <w:proofErr w:type="spellEnd"/>
      <w:r w:rsidRPr="0022431D">
        <w:rPr>
          <w:rFonts w:cs="Arial"/>
          <w:sz w:val="24"/>
          <w:szCs w:val="24"/>
        </w:rPr>
        <w:t xml:space="preserve"> (2013), found economic outcomes in participating in apprenticeship and traineeship for people with a disability included high workforce participation and employment rates and income, comparable to similarly aged Australians without disability” (2013, p.8).</w:t>
      </w:r>
      <w:r w:rsidR="0014158E">
        <w:rPr>
          <w:rFonts w:cs="Arial"/>
          <w:sz w:val="24"/>
          <w:szCs w:val="24"/>
        </w:rPr>
        <w:t xml:space="preserve"> </w:t>
      </w:r>
      <w:r w:rsidR="0014158E" w:rsidRPr="0022431D">
        <w:rPr>
          <w:rFonts w:cs="Arial"/>
          <w:sz w:val="24"/>
          <w:szCs w:val="24"/>
        </w:rPr>
        <w:t xml:space="preserve"> </w:t>
      </w:r>
      <w:r w:rsidRPr="0022431D">
        <w:rPr>
          <w:rFonts w:cs="Arial"/>
          <w:sz w:val="24"/>
          <w:szCs w:val="24"/>
        </w:rPr>
        <w:t>This is unlike other forms of employment where there is an ‘unexplained’ income gap between people with disability and those without disability (</w:t>
      </w:r>
      <w:proofErr w:type="spellStart"/>
      <w:r w:rsidRPr="0022431D">
        <w:rPr>
          <w:rFonts w:cs="Arial"/>
          <w:sz w:val="24"/>
          <w:szCs w:val="24"/>
        </w:rPr>
        <w:t>Mavromaras</w:t>
      </w:r>
      <w:proofErr w:type="spellEnd"/>
      <w:r w:rsidRPr="0022431D">
        <w:rPr>
          <w:rFonts w:cs="Arial"/>
          <w:sz w:val="24"/>
          <w:szCs w:val="24"/>
        </w:rPr>
        <w:t>, 2009).</w:t>
      </w:r>
    </w:p>
    <w:p w14:paraId="40AA2A20" w14:textId="59078D30" w:rsidR="00942F79" w:rsidRPr="002227D5" w:rsidRDefault="00DE641B" w:rsidP="00100676">
      <w:pPr>
        <w:autoSpaceDE w:val="0"/>
        <w:autoSpaceDN w:val="0"/>
        <w:adjustRightInd w:val="0"/>
        <w:spacing w:after="160" w:line="259" w:lineRule="auto"/>
        <w:rPr>
          <w:rFonts w:cs="Arial"/>
          <w:sz w:val="24"/>
          <w:szCs w:val="24"/>
        </w:rPr>
      </w:pPr>
      <w:r w:rsidRPr="002227D5">
        <w:rPr>
          <w:rFonts w:cs="Arial"/>
          <w:sz w:val="24"/>
          <w:szCs w:val="24"/>
        </w:rPr>
        <w:t>Students</w:t>
      </w:r>
      <w:r w:rsidR="00D607D9" w:rsidRPr="002227D5">
        <w:rPr>
          <w:rFonts w:cs="Arial"/>
          <w:sz w:val="24"/>
          <w:szCs w:val="24"/>
        </w:rPr>
        <w:t xml:space="preserve"> with disability are not getting effective career development and </w:t>
      </w:r>
      <w:r w:rsidR="00061DD0">
        <w:rPr>
          <w:rFonts w:cs="Arial"/>
          <w:sz w:val="24"/>
          <w:szCs w:val="24"/>
        </w:rPr>
        <w:t xml:space="preserve">the </w:t>
      </w:r>
      <w:r w:rsidR="00D607D9" w:rsidRPr="002227D5">
        <w:rPr>
          <w:rFonts w:cs="Arial"/>
          <w:sz w:val="24"/>
          <w:szCs w:val="24"/>
        </w:rPr>
        <w:t xml:space="preserve">opportunities </w:t>
      </w:r>
      <w:r w:rsidR="00061DD0">
        <w:rPr>
          <w:rFonts w:cs="Arial"/>
          <w:sz w:val="24"/>
          <w:szCs w:val="24"/>
        </w:rPr>
        <w:t xml:space="preserve">which would enable them </w:t>
      </w:r>
      <w:r w:rsidR="00D607D9" w:rsidRPr="002227D5">
        <w:rPr>
          <w:rFonts w:cs="Arial"/>
          <w:sz w:val="24"/>
          <w:szCs w:val="24"/>
        </w:rPr>
        <w:t xml:space="preserve">to </w:t>
      </w:r>
      <w:r w:rsidR="00B816FA">
        <w:rPr>
          <w:rFonts w:cs="Arial"/>
          <w:sz w:val="24"/>
          <w:szCs w:val="24"/>
        </w:rPr>
        <w:t>have a degree of control (self-</w:t>
      </w:r>
      <w:r w:rsidRPr="002227D5">
        <w:rPr>
          <w:rFonts w:cs="Arial"/>
          <w:sz w:val="24"/>
          <w:szCs w:val="24"/>
        </w:rPr>
        <w:t>determine</w:t>
      </w:r>
      <w:r w:rsidR="00B816FA">
        <w:rPr>
          <w:rFonts w:cs="Arial"/>
          <w:sz w:val="24"/>
          <w:szCs w:val="24"/>
        </w:rPr>
        <w:t>)</w:t>
      </w:r>
      <w:r w:rsidR="00D607D9" w:rsidRPr="002227D5">
        <w:rPr>
          <w:rFonts w:cs="Arial"/>
          <w:sz w:val="24"/>
          <w:szCs w:val="24"/>
        </w:rPr>
        <w:t xml:space="preserve"> </w:t>
      </w:r>
      <w:r w:rsidR="00B816FA">
        <w:rPr>
          <w:rFonts w:cs="Arial"/>
          <w:sz w:val="24"/>
          <w:szCs w:val="24"/>
        </w:rPr>
        <w:t xml:space="preserve">over </w:t>
      </w:r>
      <w:r w:rsidR="00942F79" w:rsidRPr="002227D5">
        <w:rPr>
          <w:rFonts w:cs="Arial"/>
          <w:sz w:val="24"/>
          <w:szCs w:val="24"/>
        </w:rPr>
        <w:t>the</w:t>
      </w:r>
      <w:r w:rsidR="00061DD0">
        <w:rPr>
          <w:rFonts w:cs="Arial"/>
          <w:sz w:val="24"/>
          <w:szCs w:val="24"/>
        </w:rPr>
        <w:t>i</w:t>
      </w:r>
      <w:r w:rsidR="00942F79" w:rsidRPr="002227D5">
        <w:rPr>
          <w:rFonts w:cs="Arial"/>
          <w:sz w:val="24"/>
          <w:szCs w:val="24"/>
        </w:rPr>
        <w:t>r</w:t>
      </w:r>
      <w:r w:rsidR="00B816FA">
        <w:rPr>
          <w:rFonts w:cs="Arial"/>
          <w:sz w:val="24"/>
          <w:szCs w:val="24"/>
        </w:rPr>
        <w:t xml:space="preserve"> own</w:t>
      </w:r>
      <w:r w:rsidR="00942F79" w:rsidRPr="002227D5">
        <w:rPr>
          <w:rFonts w:cs="Arial"/>
          <w:sz w:val="24"/>
          <w:szCs w:val="24"/>
        </w:rPr>
        <w:t xml:space="preserve"> future</w:t>
      </w:r>
      <w:r w:rsidR="00B816FA">
        <w:rPr>
          <w:rFonts w:cs="Arial"/>
          <w:sz w:val="24"/>
          <w:szCs w:val="24"/>
        </w:rPr>
        <w:t>s</w:t>
      </w:r>
      <w:r w:rsidR="00942F79" w:rsidRPr="002227D5">
        <w:rPr>
          <w:rFonts w:cs="Arial"/>
          <w:sz w:val="24"/>
          <w:szCs w:val="24"/>
        </w:rPr>
        <w:t>.</w:t>
      </w:r>
      <w:r w:rsidR="006B45CB">
        <w:rPr>
          <w:rFonts w:cs="Arial"/>
          <w:sz w:val="24"/>
          <w:szCs w:val="24"/>
        </w:rPr>
        <w:t xml:space="preserve"> </w:t>
      </w:r>
      <w:r w:rsidR="00942F79" w:rsidRPr="002227D5">
        <w:rPr>
          <w:rFonts w:cs="Arial"/>
          <w:sz w:val="24"/>
          <w:szCs w:val="24"/>
        </w:rPr>
        <w:t xml:space="preserve">NDIS data found when young people with disability </w:t>
      </w:r>
      <w:r>
        <w:rPr>
          <w:rFonts w:cs="Arial"/>
          <w:sz w:val="24"/>
          <w:szCs w:val="24"/>
        </w:rPr>
        <w:t xml:space="preserve">were </w:t>
      </w:r>
      <w:r w:rsidR="00942F79" w:rsidRPr="002227D5">
        <w:rPr>
          <w:rFonts w:cs="Arial"/>
          <w:sz w:val="24"/>
          <w:szCs w:val="24"/>
        </w:rPr>
        <w:t xml:space="preserve">asked </w:t>
      </w:r>
      <w:r>
        <w:rPr>
          <w:rFonts w:cs="Arial"/>
          <w:sz w:val="24"/>
          <w:szCs w:val="24"/>
        </w:rPr>
        <w:t>‘</w:t>
      </w:r>
      <w:r w:rsidR="00942F79" w:rsidRPr="002227D5">
        <w:rPr>
          <w:rFonts w:cs="Arial"/>
          <w:sz w:val="24"/>
          <w:szCs w:val="24"/>
          <w:lang w:val="en-US"/>
        </w:rPr>
        <w:t>What involvement do/did you have in planning for your life after your school years?</w:t>
      </w:r>
      <w:r>
        <w:rPr>
          <w:rFonts w:cs="Arial"/>
          <w:sz w:val="24"/>
          <w:szCs w:val="24"/>
          <w:lang w:val="en-US"/>
        </w:rPr>
        <w:t>’</w:t>
      </w:r>
      <w:r w:rsidR="00942F79" w:rsidRPr="002227D5">
        <w:rPr>
          <w:rFonts w:cs="Arial"/>
          <w:sz w:val="24"/>
          <w:szCs w:val="24"/>
          <w:lang w:val="en-US"/>
        </w:rPr>
        <w:t xml:space="preserve"> </w:t>
      </w:r>
      <w:r w:rsidR="004969ED" w:rsidRPr="002227D5">
        <w:rPr>
          <w:rFonts w:cs="Arial"/>
          <w:sz w:val="24"/>
          <w:szCs w:val="24"/>
          <w:lang w:val="en-US"/>
        </w:rPr>
        <w:t>A</w:t>
      </w:r>
      <w:r w:rsidR="004969ED">
        <w:rPr>
          <w:rFonts w:cs="Arial"/>
          <w:sz w:val="24"/>
          <w:szCs w:val="24"/>
          <w:lang w:val="en-US"/>
        </w:rPr>
        <w:t>pproximately</w:t>
      </w:r>
      <w:r w:rsidR="00942F79" w:rsidRPr="002227D5">
        <w:rPr>
          <w:rFonts w:cs="Arial"/>
          <w:sz w:val="24"/>
          <w:szCs w:val="24"/>
          <w:lang w:val="en-US"/>
        </w:rPr>
        <w:t xml:space="preserve"> 33% said that they had </w:t>
      </w:r>
      <w:proofErr w:type="gramStart"/>
      <w:r w:rsidR="00942F79" w:rsidRPr="002227D5">
        <w:rPr>
          <w:rFonts w:cs="Arial"/>
          <w:sz w:val="24"/>
          <w:szCs w:val="24"/>
          <w:lang w:val="en-US"/>
        </w:rPr>
        <w:t>no</w:t>
      </w:r>
      <w:proofErr w:type="gramEnd"/>
      <w:r w:rsidR="00942F79" w:rsidRPr="002227D5">
        <w:rPr>
          <w:rFonts w:cs="Arial"/>
          <w:sz w:val="24"/>
          <w:szCs w:val="24"/>
          <w:lang w:val="en-US"/>
        </w:rPr>
        <w:t xml:space="preserve"> input into decision</w:t>
      </w:r>
      <w:r w:rsidR="00B816FA">
        <w:rPr>
          <w:rFonts w:cs="Arial"/>
          <w:sz w:val="24"/>
          <w:szCs w:val="24"/>
          <w:lang w:val="en-US"/>
        </w:rPr>
        <w:t>s</w:t>
      </w:r>
      <w:r w:rsidR="00942F79" w:rsidRPr="002227D5">
        <w:rPr>
          <w:rFonts w:cs="Arial"/>
          <w:sz w:val="24"/>
          <w:szCs w:val="24"/>
          <w:lang w:val="en-US"/>
        </w:rPr>
        <w:t xml:space="preserve"> about their life after school, 47% had some </w:t>
      </w:r>
      <w:r w:rsidRPr="002227D5">
        <w:rPr>
          <w:rFonts w:cs="Arial"/>
          <w:sz w:val="24"/>
          <w:szCs w:val="24"/>
          <w:lang w:val="en-US"/>
        </w:rPr>
        <w:t>input</w:t>
      </w:r>
      <w:r w:rsidR="00942F79" w:rsidRPr="002227D5">
        <w:rPr>
          <w:rFonts w:cs="Arial"/>
          <w:sz w:val="24"/>
          <w:szCs w:val="24"/>
          <w:lang w:val="en-US"/>
        </w:rPr>
        <w:t xml:space="preserve"> and only 20% said they made</w:t>
      </w:r>
      <w:r w:rsidR="00B816FA">
        <w:rPr>
          <w:rFonts w:cs="Arial"/>
          <w:sz w:val="24"/>
          <w:szCs w:val="24"/>
          <w:lang w:val="en-US"/>
        </w:rPr>
        <w:t xml:space="preserve"> the</w:t>
      </w:r>
      <w:r w:rsidR="00942F79" w:rsidRPr="002227D5">
        <w:rPr>
          <w:rFonts w:cs="Arial"/>
          <w:sz w:val="24"/>
          <w:szCs w:val="24"/>
          <w:lang w:val="en-US"/>
        </w:rPr>
        <w:t xml:space="preserve"> decision</w:t>
      </w:r>
      <w:r w:rsidR="00B816FA">
        <w:rPr>
          <w:rFonts w:cs="Arial"/>
          <w:sz w:val="24"/>
          <w:szCs w:val="24"/>
          <w:lang w:val="en-US"/>
        </w:rPr>
        <w:t>s</w:t>
      </w:r>
      <w:r w:rsidR="00942F79" w:rsidRPr="002227D5">
        <w:rPr>
          <w:rFonts w:cs="Arial"/>
          <w:sz w:val="24"/>
          <w:szCs w:val="24"/>
          <w:lang w:val="en-US"/>
        </w:rPr>
        <w:t>. As a key predicator of post school success is self-determining your own future</w:t>
      </w:r>
      <w:r w:rsidR="004969ED">
        <w:rPr>
          <w:rFonts w:cs="Arial"/>
          <w:sz w:val="24"/>
          <w:szCs w:val="24"/>
          <w:lang w:val="en-US"/>
        </w:rPr>
        <w:t>,</w:t>
      </w:r>
      <w:r w:rsidR="00942F79" w:rsidRPr="002227D5">
        <w:rPr>
          <w:rFonts w:cs="Arial"/>
          <w:sz w:val="24"/>
          <w:szCs w:val="24"/>
          <w:lang w:val="en-US"/>
        </w:rPr>
        <w:t xml:space="preserve"> th</w:t>
      </w:r>
      <w:r w:rsidR="00B816FA">
        <w:rPr>
          <w:rFonts w:cs="Arial"/>
          <w:sz w:val="24"/>
          <w:szCs w:val="24"/>
          <w:lang w:val="en-US"/>
        </w:rPr>
        <w:t>ere is</w:t>
      </w:r>
      <w:r w:rsidR="00942F79" w:rsidRPr="002227D5">
        <w:rPr>
          <w:rFonts w:cs="Arial"/>
          <w:sz w:val="24"/>
          <w:szCs w:val="24"/>
          <w:lang w:val="en-US"/>
        </w:rPr>
        <w:t xml:space="preserve"> </w:t>
      </w:r>
      <w:r w:rsidR="00B816FA">
        <w:rPr>
          <w:rFonts w:cs="Arial"/>
          <w:sz w:val="24"/>
          <w:szCs w:val="24"/>
          <w:lang w:val="en-US"/>
        </w:rPr>
        <w:t xml:space="preserve">a clear need </w:t>
      </w:r>
      <w:r w:rsidR="00942F79" w:rsidRPr="002227D5">
        <w:rPr>
          <w:rFonts w:cs="Arial"/>
          <w:sz w:val="24"/>
          <w:szCs w:val="24"/>
          <w:lang w:val="en-US"/>
        </w:rPr>
        <w:t xml:space="preserve">to improve </w:t>
      </w:r>
      <w:r w:rsidR="00942F79" w:rsidRPr="0014158E">
        <w:rPr>
          <w:rFonts w:cs="Arial"/>
          <w:sz w:val="24"/>
          <w:szCs w:val="24"/>
          <w:lang w:val="en-US"/>
        </w:rPr>
        <w:t>in our education systems</w:t>
      </w:r>
      <w:r w:rsidR="00B816FA" w:rsidRPr="0014158E">
        <w:rPr>
          <w:rFonts w:cs="Arial"/>
          <w:sz w:val="24"/>
          <w:szCs w:val="24"/>
          <w:lang w:val="en-US"/>
        </w:rPr>
        <w:t xml:space="preserve"> in this regard</w:t>
      </w:r>
      <w:r w:rsidR="0014158E" w:rsidRPr="0014158E">
        <w:rPr>
          <w:rFonts w:cs="Arial"/>
          <w:sz w:val="24"/>
          <w:szCs w:val="24"/>
          <w:lang w:val="en-US"/>
        </w:rPr>
        <w:t xml:space="preserve"> (</w:t>
      </w:r>
      <w:r w:rsidR="0014158E" w:rsidRPr="0014158E">
        <w:rPr>
          <w:rFonts w:eastAsia="Times New Roman" w:cs="Arial"/>
          <w:sz w:val="24"/>
          <w:szCs w:val="24"/>
          <w:lang w:eastAsia="en-AU"/>
        </w:rPr>
        <w:t>NDIS Participant Outcomes Report. 2019)</w:t>
      </w:r>
      <w:r w:rsidR="00942F79" w:rsidRPr="0014158E">
        <w:rPr>
          <w:rFonts w:cs="Arial"/>
          <w:sz w:val="24"/>
          <w:szCs w:val="24"/>
          <w:lang w:val="en-US"/>
        </w:rPr>
        <w:t>.</w:t>
      </w:r>
    </w:p>
    <w:p w14:paraId="5B1EEA16" w14:textId="7F8C7FB5" w:rsidR="002227D5" w:rsidRPr="0022431D" w:rsidRDefault="006A1777" w:rsidP="00100676">
      <w:pPr>
        <w:spacing w:line="259" w:lineRule="auto"/>
        <w:rPr>
          <w:rFonts w:cs="Arial"/>
          <w:sz w:val="24"/>
          <w:szCs w:val="24"/>
        </w:rPr>
      </w:pPr>
      <w:r>
        <w:rPr>
          <w:rFonts w:cs="Arial"/>
          <w:sz w:val="24"/>
          <w:szCs w:val="24"/>
        </w:rPr>
        <w:t>M</w:t>
      </w:r>
      <w:r w:rsidR="002227D5" w:rsidRPr="0022431D">
        <w:rPr>
          <w:rFonts w:cs="Arial"/>
          <w:sz w:val="24"/>
          <w:szCs w:val="24"/>
        </w:rPr>
        <w:t xml:space="preserve">any </w:t>
      </w:r>
      <w:r w:rsidR="00B816FA">
        <w:rPr>
          <w:rFonts w:cs="Arial"/>
          <w:sz w:val="24"/>
          <w:szCs w:val="24"/>
        </w:rPr>
        <w:t xml:space="preserve">young </w:t>
      </w:r>
      <w:r w:rsidR="002227D5" w:rsidRPr="0022431D">
        <w:rPr>
          <w:rFonts w:cs="Arial"/>
          <w:sz w:val="24"/>
          <w:szCs w:val="24"/>
        </w:rPr>
        <w:t xml:space="preserve">people with disability face challenges engaging in education. This is reflected in the overall lower levels of educational attainment for </w:t>
      </w:r>
      <w:hyperlink r:id="rId15" w:history="1">
        <w:r w:rsidR="002227D5" w:rsidRPr="0014158E">
          <w:rPr>
            <w:rStyle w:val="Hyperlink"/>
            <w:rFonts w:cs="Arial"/>
            <w:sz w:val="24"/>
            <w:szCs w:val="24"/>
          </w:rPr>
          <w:t>people with disability.</w:t>
        </w:r>
      </w:hyperlink>
    </w:p>
    <w:p w14:paraId="4A649E7B" w14:textId="33829E06" w:rsidR="00942F79" w:rsidRPr="0022431D" w:rsidRDefault="00A1646F" w:rsidP="00E053B4">
      <w:pPr>
        <w:autoSpaceDE w:val="0"/>
        <w:autoSpaceDN w:val="0"/>
        <w:adjustRightInd w:val="0"/>
        <w:spacing w:line="259" w:lineRule="auto"/>
        <w:jc w:val="both"/>
        <w:rPr>
          <w:rFonts w:cs="Arial"/>
          <w:sz w:val="24"/>
          <w:szCs w:val="24"/>
        </w:rPr>
      </w:pPr>
      <w:r>
        <w:rPr>
          <w:rFonts w:cs="Arial"/>
          <w:sz w:val="24"/>
          <w:szCs w:val="24"/>
        </w:rPr>
        <w:t xml:space="preserve">The </w:t>
      </w:r>
      <w:proofErr w:type="spellStart"/>
      <w:r w:rsidR="008B1A11">
        <w:rPr>
          <w:rFonts w:cs="Arial"/>
          <w:sz w:val="24"/>
          <w:szCs w:val="24"/>
        </w:rPr>
        <w:t>Shergold</w:t>
      </w:r>
      <w:proofErr w:type="spellEnd"/>
      <w:r w:rsidR="008B1A11">
        <w:rPr>
          <w:rFonts w:cs="Arial"/>
          <w:sz w:val="24"/>
          <w:szCs w:val="24"/>
        </w:rPr>
        <w:t xml:space="preserve"> </w:t>
      </w:r>
      <w:r>
        <w:rPr>
          <w:rFonts w:cs="Arial"/>
          <w:sz w:val="24"/>
          <w:szCs w:val="24"/>
        </w:rPr>
        <w:t>review (</w:t>
      </w:r>
      <w:r w:rsidR="008B1A11">
        <w:rPr>
          <w:rFonts w:cs="Arial"/>
          <w:sz w:val="24"/>
          <w:szCs w:val="24"/>
        </w:rPr>
        <w:t>2020</w:t>
      </w:r>
      <w:r>
        <w:rPr>
          <w:rFonts w:cs="Arial"/>
          <w:sz w:val="24"/>
          <w:szCs w:val="24"/>
        </w:rPr>
        <w:t>) found “</w:t>
      </w:r>
      <w:r w:rsidR="008B5C95" w:rsidRPr="008B5C95">
        <w:rPr>
          <w:rFonts w:cs="Arial"/>
          <w:sz w:val="24"/>
          <w:szCs w:val="24"/>
        </w:rPr>
        <w:t>Young people who do not complete Year 12</w:t>
      </w:r>
      <w:r w:rsidR="00B816FA">
        <w:rPr>
          <w:rFonts w:cs="Arial"/>
          <w:sz w:val="24"/>
          <w:szCs w:val="24"/>
        </w:rPr>
        <w:t>,</w:t>
      </w:r>
      <w:r w:rsidR="008B5C95" w:rsidRPr="008B5C95">
        <w:rPr>
          <w:rFonts w:cs="Arial"/>
          <w:sz w:val="24"/>
          <w:szCs w:val="24"/>
        </w:rPr>
        <w:t xml:space="preserve"> or gain equivalent qualifications</w:t>
      </w:r>
      <w:r w:rsidR="00B816FA">
        <w:rPr>
          <w:rFonts w:cs="Arial"/>
          <w:sz w:val="24"/>
          <w:szCs w:val="24"/>
        </w:rPr>
        <w:t>,</w:t>
      </w:r>
      <w:r w:rsidR="008B5C95" w:rsidRPr="008B5C95">
        <w:rPr>
          <w:rFonts w:cs="Arial"/>
          <w:sz w:val="24"/>
          <w:szCs w:val="24"/>
        </w:rPr>
        <w:t xml:space="preserve"> experience greater difficulty in making the transition from school to post-school ed</w:t>
      </w:r>
      <w:r w:rsidR="008B5C95" w:rsidRPr="0014158E">
        <w:rPr>
          <w:rFonts w:cs="Arial"/>
          <w:sz w:val="24"/>
          <w:szCs w:val="24"/>
        </w:rPr>
        <w:t>ucation and training and employment</w:t>
      </w:r>
      <w:r w:rsidR="0014158E" w:rsidRPr="0014158E">
        <w:rPr>
          <w:rFonts w:cs="Arial"/>
          <w:sz w:val="24"/>
          <w:szCs w:val="24"/>
        </w:rPr>
        <w:t xml:space="preserve"> (</w:t>
      </w:r>
      <w:r w:rsidR="0014158E" w:rsidRPr="0014158E">
        <w:rPr>
          <w:sz w:val="24"/>
          <w:szCs w:val="24"/>
        </w:rPr>
        <w:t xml:space="preserve">Lamb, S., Jackson, J., </w:t>
      </w:r>
      <w:proofErr w:type="spellStart"/>
      <w:r w:rsidR="0014158E" w:rsidRPr="0014158E">
        <w:rPr>
          <w:sz w:val="24"/>
          <w:szCs w:val="24"/>
        </w:rPr>
        <w:t>Walstab</w:t>
      </w:r>
      <w:proofErr w:type="spellEnd"/>
      <w:r w:rsidR="0014158E" w:rsidRPr="0014158E">
        <w:rPr>
          <w:sz w:val="24"/>
          <w:szCs w:val="24"/>
        </w:rPr>
        <w:t xml:space="preserve">, A. and </w:t>
      </w:r>
      <w:proofErr w:type="spellStart"/>
      <w:r w:rsidR="0014158E" w:rsidRPr="0014158E">
        <w:rPr>
          <w:sz w:val="24"/>
          <w:szCs w:val="24"/>
        </w:rPr>
        <w:t>Huo</w:t>
      </w:r>
      <w:proofErr w:type="spellEnd"/>
      <w:r w:rsidR="0014158E" w:rsidRPr="0014158E">
        <w:rPr>
          <w:sz w:val="24"/>
          <w:szCs w:val="24"/>
        </w:rPr>
        <w:t>, S. (2015)</w:t>
      </w:r>
      <w:r w:rsidR="0014158E">
        <w:rPr>
          <w:sz w:val="24"/>
          <w:szCs w:val="24"/>
        </w:rPr>
        <w:t xml:space="preserve">. </w:t>
      </w:r>
      <w:r w:rsidR="0014158E">
        <w:t xml:space="preserve"> </w:t>
      </w:r>
      <w:r w:rsidR="008B5C95" w:rsidRPr="008B5C95">
        <w:rPr>
          <w:rFonts w:cs="Arial"/>
          <w:sz w:val="24"/>
          <w:szCs w:val="24"/>
        </w:rPr>
        <w:t xml:space="preserve">These young people are much less likely to gain full access to economic, political and social opportunities, and this can affect </w:t>
      </w:r>
      <w:r w:rsidR="008B5C95" w:rsidRPr="008B5C95">
        <w:rPr>
          <w:rFonts w:cs="Arial"/>
          <w:sz w:val="24"/>
          <w:szCs w:val="24"/>
        </w:rPr>
        <w:lastRenderedPageBreak/>
        <w:t xml:space="preserve">their </w:t>
      </w:r>
      <w:r w:rsidR="008B5C95" w:rsidRPr="0014158E">
        <w:rPr>
          <w:rFonts w:cs="Arial"/>
          <w:sz w:val="24"/>
          <w:szCs w:val="24"/>
        </w:rPr>
        <w:t>ability to achieve financial stability and independence</w:t>
      </w:r>
      <w:r w:rsidRPr="0014158E">
        <w:rPr>
          <w:rFonts w:cs="Arial"/>
          <w:sz w:val="24"/>
          <w:szCs w:val="24"/>
        </w:rPr>
        <w:t>”</w:t>
      </w:r>
      <w:r w:rsidR="0014158E" w:rsidRPr="0014158E">
        <w:rPr>
          <w:rFonts w:cs="Arial"/>
          <w:sz w:val="24"/>
          <w:szCs w:val="24"/>
        </w:rPr>
        <w:t xml:space="preserve"> (Australian Institute of Health and Welfare (2017)</w:t>
      </w:r>
      <w:r w:rsidR="0014158E">
        <w:rPr>
          <w:rFonts w:cs="Arial"/>
          <w:sz w:val="24"/>
          <w:szCs w:val="24"/>
        </w:rPr>
        <w:t xml:space="preserve">, </w:t>
      </w:r>
      <w:r w:rsidR="0014158E" w:rsidRPr="0014158E">
        <w:rPr>
          <w:rFonts w:cs="Arial"/>
          <w:sz w:val="24"/>
          <w:szCs w:val="24"/>
        </w:rPr>
        <w:t>(Panel for the Education Council Review of Senior Secondary Pathways into Work</w:t>
      </w:r>
      <w:r w:rsidR="0014158E" w:rsidRPr="0014158E">
        <w:rPr>
          <w:rStyle w:val="FootnoteReference"/>
          <w:rFonts w:cs="Arial"/>
          <w:sz w:val="24"/>
          <w:szCs w:val="24"/>
        </w:rPr>
        <w:t xml:space="preserve"> </w:t>
      </w:r>
      <w:r w:rsidR="0014158E" w:rsidRPr="0014158E">
        <w:rPr>
          <w:rFonts w:cs="Arial"/>
          <w:sz w:val="24"/>
          <w:szCs w:val="24"/>
        </w:rPr>
        <w:t>2020).</w:t>
      </w:r>
    </w:p>
    <w:bookmarkEnd w:id="0"/>
    <w:p w14:paraId="1120B006" w14:textId="791BA005" w:rsidR="000C2DEF" w:rsidRPr="0014158E" w:rsidRDefault="00B816FA" w:rsidP="00100676">
      <w:pPr>
        <w:spacing w:line="259" w:lineRule="auto"/>
        <w:jc w:val="both"/>
        <w:rPr>
          <w:rFonts w:cs="Arial"/>
          <w:bCs/>
          <w:sz w:val="36"/>
          <w:szCs w:val="36"/>
        </w:rPr>
      </w:pPr>
      <w:r w:rsidRPr="0014158E">
        <w:rPr>
          <w:rFonts w:cs="Arial"/>
          <w:bCs/>
          <w:sz w:val="36"/>
          <w:szCs w:val="36"/>
        </w:rPr>
        <w:t>L</w:t>
      </w:r>
      <w:r w:rsidR="0014158E" w:rsidRPr="0014158E">
        <w:rPr>
          <w:rFonts w:cs="Arial"/>
          <w:bCs/>
          <w:sz w:val="36"/>
          <w:szCs w:val="36"/>
        </w:rPr>
        <w:t>essons from the Ticket to Work experience</w:t>
      </w:r>
    </w:p>
    <w:p w14:paraId="2E0D99C4" w14:textId="20CF01D0" w:rsidR="00544D08" w:rsidRPr="002227D5" w:rsidRDefault="00544D08" w:rsidP="00100676">
      <w:pPr>
        <w:spacing w:line="259" w:lineRule="auto"/>
        <w:rPr>
          <w:sz w:val="24"/>
          <w:szCs w:val="24"/>
        </w:rPr>
      </w:pPr>
      <w:r w:rsidRPr="002227D5">
        <w:rPr>
          <w:sz w:val="24"/>
          <w:szCs w:val="24"/>
        </w:rPr>
        <w:t xml:space="preserve">The Ticket to Work </w:t>
      </w:r>
      <w:r w:rsidR="004969ED">
        <w:rPr>
          <w:sz w:val="24"/>
          <w:szCs w:val="24"/>
        </w:rPr>
        <w:t>i</w:t>
      </w:r>
      <w:r w:rsidRPr="002227D5">
        <w:rPr>
          <w:sz w:val="24"/>
          <w:szCs w:val="24"/>
        </w:rPr>
        <w:t>nitiative was established in response to poor and falling school to work transitions for young Australians with disability.</w:t>
      </w:r>
    </w:p>
    <w:p w14:paraId="5AD0C7E6" w14:textId="40854721" w:rsidR="0026745D" w:rsidRPr="002227D5" w:rsidRDefault="00172964" w:rsidP="00100676">
      <w:pPr>
        <w:spacing w:line="259" w:lineRule="auto"/>
        <w:rPr>
          <w:rFonts w:cs="Arial"/>
          <w:sz w:val="24"/>
          <w:szCs w:val="24"/>
        </w:rPr>
      </w:pPr>
      <w:r w:rsidRPr="002227D5">
        <w:rPr>
          <w:rFonts w:cs="Arial"/>
          <w:sz w:val="24"/>
          <w:szCs w:val="24"/>
        </w:rPr>
        <w:t xml:space="preserve">We </w:t>
      </w:r>
      <w:r w:rsidR="0026745D" w:rsidRPr="002227D5">
        <w:rPr>
          <w:rFonts w:cs="Arial"/>
          <w:sz w:val="24"/>
          <w:szCs w:val="24"/>
        </w:rPr>
        <w:t>took the international predictors of in-school activities that positively correlate with post-school success</w:t>
      </w:r>
      <w:r w:rsidR="004969ED">
        <w:rPr>
          <w:rFonts w:cs="Arial"/>
          <w:sz w:val="24"/>
          <w:szCs w:val="24"/>
        </w:rPr>
        <w:t>,</w:t>
      </w:r>
      <w:r w:rsidR="0026745D" w:rsidRPr="002227D5">
        <w:rPr>
          <w:rFonts w:cs="Arial"/>
          <w:sz w:val="24"/>
          <w:szCs w:val="24"/>
        </w:rPr>
        <w:t xml:space="preserve"> incorporat</w:t>
      </w:r>
      <w:r w:rsidR="004969ED">
        <w:rPr>
          <w:rFonts w:cs="Arial"/>
          <w:sz w:val="24"/>
          <w:szCs w:val="24"/>
        </w:rPr>
        <w:t>ing</w:t>
      </w:r>
      <w:r w:rsidR="0026745D" w:rsidRPr="002227D5">
        <w:rPr>
          <w:rFonts w:cs="Arial"/>
          <w:sz w:val="24"/>
          <w:szCs w:val="24"/>
        </w:rPr>
        <w:t xml:space="preserve"> </w:t>
      </w:r>
      <w:r w:rsidR="004969ED">
        <w:rPr>
          <w:rFonts w:cs="Arial"/>
          <w:sz w:val="24"/>
          <w:szCs w:val="24"/>
        </w:rPr>
        <w:t xml:space="preserve">them </w:t>
      </w:r>
      <w:r w:rsidRPr="002227D5">
        <w:rPr>
          <w:rFonts w:cs="Arial"/>
          <w:sz w:val="24"/>
          <w:szCs w:val="24"/>
        </w:rPr>
        <w:t>into the</w:t>
      </w:r>
      <w:r w:rsidR="00544D08" w:rsidRPr="002227D5">
        <w:rPr>
          <w:rFonts w:cs="Arial"/>
          <w:sz w:val="24"/>
          <w:szCs w:val="24"/>
        </w:rPr>
        <w:t xml:space="preserve"> model</w:t>
      </w:r>
      <w:r w:rsidRPr="002227D5">
        <w:rPr>
          <w:rFonts w:cs="Arial"/>
          <w:sz w:val="24"/>
          <w:szCs w:val="24"/>
        </w:rPr>
        <w:t xml:space="preserve"> called Ticket to Work</w:t>
      </w:r>
      <w:r w:rsidR="00B816FA">
        <w:rPr>
          <w:rFonts w:cs="Arial"/>
          <w:sz w:val="24"/>
          <w:szCs w:val="24"/>
        </w:rPr>
        <w:t>; the intention being to t</w:t>
      </w:r>
      <w:r w:rsidR="00544D08" w:rsidRPr="002227D5">
        <w:rPr>
          <w:rFonts w:cs="Arial"/>
          <w:sz w:val="24"/>
          <w:szCs w:val="24"/>
        </w:rPr>
        <w:t xml:space="preserve">est if </w:t>
      </w:r>
      <w:r w:rsidRPr="002227D5">
        <w:rPr>
          <w:rFonts w:cs="Arial"/>
          <w:sz w:val="24"/>
          <w:szCs w:val="24"/>
        </w:rPr>
        <w:t xml:space="preserve">we </w:t>
      </w:r>
      <w:r w:rsidR="00B816FA">
        <w:rPr>
          <w:rFonts w:cs="Arial"/>
          <w:sz w:val="24"/>
          <w:szCs w:val="24"/>
        </w:rPr>
        <w:t xml:space="preserve">could replicate </w:t>
      </w:r>
      <w:r w:rsidRPr="002227D5">
        <w:rPr>
          <w:rFonts w:cs="Arial"/>
          <w:sz w:val="24"/>
          <w:szCs w:val="24"/>
        </w:rPr>
        <w:t xml:space="preserve">the </w:t>
      </w:r>
      <w:r w:rsidR="00544D08" w:rsidRPr="002227D5">
        <w:rPr>
          <w:rFonts w:cs="Arial"/>
          <w:sz w:val="24"/>
          <w:szCs w:val="24"/>
        </w:rPr>
        <w:t>same positive effects in Australia.</w:t>
      </w:r>
    </w:p>
    <w:p w14:paraId="16919847" w14:textId="19EF4A8C" w:rsidR="0026745D" w:rsidRPr="00DE7997" w:rsidRDefault="0026745D" w:rsidP="00100676">
      <w:pPr>
        <w:pStyle w:val="NoSpacing"/>
        <w:spacing w:line="259" w:lineRule="auto"/>
        <w:rPr>
          <w:sz w:val="24"/>
          <w:szCs w:val="24"/>
        </w:rPr>
      </w:pPr>
      <w:r w:rsidRPr="002227D5">
        <w:rPr>
          <w:sz w:val="24"/>
          <w:szCs w:val="24"/>
        </w:rPr>
        <w:t>The</w:t>
      </w:r>
      <w:r w:rsidR="00544D08" w:rsidRPr="002227D5">
        <w:rPr>
          <w:sz w:val="24"/>
          <w:szCs w:val="24"/>
        </w:rPr>
        <w:t xml:space="preserve"> theory </w:t>
      </w:r>
      <w:r w:rsidR="00544D08" w:rsidRPr="00DE7997">
        <w:rPr>
          <w:sz w:val="24"/>
          <w:szCs w:val="24"/>
        </w:rPr>
        <w:t xml:space="preserve">of change we </w:t>
      </w:r>
      <w:r w:rsidR="00B816FA" w:rsidRPr="00DE7997">
        <w:rPr>
          <w:sz w:val="24"/>
          <w:szCs w:val="24"/>
        </w:rPr>
        <w:t xml:space="preserve">were </w:t>
      </w:r>
      <w:r w:rsidRPr="00DE7997">
        <w:rPr>
          <w:sz w:val="24"/>
          <w:szCs w:val="24"/>
        </w:rPr>
        <w:t>testing is:</w:t>
      </w:r>
    </w:p>
    <w:p w14:paraId="6A8B8779" w14:textId="54068A2A" w:rsidR="00DE7997" w:rsidRPr="00DE7997" w:rsidRDefault="0076681C" w:rsidP="00DE7997">
      <w:pPr>
        <w:spacing w:line="259" w:lineRule="auto"/>
        <w:ind w:left="720"/>
        <w:rPr>
          <w:sz w:val="24"/>
          <w:szCs w:val="24"/>
        </w:rPr>
      </w:pPr>
      <w:r w:rsidRPr="00DE7997">
        <w:rPr>
          <w:sz w:val="24"/>
          <w:szCs w:val="24"/>
        </w:rPr>
        <w:t>Connecting a student with disability to the world of work before they leave school through a coordinated approach greatly improves the likelihood of securing ongoing open employment and creates better economic and social outcomes.</w:t>
      </w:r>
    </w:p>
    <w:p w14:paraId="05D92931" w14:textId="0C0B95CF" w:rsidR="00544D08" w:rsidRPr="006A1777" w:rsidRDefault="00B816FA" w:rsidP="00100676">
      <w:pPr>
        <w:spacing w:line="259" w:lineRule="auto"/>
        <w:rPr>
          <w:sz w:val="24"/>
          <w:szCs w:val="24"/>
        </w:rPr>
      </w:pPr>
      <w:r>
        <w:rPr>
          <w:sz w:val="24"/>
          <w:szCs w:val="24"/>
        </w:rPr>
        <w:t>T</w:t>
      </w:r>
      <w:r w:rsidR="0026745D" w:rsidRPr="002227D5">
        <w:rPr>
          <w:sz w:val="24"/>
          <w:szCs w:val="24"/>
        </w:rPr>
        <w:t>he Ticket to Work model</w:t>
      </w:r>
      <w:r>
        <w:rPr>
          <w:sz w:val="24"/>
          <w:szCs w:val="24"/>
        </w:rPr>
        <w:t xml:space="preserve"> </w:t>
      </w:r>
      <w:r w:rsidR="00544D08" w:rsidRPr="002227D5">
        <w:rPr>
          <w:sz w:val="24"/>
          <w:szCs w:val="24"/>
        </w:rPr>
        <w:t xml:space="preserve">takes a place based collaborative approach that </w:t>
      </w:r>
      <w:r w:rsidR="0026745D" w:rsidRPr="002227D5">
        <w:rPr>
          <w:sz w:val="24"/>
          <w:szCs w:val="24"/>
        </w:rPr>
        <w:t>leverage</w:t>
      </w:r>
      <w:r>
        <w:rPr>
          <w:sz w:val="24"/>
          <w:szCs w:val="24"/>
        </w:rPr>
        <w:t>s</w:t>
      </w:r>
      <w:r w:rsidR="0026745D" w:rsidRPr="002227D5">
        <w:rPr>
          <w:sz w:val="24"/>
          <w:szCs w:val="24"/>
        </w:rPr>
        <w:t xml:space="preserve"> the power of cross-sectoral partnerships to provide individualised support</w:t>
      </w:r>
      <w:r w:rsidR="00544D08" w:rsidRPr="002227D5">
        <w:rPr>
          <w:sz w:val="24"/>
          <w:szCs w:val="24"/>
        </w:rPr>
        <w:t xml:space="preserve"> to secondary </w:t>
      </w:r>
      <w:r w:rsidR="006A1777" w:rsidRPr="002227D5">
        <w:rPr>
          <w:sz w:val="24"/>
          <w:szCs w:val="24"/>
        </w:rPr>
        <w:t>students</w:t>
      </w:r>
      <w:r w:rsidR="00544D08" w:rsidRPr="002227D5">
        <w:rPr>
          <w:sz w:val="24"/>
          <w:szCs w:val="24"/>
        </w:rPr>
        <w:t xml:space="preserve"> with disability</w:t>
      </w:r>
      <w:r w:rsidR="0026745D" w:rsidRPr="002227D5">
        <w:rPr>
          <w:sz w:val="24"/>
          <w:szCs w:val="24"/>
        </w:rPr>
        <w:t>. These networks facilitate the blending of existing resources</w:t>
      </w:r>
      <w:r>
        <w:rPr>
          <w:sz w:val="24"/>
          <w:szCs w:val="24"/>
        </w:rPr>
        <w:t xml:space="preserve"> to</w:t>
      </w:r>
      <w:r w:rsidR="0026745D" w:rsidRPr="002227D5">
        <w:rPr>
          <w:sz w:val="24"/>
          <w:szCs w:val="24"/>
        </w:rPr>
        <w:t xml:space="preserve"> provide coordination and scaffolding of the relevant supports for young </w:t>
      </w:r>
      <w:r w:rsidR="0026745D" w:rsidRPr="006A1777">
        <w:rPr>
          <w:sz w:val="24"/>
          <w:szCs w:val="24"/>
        </w:rPr>
        <w:t xml:space="preserve">people with disability. </w:t>
      </w:r>
      <w:r>
        <w:rPr>
          <w:sz w:val="24"/>
          <w:szCs w:val="24"/>
        </w:rPr>
        <w:t>In Victoria, p</w:t>
      </w:r>
      <w:r w:rsidR="0026745D" w:rsidRPr="006A1777">
        <w:rPr>
          <w:sz w:val="24"/>
          <w:szCs w:val="24"/>
        </w:rPr>
        <w:t xml:space="preserve">articipants are on the </w:t>
      </w:r>
      <w:r w:rsidR="0026745D" w:rsidRPr="006A1777">
        <w:rPr>
          <w:sz w:val="24"/>
          <w:szCs w:val="24"/>
          <w:shd w:val="clear" w:color="auto" w:fill="FFFFFF"/>
        </w:rPr>
        <w:t>Depar</w:t>
      </w:r>
      <w:r w:rsidR="00544D08" w:rsidRPr="006A1777">
        <w:rPr>
          <w:sz w:val="24"/>
          <w:szCs w:val="24"/>
          <w:shd w:val="clear" w:color="auto" w:fill="FFFFFF"/>
        </w:rPr>
        <w:t>tment of Education</w:t>
      </w:r>
      <w:r>
        <w:rPr>
          <w:sz w:val="24"/>
          <w:szCs w:val="24"/>
          <w:shd w:val="clear" w:color="auto" w:fill="FFFFFF"/>
        </w:rPr>
        <w:t>’s</w:t>
      </w:r>
      <w:r w:rsidR="00544D08" w:rsidRPr="006A1777">
        <w:rPr>
          <w:sz w:val="24"/>
          <w:szCs w:val="24"/>
          <w:shd w:val="clear" w:color="auto" w:fill="FFFFFF"/>
        </w:rPr>
        <w:t xml:space="preserve"> </w:t>
      </w:r>
      <w:r w:rsidR="0026745D" w:rsidRPr="006A1777">
        <w:rPr>
          <w:sz w:val="24"/>
          <w:szCs w:val="24"/>
        </w:rPr>
        <w:t>Program for Students with Disability (PSD) and the majority have a cognitive disability.</w:t>
      </w:r>
    </w:p>
    <w:p w14:paraId="770DF66B" w14:textId="77777777" w:rsidR="0026745D" w:rsidRPr="006A1777" w:rsidRDefault="00544D08" w:rsidP="00100676">
      <w:pPr>
        <w:spacing w:line="259" w:lineRule="auto"/>
        <w:rPr>
          <w:sz w:val="24"/>
          <w:szCs w:val="24"/>
        </w:rPr>
      </w:pPr>
      <w:r w:rsidRPr="006A1777">
        <w:rPr>
          <w:sz w:val="24"/>
          <w:szCs w:val="24"/>
        </w:rPr>
        <w:t>The collaborative</w:t>
      </w:r>
      <w:r w:rsidR="0026745D" w:rsidRPr="006A1777">
        <w:rPr>
          <w:sz w:val="24"/>
          <w:szCs w:val="24"/>
        </w:rPr>
        <w:t xml:space="preserve"> partners include schools, families, employment services, training organisations, post school providers, NDIS supports and employers.</w:t>
      </w:r>
    </w:p>
    <w:p w14:paraId="6DB35ADC" w14:textId="70BC8FC8" w:rsidR="00544D08" w:rsidRPr="006A1777" w:rsidRDefault="00544D08" w:rsidP="00100676">
      <w:pPr>
        <w:pStyle w:val="NoSpacing"/>
        <w:spacing w:line="259" w:lineRule="auto"/>
        <w:rPr>
          <w:sz w:val="24"/>
          <w:szCs w:val="24"/>
        </w:rPr>
      </w:pPr>
      <w:r w:rsidRPr="006A1777">
        <w:rPr>
          <w:sz w:val="24"/>
          <w:szCs w:val="24"/>
        </w:rPr>
        <w:t>Student</w:t>
      </w:r>
      <w:r w:rsidR="00B816FA">
        <w:rPr>
          <w:sz w:val="24"/>
          <w:szCs w:val="24"/>
        </w:rPr>
        <w:t>s</w:t>
      </w:r>
      <w:r w:rsidRPr="006A1777">
        <w:rPr>
          <w:sz w:val="24"/>
          <w:szCs w:val="24"/>
        </w:rPr>
        <w:t xml:space="preserve"> take part in a range of activities that are tailored to their needs. Those activities include:</w:t>
      </w:r>
    </w:p>
    <w:p w14:paraId="14B18AA8" w14:textId="337EDB79" w:rsidR="00544D08" w:rsidRPr="0022431D" w:rsidRDefault="00544D08" w:rsidP="00100676">
      <w:pPr>
        <w:pStyle w:val="Bulletlist"/>
        <w:spacing w:line="259" w:lineRule="auto"/>
        <w:rPr>
          <w:sz w:val="24"/>
          <w:szCs w:val="24"/>
        </w:rPr>
      </w:pPr>
      <w:r w:rsidRPr="0022431D">
        <w:rPr>
          <w:sz w:val="24"/>
          <w:szCs w:val="24"/>
        </w:rPr>
        <w:t>V</w:t>
      </w:r>
      <w:r w:rsidR="00090A33">
        <w:rPr>
          <w:sz w:val="24"/>
          <w:szCs w:val="24"/>
        </w:rPr>
        <w:t>ET</w:t>
      </w:r>
      <w:r w:rsidRPr="0022431D">
        <w:rPr>
          <w:sz w:val="24"/>
          <w:szCs w:val="24"/>
        </w:rPr>
        <w:t xml:space="preserve"> </w:t>
      </w:r>
      <w:r w:rsidR="00090A33">
        <w:rPr>
          <w:sz w:val="24"/>
          <w:szCs w:val="24"/>
        </w:rPr>
        <w:t>d</w:t>
      </w:r>
      <w:r w:rsidRPr="0022431D">
        <w:rPr>
          <w:sz w:val="24"/>
          <w:szCs w:val="24"/>
        </w:rPr>
        <w:t>elivered to Secondary Schools</w:t>
      </w:r>
      <w:r w:rsidR="00090A33">
        <w:rPr>
          <w:sz w:val="24"/>
          <w:szCs w:val="24"/>
        </w:rPr>
        <w:t xml:space="preserve"> </w:t>
      </w:r>
      <w:r w:rsidRPr="0022431D">
        <w:rPr>
          <w:sz w:val="24"/>
          <w:szCs w:val="24"/>
        </w:rPr>
        <w:t>(VDSS)</w:t>
      </w:r>
    </w:p>
    <w:p w14:paraId="7A2115AF" w14:textId="77777777" w:rsidR="00544D08" w:rsidRPr="0022431D" w:rsidRDefault="00544D08" w:rsidP="00100676">
      <w:pPr>
        <w:pStyle w:val="Bulletlist"/>
        <w:spacing w:line="259" w:lineRule="auto"/>
        <w:rPr>
          <w:sz w:val="24"/>
          <w:szCs w:val="24"/>
        </w:rPr>
      </w:pPr>
      <w:r w:rsidRPr="0022431D">
        <w:rPr>
          <w:sz w:val="24"/>
          <w:szCs w:val="24"/>
        </w:rPr>
        <w:t>Australian School based Apprenticeships and Traineeships (</w:t>
      </w:r>
      <w:proofErr w:type="spellStart"/>
      <w:r w:rsidRPr="0022431D">
        <w:rPr>
          <w:sz w:val="24"/>
          <w:szCs w:val="24"/>
        </w:rPr>
        <w:t>ASbAT</w:t>
      </w:r>
      <w:proofErr w:type="spellEnd"/>
      <w:r w:rsidRPr="0022431D">
        <w:rPr>
          <w:sz w:val="24"/>
          <w:szCs w:val="24"/>
        </w:rPr>
        <w:t>)</w:t>
      </w:r>
    </w:p>
    <w:p w14:paraId="6249E5CA" w14:textId="5A5A4E4A" w:rsidR="00544D08" w:rsidRPr="0022431D" w:rsidRDefault="00544D08" w:rsidP="00100676">
      <w:pPr>
        <w:pStyle w:val="Bulletlist"/>
        <w:spacing w:line="259" w:lineRule="auto"/>
        <w:rPr>
          <w:sz w:val="24"/>
          <w:szCs w:val="24"/>
        </w:rPr>
      </w:pPr>
      <w:r w:rsidRPr="0022431D">
        <w:rPr>
          <w:sz w:val="24"/>
          <w:szCs w:val="24"/>
        </w:rPr>
        <w:t>Work experience/placement</w:t>
      </w:r>
    </w:p>
    <w:p w14:paraId="4801631B" w14:textId="24B6906B" w:rsidR="00544D08" w:rsidRPr="0022431D" w:rsidRDefault="00544D08" w:rsidP="00100676">
      <w:pPr>
        <w:pStyle w:val="Bulletlist"/>
        <w:spacing w:line="259" w:lineRule="auto"/>
        <w:rPr>
          <w:sz w:val="24"/>
          <w:szCs w:val="24"/>
        </w:rPr>
      </w:pPr>
      <w:r w:rsidRPr="0022431D">
        <w:rPr>
          <w:sz w:val="24"/>
          <w:szCs w:val="24"/>
        </w:rPr>
        <w:t>Career development</w:t>
      </w:r>
    </w:p>
    <w:p w14:paraId="7843CBC9" w14:textId="77777777" w:rsidR="00544D08" w:rsidRPr="0022431D" w:rsidRDefault="00544D08" w:rsidP="00100676">
      <w:pPr>
        <w:pStyle w:val="Bulletlist"/>
        <w:spacing w:line="259" w:lineRule="auto"/>
        <w:rPr>
          <w:sz w:val="24"/>
          <w:szCs w:val="24"/>
        </w:rPr>
      </w:pPr>
      <w:r w:rsidRPr="0022431D">
        <w:rPr>
          <w:sz w:val="24"/>
          <w:szCs w:val="24"/>
        </w:rPr>
        <w:t>After-school work</w:t>
      </w:r>
    </w:p>
    <w:p w14:paraId="5BEDDB13" w14:textId="77777777" w:rsidR="00544D08" w:rsidRPr="009B1638" w:rsidRDefault="00544D08" w:rsidP="009B1638">
      <w:pPr>
        <w:pStyle w:val="Bulletlist"/>
        <w:spacing w:line="259" w:lineRule="auto"/>
        <w:rPr>
          <w:sz w:val="24"/>
          <w:szCs w:val="24"/>
        </w:rPr>
      </w:pPr>
      <w:r w:rsidRPr="0022431D">
        <w:rPr>
          <w:sz w:val="24"/>
          <w:szCs w:val="24"/>
        </w:rPr>
        <w:t>Self-employment during secondary school (microbusiness)</w:t>
      </w:r>
    </w:p>
    <w:p w14:paraId="1C8FD7C5" w14:textId="0ACF1C16" w:rsidR="00090A33" w:rsidRPr="00241ADA" w:rsidRDefault="00544D08" w:rsidP="00100676">
      <w:pPr>
        <w:pStyle w:val="EndnoteText"/>
        <w:spacing w:line="259" w:lineRule="auto"/>
        <w:rPr>
          <w:rFonts w:cs="Arial"/>
          <w:color w:val="000000" w:themeColor="text1"/>
          <w:sz w:val="24"/>
          <w:szCs w:val="24"/>
        </w:rPr>
      </w:pPr>
      <w:r w:rsidRPr="00241ADA">
        <w:rPr>
          <w:rFonts w:cs="Arial"/>
          <w:color w:val="000000" w:themeColor="text1"/>
          <w:sz w:val="24"/>
          <w:szCs w:val="24"/>
        </w:rPr>
        <w:t>Ticket to Work ha</w:t>
      </w:r>
      <w:r w:rsidR="00172964" w:rsidRPr="00241ADA">
        <w:rPr>
          <w:rFonts w:cs="Arial"/>
          <w:color w:val="000000" w:themeColor="text1"/>
          <w:sz w:val="24"/>
          <w:szCs w:val="24"/>
        </w:rPr>
        <w:t xml:space="preserve">s </w:t>
      </w:r>
      <w:r w:rsidR="003A52E3">
        <w:rPr>
          <w:rFonts w:cs="Arial"/>
          <w:color w:val="000000" w:themeColor="text1"/>
          <w:sz w:val="24"/>
          <w:szCs w:val="24"/>
        </w:rPr>
        <w:t xml:space="preserve">successfully </w:t>
      </w:r>
      <w:r w:rsidR="00A422D0" w:rsidRPr="00241ADA">
        <w:rPr>
          <w:rFonts w:cs="Arial"/>
          <w:color w:val="000000" w:themeColor="text1"/>
          <w:sz w:val="24"/>
          <w:szCs w:val="24"/>
        </w:rPr>
        <w:t>tri</w:t>
      </w:r>
      <w:r w:rsidR="00A422D0">
        <w:rPr>
          <w:rFonts w:cs="Arial"/>
          <w:color w:val="000000" w:themeColor="text1"/>
          <w:sz w:val="24"/>
          <w:szCs w:val="24"/>
        </w:rPr>
        <w:t>a</w:t>
      </w:r>
      <w:r w:rsidR="00A422D0" w:rsidRPr="00241ADA">
        <w:rPr>
          <w:rFonts w:cs="Arial"/>
          <w:color w:val="000000" w:themeColor="text1"/>
          <w:sz w:val="24"/>
          <w:szCs w:val="24"/>
        </w:rPr>
        <w:t>lled</w:t>
      </w:r>
      <w:r w:rsidR="00172964" w:rsidRPr="00241ADA">
        <w:rPr>
          <w:rFonts w:cs="Arial"/>
          <w:color w:val="000000" w:themeColor="text1"/>
          <w:sz w:val="24"/>
          <w:szCs w:val="24"/>
        </w:rPr>
        <w:t xml:space="preserve"> and test</w:t>
      </w:r>
      <w:r w:rsidR="003A52E3">
        <w:rPr>
          <w:rFonts w:cs="Arial"/>
          <w:color w:val="000000" w:themeColor="text1"/>
          <w:sz w:val="24"/>
          <w:szCs w:val="24"/>
        </w:rPr>
        <w:t>ed</w:t>
      </w:r>
      <w:r w:rsidR="00172964" w:rsidRPr="00241ADA">
        <w:rPr>
          <w:rFonts w:cs="Arial"/>
          <w:color w:val="000000" w:themeColor="text1"/>
          <w:sz w:val="24"/>
          <w:szCs w:val="24"/>
        </w:rPr>
        <w:t xml:space="preserve"> what works </w:t>
      </w:r>
      <w:r w:rsidR="003A52E3">
        <w:rPr>
          <w:rFonts w:cs="Arial"/>
          <w:color w:val="000000" w:themeColor="text1"/>
          <w:sz w:val="24"/>
          <w:szCs w:val="24"/>
        </w:rPr>
        <w:t xml:space="preserve">to </w:t>
      </w:r>
      <w:r w:rsidR="00172964" w:rsidRPr="00241ADA">
        <w:rPr>
          <w:rFonts w:cs="Arial"/>
          <w:color w:val="000000" w:themeColor="text1"/>
          <w:sz w:val="24"/>
          <w:szCs w:val="24"/>
        </w:rPr>
        <w:t>support stude</w:t>
      </w:r>
      <w:r w:rsidR="003A52E3">
        <w:rPr>
          <w:rFonts w:cs="Arial"/>
          <w:color w:val="000000" w:themeColor="text1"/>
          <w:sz w:val="24"/>
          <w:szCs w:val="24"/>
        </w:rPr>
        <w:t>n</w:t>
      </w:r>
      <w:r w:rsidR="00172964" w:rsidRPr="00241ADA">
        <w:rPr>
          <w:rFonts w:cs="Arial"/>
          <w:color w:val="000000" w:themeColor="text1"/>
          <w:sz w:val="24"/>
          <w:szCs w:val="24"/>
        </w:rPr>
        <w:t xml:space="preserve">ts in secondary school to ensure that they are </w:t>
      </w:r>
      <w:r w:rsidR="00172964" w:rsidRPr="00241ADA">
        <w:rPr>
          <w:rFonts w:cs="Arial"/>
          <w:color w:val="000000" w:themeColor="text1"/>
          <w:sz w:val="24"/>
          <w:szCs w:val="24"/>
          <w:shd w:val="clear" w:color="auto" w:fill="FFFFFF"/>
        </w:rPr>
        <w:t>equipped to pursue a self-directed pathway to address their interests, aspirations, and goals and</w:t>
      </w:r>
      <w:r w:rsidR="003A52E3">
        <w:rPr>
          <w:rFonts w:cs="Arial"/>
          <w:color w:val="000000" w:themeColor="text1"/>
          <w:sz w:val="24"/>
          <w:szCs w:val="24"/>
          <w:shd w:val="clear" w:color="auto" w:fill="FFFFFF"/>
        </w:rPr>
        <w:t>, explicitly,</w:t>
      </w:r>
      <w:r w:rsidR="00172964" w:rsidRPr="00241ADA">
        <w:rPr>
          <w:rFonts w:cs="Arial"/>
          <w:color w:val="000000" w:themeColor="text1"/>
          <w:sz w:val="24"/>
          <w:szCs w:val="24"/>
          <w:shd w:val="clear" w:color="auto" w:fill="FFFFFF"/>
        </w:rPr>
        <w:t xml:space="preserve"> have a pathway to open employment.</w:t>
      </w:r>
    </w:p>
    <w:p w14:paraId="72A49D16" w14:textId="77777777" w:rsidR="00544D08" w:rsidRPr="00241ADA" w:rsidRDefault="00544D08" w:rsidP="00E053B4">
      <w:pPr>
        <w:pStyle w:val="EndnoteText"/>
        <w:spacing w:line="259" w:lineRule="auto"/>
      </w:pPr>
    </w:p>
    <w:p w14:paraId="302B5C17" w14:textId="77777777" w:rsidR="00544D08" w:rsidRPr="003334A6" w:rsidRDefault="003A52E3" w:rsidP="00100676">
      <w:pPr>
        <w:spacing w:after="240" w:line="259" w:lineRule="auto"/>
        <w:rPr>
          <w:rFonts w:cs="Arial"/>
          <w:sz w:val="36"/>
          <w:szCs w:val="36"/>
        </w:rPr>
      </w:pPr>
      <w:r w:rsidRPr="003334A6">
        <w:rPr>
          <w:rFonts w:cs="Arial"/>
          <w:sz w:val="36"/>
          <w:szCs w:val="36"/>
        </w:rPr>
        <w:lastRenderedPageBreak/>
        <w:t xml:space="preserve">The </w:t>
      </w:r>
      <w:r w:rsidR="00544D08" w:rsidRPr="003334A6">
        <w:rPr>
          <w:rFonts w:cs="Arial"/>
          <w:sz w:val="36"/>
          <w:szCs w:val="36"/>
        </w:rPr>
        <w:t>Ticket to Work</w:t>
      </w:r>
      <w:r w:rsidRPr="003334A6">
        <w:rPr>
          <w:rFonts w:cs="Arial"/>
          <w:sz w:val="36"/>
          <w:szCs w:val="36"/>
        </w:rPr>
        <w:t xml:space="preserve"> Model:</w:t>
      </w:r>
      <w:r w:rsidR="00544D08" w:rsidRPr="003334A6">
        <w:rPr>
          <w:rFonts w:cs="Arial"/>
          <w:sz w:val="36"/>
          <w:szCs w:val="36"/>
        </w:rPr>
        <w:t xml:space="preserve"> </w:t>
      </w:r>
      <w:r w:rsidRPr="003334A6">
        <w:rPr>
          <w:rFonts w:cs="Arial"/>
          <w:sz w:val="36"/>
          <w:szCs w:val="36"/>
        </w:rPr>
        <w:t>O</w:t>
      </w:r>
      <w:r w:rsidR="00544D08" w:rsidRPr="003334A6">
        <w:rPr>
          <w:rFonts w:cs="Arial"/>
          <w:sz w:val="36"/>
          <w:szCs w:val="36"/>
        </w:rPr>
        <w:t>utcomes</w:t>
      </w:r>
    </w:p>
    <w:p w14:paraId="0A78A504" w14:textId="467528D8" w:rsidR="00544D08" w:rsidRPr="00241ADA" w:rsidRDefault="00544D08" w:rsidP="00100676">
      <w:pPr>
        <w:spacing w:after="120" w:line="259" w:lineRule="auto"/>
        <w:rPr>
          <w:rFonts w:cs="Arial"/>
          <w:sz w:val="24"/>
          <w:szCs w:val="24"/>
        </w:rPr>
      </w:pPr>
      <w:r w:rsidRPr="00241ADA">
        <w:rPr>
          <w:rFonts w:cs="Arial"/>
          <w:sz w:val="24"/>
          <w:szCs w:val="24"/>
        </w:rPr>
        <w:t xml:space="preserve">Ticket to Work’s connected approach (34 local networks; 205 schools; 145 local organisations; 2,436 employers) has delivered </w:t>
      </w:r>
      <w:r w:rsidRPr="00241ADA">
        <w:rPr>
          <w:rFonts w:cs="Arial"/>
          <w:bCs/>
          <w:sz w:val="24"/>
          <w:szCs w:val="24"/>
        </w:rPr>
        <w:t>1,649 jobs</w:t>
      </w:r>
      <w:r w:rsidRPr="00241ADA">
        <w:rPr>
          <w:rFonts w:cs="Arial"/>
          <w:sz w:val="24"/>
          <w:szCs w:val="24"/>
        </w:rPr>
        <w:t xml:space="preserve"> for students with disability. Recent evaluations of elements of the Ticket to Work model indicate:</w:t>
      </w:r>
    </w:p>
    <w:p w14:paraId="515F48F1" w14:textId="77777777" w:rsidR="00544D08" w:rsidRPr="00241ADA" w:rsidRDefault="00544D08" w:rsidP="003C7D5A">
      <w:pPr>
        <w:pStyle w:val="ListParagraph"/>
        <w:numPr>
          <w:ilvl w:val="0"/>
          <w:numId w:val="28"/>
        </w:numPr>
        <w:spacing w:after="120" w:line="259" w:lineRule="auto"/>
        <w:ind w:left="360"/>
        <w:rPr>
          <w:rFonts w:cs="Arial"/>
          <w:sz w:val="24"/>
          <w:szCs w:val="24"/>
        </w:rPr>
      </w:pPr>
      <w:r w:rsidRPr="00241ADA">
        <w:rPr>
          <w:rFonts w:cs="Arial"/>
          <w:sz w:val="24"/>
          <w:szCs w:val="24"/>
        </w:rPr>
        <w:t xml:space="preserve">The Ticket to Work model has </w:t>
      </w:r>
      <w:proofErr w:type="gramStart"/>
      <w:r w:rsidRPr="00241ADA">
        <w:rPr>
          <w:rFonts w:cs="Arial"/>
          <w:sz w:val="24"/>
          <w:szCs w:val="24"/>
        </w:rPr>
        <w:t>a number of</w:t>
      </w:r>
      <w:proofErr w:type="gramEnd"/>
      <w:r w:rsidRPr="00241ADA">
        <w:rPr>
          <w:rFonts w:cs="Arial"/>
          <w:sz w:val="24"/>
          <w:szCs w:val="24"/>
        </w:rPr>
        <w:t xml:space="preserve"> social and fiscal benefits. </w:t>
      </w:r>
      <w:r w:rsidR="003A52E3" w:rsidRPr="00241ADA">
        <w:rPr>
          <w:rFonts w:cs="Arial"/>
          <w:sz w:val="24"/>
          <w:szCs w:val="24"/>
        </w:rPr>
        <w:t>[</w:t>
      </w:r>
      <w:r w:rsidRPr="00241ADA">
        <w:rPr>
          <w:rFonts w:cs="Arial"/>
          <w:sz w:val="24"/>
          <w:szCs w:val="24"/>
        </w:rPr>
        <w:t>SVA 2020</w:t>
      </w:r>
      <w:r w:rsidR="003A52E3" w:rsidRPr="00241ADA">
        <w:rPr>
          <w:rFonts w:cs="Arial"/>
          <w:sz w:val="24"/>
          <w:szCs w:val="24"/>
        </w:rPr>
        <w:t>]</w:t>
      </w:r>
    </w:p>
    <w:p w14:paraId="4F7E321F" w14:textId="1B86B9F8" w:rsidR="00544D08" w:rsidRPr="00241ADA" w:rsidRDefault="00544D08" w:rsidP="003C7D5A">
      <w:pPr>
        <w:pStyle w:val="ListParagraph"/>
        <w:numPr>
          <w:ilvl w:val="0"/>
          <w:numId w:val="28"/>
        </w:numPr>
        <w:spacing w:after="120" w:line="259" w:lineRule="auto"/>
        <w:ind w:left="360"/>
        <w:rPr>
          <w:rFonts w:cs="Arial"/>
          <w:sz w:val="24"/>
          <w:szCs w:val="24"/>
        </w:rPr>
      </w:pPr>
      <w:r w:rsidRPr="00241ADA">
        <w:rPr>
          <w:rFonts w:cs="Arial"/>
          <w:sz w:val="24"/>
          <w:szCs w:val="24"/>
        </w:rPr>
        <w:t>Ticket to Work participants post-school are substantially more likely than a similar comparison group to:</w:t>
      </w:r>
    </w:p>
    <w:p w14:paraId="3755B0AB" w14:textId="1A9921B5" w:rsidR="00544D08" w:rsidRPr="00241ADA" w:rsidRDefault="00544D08" w:rsidP="003C7D5A">
      <w:pPr>
        <w:pStyle w:val="ListParagraph"/>
        <w:numPr>
          <w:ilvl w:val="1"/>
          <w:numId w:val="10"/>
        </w:numPr>
        <w:spacing w:after="120" w:line="259" w:lineRule="auto"/>
        <w:ind w:left="1123"/>
        <w:contextualSpacing w:val="0"/>
        <w:rPr>
          <w:rFonts w:cs="Arial"/>
          <w:sz w:val="24"/>
          <w:szCs w:val="24"/>
        </w:rPr>
      </w:pPr>
      <w:r w:rsidRPr="00241ADA">
        <w:rPr>
          <w:rFonts w:cs="Arial"/>
          <w:sz w:val="24"/>
          <w:szCs w:val="24"/>
        </w:rPr>
        <w:t>work in open employment</w:t>
      </w:r>
    </w:p>
    <w:p w14:paraId="6D676F0E" w14:textId="77777777" w:rsidR="00544D08" w:rsidRPr="00241ADA" w:rsidRDefault="00544D08" w:rsidP="003C7D5A">
      <w:pPr>
        <w:pStyle w:val="ListParagraph"/>
        <w:numPr>
          <w:ilvl w:val="1"/>
          <w:numId w:val="10"/>
        </w:numPr>
        <w:spacing w:after="120" w:line="259" w:lineRule="auto"/>
        <w:ind w:left="1123"/>
        <w:contextualSpacing w:val="0"/>
        <w:rPr>
          <w:rFonts w:cs="Arial"/>
          <w:sz w:val="24"/>
          <w:szCs w:val="24"/>
        </w:rPr>
      </w:pPr>
      <w:r w:rsidRPr="00241ADA">
        <w:rPr>
          <w:rFonts w:cs="Arial"/>
          <w:sz w:val="24"/>
          <w:szCs w:val="24"/>
        </w:rPr>
        <w:t>complete year 12</w:t>
      </w:r>
    </w:p>
    <w:p w14:paraId="341C4B3F" w14:textId="77777777" w:rsidR="00544D08" w:rsidRPr="00241ADA" w:rsidRDefault="00544D08" w:rsidP="003C7D5A">
      <w:pPr>
        <w:pStyle w:val="ListParagraph"/>
        <w:numPr>
          <w:ilvl w:val="1"/>
          <w:numId w:val="10"/>
        </w:numPr>
        <w:spacing w:after="120" w:line="259" w:lineRule="auto"/>
        <w:ind w:left="1123"/>
        <w:contextualSpacing w:val="0"/>
        <w:rPr>
          <w:rFonts w:cs="Arial"/>
          <w:sz w:val="24"/>
          <w:szCs w:val="24"/>
        </w:rPr>
      </w:pPr>
      <w:r w:rsidRPr="00241ADA">
        <w:rPr>
          <w:rFonts w:cs="Arial"/>
          <w:sz w:val="24"/>
          <w:szCs w:val="24"/>
        </w:rPr>
        <w:t>participate in the labour force</w:t>
      </w:r>
    </w:p>
    <w:p w14:paraId="3C7F7DBD" w14:textId="77777777" w:rsidR="00544D08" w:rsidRPr="00241ADA" w:rsidRDefault="00544D08" w:rsidP="003C7D5A">
      <w:pPr>
        <w:pStyle w:val="ListParagraph"/>
        <w:numPr>
          <w:ilvl w:val="1"/>
          <w:numId w:val="10"/>
        </w:numPr>
        <w:spacing w:after="120" w:line="259" w:lineRule="auto"/>
        <w:ind w:left="1123"/>
        <w:contextualSpacing w:val="0"/>
        <w:rPr>
          <w:rFonts w:cs="Arial"/>
          <w:sz w:val="24"/>
          <w:szCs w:val="24"/>
        </w:rPr>
      </w:pPr>
      <w:r w:rsidRPr="00241ADA">
        <w:rPr>
          <w:rFonts w:cs="Arial"/>
          <w:sz w:val="24"/>
          <w:szCs w:val="24"/>
        </w:rPr>
        <w:t>be involved in community and social activities (ARTD 2019)</w:t>
      </w:r>
    </w:p>
    <w:p w14:paraId="02078AF0" w14:textId="7FAEE295" w:rsidR="00544D08" w:rsidRPr="00241ADA" w:rsidRDefault="00544D08" w:rsidP="003C7D5A">
      <w:pPr>
        <w:pStyle w:val="ListParagraph"/>
        <w:numPr>
          <w:ilvl w:val="0"/>
          <w:numId w:val="10"/>
        </w:numPr>
        <w:spacing w:after="120" w:line="259" w:lineRule="auto"/>
        <w:ind w:left="360"/>
        <w:rPr>
          <w:rFonts w:cs="Arial"/>
          <w:sz w:val="24"/>
          <w:szCs w:val="24"/>
        </w:rPr>
      </w:pPr>
      <w:r w:rsidRPr="00241ADA">
        <w:rPr>
          <w:rFonts w:cs="Arial"/>
          <w:sz w:val="24"/>
          <w:szCs w:val="24"/>
        </w:rPr>
        <w:t>Ticket to Work’s approach is working for key stakeholders according to an evaluation involving employers, parent</w:t>
      </w:r>
      <w:r w:rsidR="003C7D5A">
        <w:rPr>
          <w:rFonts w:cs="Arial"/>
          <w:sz w:val="24"/>
          <w:szCs w:val="24"/>
        </w:rPr>
        <w:t>s and network members and is in</w:t>
      </w:r>
      <w:r w:rsidR="003C7D5A" w:rsidRPr="00241ADA">
        <w:rPr>
          <w:rFonts w:cs="Arial"/>
          <w:sz w:val="24"/>
          <w:szCs w:val="24"/>
        </w:rPr>
        <w:t xml:space="preserve"> line</w:t>
      </w:r>
      <w:r w:rsidRPr="00241ADA">
        <w:rPr>
          <w:rFonts w:cs="Arial"/>
          <w:sz w:val="24"/>
          <w:szCs w:val="24"/>
        </w:rPr>
        <w:t xml:space="preserve"> with international good practice and research (Wakeford, 2019, Kellock 2020, ARTD 2018).</w:t>
      </w:r>
    </w:p>
    <w:p w14:paraId="7669D367" w14:textId="7337796B" w:rsidR="00544D08" w:rsidRPr="00241ADA" w:rsidRDefault="00544D08" w:rsidP="003C7D5A">
      <w:pPr>
        <w:pStyle w:val="ListParagraph"/>
        <w:numPr>
          <w:ilvl w:val="0"/>
          <w:numId w:val="10"/>
        </w:numPr>
        <w:spacing w:after="120" w:line="259" w:lineRule="auto"/>
        <w:ind w:left="360"/>
        <w:rPr>
          <w:rFonts w:cs="Arial"/>
          <w:sz w:val="24"/>
          <w:szCs w:val="24"/>
        </w:rPr>
      </w:pPr>
      <w:r w:rsidRPr="00241ADA">
        <w:rPr>
          <w:rFonts w:cs="Arial"/>
          <w:sz w:val="24"/>
          <w:szCs w:val="24"/>
        </w:rPr>
        <w:t>There is a need to focus on how the different sectors working can work in concert to improve employment outcomes and raise expectations for young people with disability (Meadows, 2020)</w:t>
      </w:r>
    </w:p>
    <w:p w14:paraId="54E01BCB" w14:textId="3239F17D" w:rsidR="00544D08" w:rsidRPr="00241ADA" w:rsidRDefault="00544D08" w:rsidP="003C7D5A">
      <w:pPr>
        <w:pStyle w:val="ListParagraph"/>
        <w:numPr>
          <w:ilvl w:val="0"/>
          <w:numId w:val="10"/>
        </w:numPr>
        <w:spacing w:after="240" w:line="259" w:lineRule="auto"/>
        <w:ind w:left="360"/>
        <w:contextualSpacing w:val="0"/>
        <w:rPr>
          <w:rFonts w:cs="Arial"/>
          <w:sz w:val="24"/>
          <w:szCs w:val="24"/>
        </w:rPr>
      </w:pPr>
      <w:r w:rsidRPr="00241ADA">
        <w:rPr>
          <w:rFonts w:cs="Arial"/>
          <w:sz w:val="24"/>
          <w:szCs w:val="24"/>
        </w:rPr>
        <w:t>Ticket to Work assists with the effective integration of mainstream and disability support, and it has been shown this approach reduces duplication (ARTD, 2019).</w:t>
      </w:r>
    </w:p>
    <w:p w14:paraId="34971197" w14:textId="77777777" w:rsidR="00544D08" w:rsidRPr="000D5C12" w:rsidRDefault="00544D08" w:rsidP="00100676">
      <w:pPr>
        <w:spacing w:after="240" w:line="259" w:lineRule="auto"/>
        <w:rPr>
          <w:rFonts w:cs="Arial"/>
        </w:rPr>
      </w:pPr>
      <w:r w:rsidRPr="000D5C12">
        <w:rPr>
          <w:rFonts w:cs="Arial"/>
          <w:noProof/>
          <w:lang w:eastAsia="en-AU"/>
        </w:rPr>
        <w:drawing>
          <wp:inline distT="0" distB="0" distL="0" distR="0" wp14:anchorId="64801921" wp14:editId="1164C2CD">
            <wp:extent cx="5731510" cy="3158338"/>
            <wp:effectExtent l="0" t="0" r="2540" b="0"/>
            <wp:docPr id="11" name="Picture 11" descr="The figure is a comparison study of young people with disability and between ticket to work scenario and business as usual scenario.&#10;In the labour force 89% Ticket to Work scenario compared to 58% Business as usual. &#10;64% employed in Ticket to Work scenario compared to 33% Business as usual. &#10;57% open employment in Ticket to Work scenario compared to 16.5% in business as usual.&#10;7% supported employment Ticket to Work Scenario and 16.5% in Business as usual. &#10;25% unemployed in Ticket to work scenario compared to 25% business as usual. &#10;11% not in labour force in ticket to work scenario compared to 42% in business as us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figure is a comparison study of young people with disability and between ticket to work scenario and business as usual scenario.&#10;In the labour force 89% Ticket to Work scenario compared to 58% Business as usual. &#10;64% employed in Ticket to Work scenario compared to 33% Business as usual. &#10;57% open employment in Ticket to Work scenario compared to 16.5% in business as usual.&#10;7% supported employment Ticket to Work Scenario and 16.5% in Business as usual. &#10;25% unemployed in Ticket to work scenario compared to 25% business as usual. &#10;11% not in labour force in ticket to work scenario compared to 42% in business as usual.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58338"/>
                    </a:xfrm>
                    <a:prstGeom prst="rect">
                      <a:avLst/>
                    </a:prstGeom>
                    <a:noFill/>
                  </pic:spPr>
                </pic:pic>
              </a:graphicData>
            </a:graphic>
          </wp:inline>
        </w:drawing>
      </w:r>
      <w:r w:rsidRPr="000D5C12">
        <w:rPr>
          <w:rFonts w:cs="Arial"/>
          <w:i/>
        </w:rPr>
        <w:t xml:space="preserve"> </w:t>
      </w:r>
    </w:p>
    <w:p w14:paraId="228A9557" w14:textId="4C690366" w:rsidR="00544D08" w:rsidRPr="003C7D5A" w:rsidRDefault="00E72414" w:rsidP="00100676">
      <w:pPr>
        <w:spacing w:after="240" w:line="259" w:lineRule="auto"/>
        <w:rPr>
          <w:rFonts w:cs="Arial"/>
          <w:sz w:val="24"/>
          <w:szCs w:val="24"/>
        </w:rPr>
      </w:pPr>
      <w:r w:rsidRPr="00E72414">
        <w:rPr>
          <w:rFonts w:cs="Arial"/>
          <w:bCs/>
          <w:sz w:val="24"/>
          <w:szCs w:val="24"/>
        </w:rPr>
        <w:t xml:space="preserve">The above </w:t>
      </w:r>
      <w:r w:rsidR="00544D08" w:rsidRPr="00E72414">
        <w:rPr>
          <w:rFonts w:cs="Arial"/>
          <w:bCs/>
          <w:sz w:val="24"/>
          <w:szCs w:val="24"/>
        </w:rPr>
        <w:t>Figure 1</w:t>
      </w:r>
      <w:r w:rsidR="00544D08" w:rsidRPr="003C7D5A">
        <w:rPr>
          <w:rFonts w:cs="Arial"/>
          <w:sz w:val="24"/>
          <w:szCs w:val="24"/>
        </w:rPr>
        <w:t xml:space="preserve"> indicates the findings of a comparison study. Ticket to Work participants showed improved outcomes compared to young people that did not have Ticket to Work support (Business as usual)</w:t>
      </w:r>
    </w:p>
    <w:p w14:paraId="398FE905" w14:textId="73F2065F" w:rsidR="00544D08" w:rsidRPr="00241ADA" w:rsidRDefault="00544D08" w:rsidP="00100676">
      <w:pPr>
        <w:spacing w:after="120" w:line="259" w:lineRule="auto"/>
        <w:rPr>
          <w:rFonts w:cs="Arial"/>
          <w:sz w:val="24"/>
          <w:szCs w:val="24"/>
        </w:rPr>
      </w:pPr>
      <w:r w:rsidRPr="00241ADA">
        <w:rPr>
          <w:rFonts w:cs="Arial"/>
          <w:sz w:val="24"/>
          <w:szCs w:val="24"/>
        </w:rPr>
        <w:lastRenderedPageBreak/>
        <w:t>Ticket to Work participants are:</w:t>
      </w:r>
    </w:p>
    <w:p w14:paraId="60EB4A6B" w14:textId="77777777" w:rsidR="00544D08" w:rsidRPr="00241ADA" w:rsidRDefault="00544D08" w:rsidP="00100676">
      <w:pPr>
        <w:pStyle w:val="ListParagraph"/>
        <w:numPr>
          <w:ilvl w:val="0"/>
          <w:numId w:val="22"/>
        </w:numPr>
        <w:spacing w:after="120" w:line="259" w:lineRule="auto"/>
        <w:contextualSpacing w:val="0"/>
        <w:rPr>
          <w:rFonts w:cs="Arial"/>
          <w:sz w:val="24"/>
          <w:szCs w:val="24"/>
        </w:rPr>
      </w:pPr>
      <w:r w:rsidRPr="00241ADA">
        <w:rPr>
          <w:rFonts w:cs="Arial"/>
          <w:sz w:val="24"/>
          <w:szCs w:val="24"/>
        </w:rPr>
        <w:t>Nearly 50 % more likely to complete year 12</w:t>
      </w:r>
    </w:p>
    <w:p w14:paraId="3D92D066" w14:textId="77777777" w:rsidR="00544D08" w:rsidRPr="00241ADA" w:rsidRDefault="00544D08" w:rsidP="00100676">
      <w:pPr>
        <w:pStyle w:val="ListParagraph"/>
        <w:numPr>
          <w:ilvl w:val="0"/>
          <w:numId w:val="22"/>
        </w:numPr>
        <w:spacing w:after="120" w:line="259" w:lineRule="auto"/>
        <w:contextualSpacing w:val="0"/>
        <w:rPr>
          <w:rFonts w:cs="Arial"/>
          <w:sz w:val="24"/>
          <w:szCs w:val="24"/>
        </w:rPr>
      </w:pPr>
      <w:r w:rsidRPr="00241ADA">
        <w:rPr>
          <w:rFonts w:cs="Arial"/>
          <w:sz w:val="24"/>
          <w:szCs w:val="24"/>
        </w:rPr>
        <w:t>More likely to be studying post school (31% to 23 %)</w:t>
      </w:r>
    </w:p>
    <w:p w14:paraId="4451B79D" w14:textId="77777777" w:rsidR="00544D08" w:rsidRPr="00241ADA" w:rsidRDefault="00544D08" w:rsidP="00100676">
      <w:pPr>
        <w:pStyle w:val="ListParagraph"/>
        <w:numPr>
          <w:ilvl w:val="0"/>
          <w:numId w:val="22"/>
        </w:numPr>
        <w:spacing w:after="120" w:line="259" w:lineRule="auto"/>
        <w:contextualSpacing w:val="0"/>
        <w:rPr>
          <w:rFonts w:cs="Arial"/>
          <w:sz w:val="24"/>
          <w:szCs w:val="24"/>
        </w:rPr>
      </w:pPr>
      <w:r w:rsidRPr="00241ADA">
        <w:rPr>
          <w:rFonts w:cs="Arial"/>
          <w:sz w:val="24"/>
          <w:szCs w:val="24"/>
        </w:rPr>
        <w:t>Much more likely to have obtained further qualifications (32% to 15%)</w:t>
      </w:r>
    </w:p>
    <w:p w14:paraId="0DFDE4B8" w14:textId="537B84E4" w:rsidR="00544D08" w:rsidRPr="00241ADA" w:rsidRDefault="00544D08" w:rsidP="00100676">
      <w:pPr>
        <w:pStyle w:val="ListParagraph"/>
        <w:numPr>
          <w:ilvl w:val="0"/>
          <w:numId w:val="22"/>
        </w:numPr>
        <w:spacing w:after="120" w:line="259" w:lineRule="auto"/>
        <w:contextualSpacing w:val="0"/>
        <w:rPr>
          <w:rFonts w:cs="Arial"/>
          <w:sz w:val="24"/>
          <w:szCs w:val="24"/>
        </w:rPr>
      </w:pPr>
      <w:r w:rsidRPr="00241ADA">
        <w:rPr>
          <w:rFonts w:cs="Arial"/>
          <w:sz w:val="24"/>
          <w:szCs w:val="24"/>
        </w:rPr>
        <w:t xml:space="preserve">Over three times more likely to be in open employment post school </w:t>
      </w:r>
    </w:p>
    <w:p w14:paraId="603C22C9" w14:textId="44A5F12D" w:rsidR="003A52E3" w:rsidRPr="00241ADA" w:rsidRDefault="00544D08" w:rsidP="00100676">
      <w:pPr>
        <w:pStyle w:val="ListParagraph"/>
        <w:numPr>
          <w:ilvl w:val="0"/>
          <w:numId w:val="22"/>
        </w:numPr>
        <w:spacing w:after="120" w:line="259" w:lineRule="auto"/>
        <w:contextualSpacing w:val="0"/>
        <w:rPr>
          <w:rFonts w:cs="Arial"/>
          <w:sz w:val="24"/>
          <w:szCs w:val="24"/>
        </w:rPr>
      </w:pPr>
      <w:r w:rsidRPr="00241ADA">
        <w:rPr>
          <w:rFonts w:cs="Arial"/>
          <w:sz w:val="24"/>
          <w:szCs w:val="24"/>
        </w:rPr>
        <w:t>Experience higher levels of social activities</w:t>
      </w:r>
    </w:p>
    <w:p w14:paraId="7E0F5ED8" w14:textId="77777777" w:rsidR="00D64A1A" w:rsidRPr="00241ADA" w:rsidRDefault="00D64A1A" w:rsidP="00100676">
      <w:pPr>
        <w:pStyle w:val="ListParagraph"/>
        <w:spacing w:after="120" w:line="259" w:lineRule="auto"/>
        <w:ind w:left="780"/>
        <w:contextualSpacing w:val="0"/>
        <w:rPr>
          <w:sz w:val="24"/>
          <w:szCs w:val="24"/>
        </w:rPr>
      </w:pPr>
    </w:p>
    <w:p w14:paraId="2EB67EE7" w14:textId="26EB7308" w:rsidR="00D64A1A" w:rsidRPr="003A52E3" w:rsidRDefault="00E72414" w:rsidP="00100676">
      <w:pPr>
        <w:pStyle w:val="NoSpacing"/>
        <w:spacing w:line="259" w:lineRule="auto"/>
        <w:rPr>
          <w:sz w:val="24"/>
          <w:szCs w:val="24"/>
        </w:rPr>
      </w:pPr>
      <w:r>
        <w:rPr>
          <w:sz w:val="24"/>
          <w:szCs w:val="24"/>
        </w:rPr>
        <w:t>The below f</w:t>
      </w:r>
      <w:r w:rsidR="00D64A1A" w:rsidRPr="003A52E3">
        <w:rPr>
          <w:sz w:val="24"/>
          <w:szCs w:val="24"/>
        </w:rPr>
        <w:t xml:space="preserve">igure 2 shows more people are in employment, education or training under the Ticket to Work scenario compared to the </w:t>
      </w:r>
      <w:proofErr w:type="gramStart"/>
      <w:r w:rsidR="00D64A1A" w:rsidRPr="003A52E3">
        <w:rPr>
          <w:sz w:val="24"/>
          <w:szCs w:val="24"/>
        </w:rPr>
        <w:t>Business as Usual</w:t>
      </w:r>
      <w:proofErr w:type="gramEnd"/>
      <w:r w:rsidR="00D64A1A" w:rsidRPr="003A52E3">
        <w:rPr>
          <w:sz w:val="24"/>
          <w:szCs w:val="24"/>
        </w:rPr>
        <w:t xml:space="preserve"> scenario.</w:t>
      </w:r>
    </w:p>
    <w:p w14:paraId="2A2F3644" w14:textId="77777777" w:rsidR="00544D08" w:rsidRPr="00241ADA" w:rsidRDefault="00544D08" w:rsidP="00100676">
      <w:pPr>
        <w:spacing w:after="120" w:line="259" w:lineRule="auto"/>
        <w:rPr>
          <w:rFonts w:cs="Arial"/>
          <w:sz w:val="24"/>
          <w:szCs w:val="24"/>
        </w:rPr>
      </w:pPr>
    </w:p>
    <w:p w14:paraId="70419A14" w14:textId="77777777" w:rsidR="00544D08" w:rsidRDefault="00544D08" w:rsidP="00100676">
      <w:pPr>
        <w:spacing w:line="259" w:lineRule="auto"/>
        <w:rPr>
          <w:rFonts w:cs="Arial"/>
          <w:sz w:val="24"/>
          <w:szCs w:val="24"/>
        </w:rPr>
      </w:pPr>
      <w:r w:rsidRPr="0022431D">
        <w:rPr>
          <w:rFonts w:cs="Arial"/>
          <w:noProof/>
          <w:sz w:val="24"/>
          <w:szCs w:val="24"/>
          <w:lang w:eastAsia="en-AU"/>
        </w:rPr>
        <w:drawing>
          <wp:inline distT="0" distB="0" distL="0" distR="0" wp14:anchorId="3C03BAAE" wp14:editId="62B7661B">
            <wp:extent cx="5731510" cy="3131185"/>
            <wp:effectExtent l="0" t="0" r="2540" b="0"/>
            <wp:docPr id="6" name="Picture 6" descr="This image shows a Ticket to Work scenario comparison for employment outcomes. &#10;there is 3216 participants. &#10;72% in employment, education, training in the ticket to work scenario compared to 46% in business as usual scenario. &#10;28% not in employment, education or training in Ticket to Work scenario compared to 54% business as usual. &#10;41.5% working only in Ticket to work scenario compared to 23% in business as usual. &#10;22.5% working and studying in the ticket to work scenario compared to 10% in business as usual. &#10;8% studying only in ticket to work scenario compared to 13% in business as usu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a Ticket to Work scenario comparison for employment outcomes. &#10;there is 3216 participants. &#10;72% in employment, education, training in the ticket to work scenario compared to 46% in business as usual scenario. &#10;28% not in employment, education or training in Ticket to Work scenario compared to 54% business as usual. &#10;41.5% working only in Ticket to work scenario compared to 23% in business as usual. &#10;22.5% working and studying in the ticket to work scenario compared to 10% in business as usual. &#10;8% studying only in ticket to work scenario compared to 13% in business as usual.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131185"/>
                    </a:xfrm>
                    <a:prstGeom prst="rect">
                      <a:avLst/>
                    </a:prstGeom>
                    <a:noFill/>
                  </pic:spPr>
                </pic:pic>
              </a:graphicData>
            </a:graphic>
          </wp:inline>
        </w:drawing>
      </w:r>
    </w:p>
    <w:p w14:paraId="1FC0E721" w14:textId="725008CE" w:rsidR="00D64A1A" w:rsidRDefault="00B90F4E" w:rsidP="00100676">
      <w:pPr>
        <w:spacing w:line="259" w:lineRule="auto"/>
        <w:rPr>
          <w:rFonts w:cs="Arial"/>
          <w:sz w:val="24"/>
          <w:szCs w:val="24"/>
        </w:rPr>
      </w:pPr>
      <w:r>
        <w:rPr>
          <w:sz w:val="24"/>
          <w:szCs w:val="24"/>
        </w:rPr>
        <w:t>The above f</w:t>
      </w:r>
      <w:r w:rsidR="00D64A1A">
        <w:rPr>
          <w:sz w:val="24"/>
          <w:szCs w:val="24"/>
        </w:rPr>
        <w:t xml:space="preserve">igure 2 </w:t>
      </w:r>
      <w:r w:rsidR="00D64A1A" w:rsidRPr="00A95204">
        <w:rPr>
          <w:sz w:val="24"/>
          <w:szCs w:val="24"/>
        </w:rPr>
        <w:t>Ticket to Work Scenario comparison for employment outcomes</w:t>
      </w:r>
    </w:p>
    <w:p w14:paraId="466FAC30" w14:textId="31A8D1F3" w:rsidR="002227D5" w:rsidRPr="001E05F7" w:rsidRDefault="00172964" w:rsidP="00100676">
      <w:pPr>
        <w:spacing w:line="259" w:lineRule="auto"/>
        <w:jc w:val="both"/>
        <w:rPr>
          <w:rFonts w:cs="Arial"/>
          <w:sz w:val="24"/>
          <w:szCs w:val="24"/>
        </w:rPr>
      </w:pPr>
      <w:r>
        <w:rPr>
          <w:rFonts w:cs="Arial"/>
          <w:sz w:val="24"/>
          <w:szCs w:val="24"/>
        </w:rPr>
        <w:t>T</w:t>
      </w:r>
      <w:r w:rsidRPr="0022431D">
        <w:rPr>
          <w:rFonts w:cs="Arial"/>
          <w:sz w:val="24"/>
          <w:szCs w:val="24"/>
        </w:rPr>
        <w:t>he 2019 evaluation of Ticket to Work showed 67% of participants were enrolled in vocational education or training (VET) as part of their senior school certificate. The majority (82%) completed their VET qualification as part of an Australian School based Ap</w:t>
      </w:r>
      <w:r w:rsidR="003C7D5A">
        <w:rPr>
          <w:rFonts w:cs="Arial"/>
          <w:sz w:val="24"/>
          <w:szCs w:val="24"/>
        </w:rPr>
        <w:t>prenticeship or Traineeship (</w:t>
      </w:r>
      <w:proofErr w:type="spellStart"/>
      <w:r w:rsidR="003C7D5A">
        <w:rPr>
          <w:rFonts w:cs="Arial"/>
          <w:sz w:val="24"/>
          <w:szCs w:val="24"/>
        </w:rPr>
        <w:t>ASb</w:t>
      </w:r>
      <w:r w:rsidRPr="0022431D">
        <w:rPr>
          <w:rFonts w:cs="Arial"/>
          <w:sz w:val="24"/>
          <w:szCs w:val="24"/>
        </w:rPr>
        <w:t>AT</w:t>
      </w:r>
      <w:proofErr w:type="spellEnd"/>
      <w:r w:rsidRPr="0022431D">
        <w:rPr>
          <w:rFonts w:cs="Arial"/>
          <w:sz w:val="24"/>
          <w:szCs w:val="24"/>
        </w:rPr>
        <w:t xml:space="preserve">) (Hawkins &amp; Rasheed, 2016, p. 26). Of those who </w:t>
      </w:r>
      <w:r w:rsidRPr="001E05F7">
        <w:rPr>
          <w:rFonts w:cs="Arial"/>
          <w:sz w:val="24"/>
          <w:szCs w:val="24"/>
        </w:rPr>
        <w:t xml:space="preserve">participated in an </w:t>
      </w:r>
      <w:proofErr w:type="spellStart"/>
      <w:r w:rsidRPr="001E05F7">
        <w:rPr>
          <w:rFonts w:cs="Arial"/>
          <w:sz w:val="24"/>
          <w:szCs w:val="24"/>
        </w:rPr>
        <w:t>AS</w:t>
      </w:r>
      <w:r w:rsidR="00E053B4">
        <w:rPr>
          <w:rFonts w:cs="Arial"/>
          <w:sz w:val="24"/>
          <w:szCs w:val="24"/>
        </w:rPr>
        <w:t>b</w:t>
      </w:r>
      <w:r w:rsidRPr="001E05F7">
        <w:rPr>
          <w:rFonts w:cs="Arial"/>
          <w:sz w:val="24"/>
          <w:szCs w:val="24"/>
        </w:rPr>
        <w:t>AT</w:t>
      </w:r>
      <w:proofErr w:type="spellEnd"/>
      <w:r w:rsidRPr="001E05F7">
        <w:rPr>
          <w:rFonts w:cs="Arial"/>
          <w:sz w:val="24"/>
          <w:szCs w:val="24"/>
        </w:rPr>
        <w:t xml:space="preserve">, 78% were employed, 15% were unemployed and 7% were not in the labour force in 2018. These findings </w:t>
      </w:r>
      <w:r w:rsidR="00B567DB" w:rsidRPr="001E05F7">
        <w:rPr>
          <w:rFonts w:cs="Arial"/>
          <w:sz w:val="24"/>
          <w:szCs w:val="24"/>
        </w:rPr>
        <w:t>are significantly higher than</w:t>
      </w:r>
      <w:r w:rsidRPr="001E05F7">
        <w:rPr>
          <w:rFonts w:cs="Arial"/>
          <w:sz w:val="24"/>
          <w:szCs w:val="24"/>
        </w:rPr>
        <w:t xml:space="preserve"> w</w:t>
      </w:r>
      <w:r w:rsidR="003C7D5A">
        <w:rPr>
          <w:rFonts w:cs="Arial"/>
          <w:sz w:val="24"/>
          <w:szCs w:val="24"/>
        </w:rPr>
        <w:t xml:space="preserve">ho did not participate in an </w:t>
      </w:r>
      <w:proofErr w:type="spellStart"/>
      <w:r w:rsidR="003C7D5A">
        <w:rPr>
          <w:rFonts w:cs="Arial"/>
          <w:sz w:val="24"/>
          <w:szCs w:val="24"/>
        </w:rPr>
        <w:t>ASb</w:t>
      </w:r>
      <w:r w:rsidRPr="001E05F7">
        <w:rPr>
          <w:rFonts w:cs="Arial"/>
          <w:sz w:val="24"/>
          <w:szCs w:val="24"/>
        </w:rPr>
        <w:t>AT</w:t>
      </w:r>
      <w:proofErr w:type="spellEnd"/>
      <w:r w:rsidRPr="001E05F7">
        <w:rPr>
          <w:rFonts w:cs="Arial"/>
          <w:sz w:val="24"/>
          <w:szCs w:val="24"/>
        </w:rPr>
        <w:t>.</w:t>
      </w:r>
    </w:p>
    <w:p w14:paraId="452D870D" w14:textId="0FCEAD13" w:rsidR="001E05F7" w:rsidRPr="001E05F7" w:rsidRDefault="001E05F7" w:rsidP="00100676">
      <w:pPr>
        <w:spacing w:line="259" w:lineRule="auto"/>
        <w:jc w:val="both"/>
        <w:rPr>
          <w:rFonts w:cs="Arial"/>
          <w:sz w:val="24"/>
          <w:szCs w:val="24"/>
        </w:rPr>
      </w:pPr>
      <w:r>
        <w:rPr>
          <w:sz w:val="24"/>
          <w:szCs w:val="24"/>
        </w:rPr>
        <w:t>The evaluation also f</w:t>
      </w:r>
      <w:r w:rsidRPr="001E05F7">
        <w:rPr>
          <w:sz w:val="24"/>
          <w:szCs w:val="24"/>
        </w:rPr>
        <w:t xml:space="preserve">ound that </w:t>
      </w:r>
      <w:r w:rsidR="00DE7997">
        <w:rPr>
          <w:sz w:val="24"/>
          <w:szCs w:val="24"/>
        </w:rPr>
        <w:t>more career and vocational experiences created better post school outcomes;</w:t>
      </w:r>
      <w:r w:rsidR="00A422D0">
        <w:rPr>
          <w:sz w:val="24"/>
          <w:szCs w:val="24"/>
        </w:rPr>
        <w:t xml:space="preserve"> </w:t>
      </w:r>
      <w:r w:rsidRPr="001E05F7">
        <w:rPr>
          <w:sz w:val="24"/>
          <w:szCs w:val="24"/>
        </w:rPr>
        <w:t xml:space="preserve">students were much more likely to be employed </w:t>
      </w:r>
      <w:r>
        <w:rPr>
          <w:sz w:val="24"/>
          <w:szCs w:val="24"/>
        </w:rPr>
        <w:t xml:space="preserve">post school </w:t>
      </w:r>
      <w:r w:rsidRPr="001E05F7">
        <w:rPr>
          <w:sz w:val="24"/>
          <w:szCs w:val="24"/>
        </w:rPr>
        <w:t xml:space="preserve">if participated in </w:t>
      </w:r>
      <w:r>
        <w:rPr>
          <w:sz w:val="24"/>
          <w:szCs w:val="24"/>
        </w:rPr>
        <w:t>3+ workplace learning</w:t>
      </w:r>
      <w:r w:rsidRPr="001E05F7">
        <w:rPr>
          <w:sz w:val="24"/>
          <w:szCs w:val="24"/>
        </w:rPr>
        <w:t xml:space="preserve"> </w:t>
      </w:r>
      <w:r>
        <w:rPr>
          <w:sz w:val="24"/>
          <w:szCs w:val="24"/>
        </w:rPr>
        <w:t>and/</w:t>
      </w:r>
      <w:r w:rsidRPr="001E05F7">
        <w:rPr>
          <w:sz w:val="24"/>
          <w:szCs w:val="24"/>
        </w:rPr>
        <w:t>or work experience</w:t>
      </w:r>
      <w:r w:rsidR="00090A33">
        <w:rPr>
          <w:sz w:val="24"/>
          <w:szCs w:val="24"/>
        </w:rPr>
        <w:t xml:space="preserve"> </w:t>
      </w:r>
      <w:r>
        <w:rPr>
          <w:sz w:val="24"/>
          <w:szCs w:val="24"/>
        </w:rPr>
        <w:t>(77% to 33%)</w:t>
      </w:r>
      <w:r w:rsidR="00D347B3">
        <w:rPr>
          <w:sz w:val="24"/>
          <w:szCs w:val="24"/>
        </w:rPr>
        <w:t>.</w:t>
      </w:r>
    </w:p>
    <w:p w14:paraId="7EA2E0D9" w14:textId="77777777" w:rsidR="00172964" w:rsidRPr="002227D5" w:rsidRDefault="002227D5" w:rsidP="00100676">
      <w:pPr>
        <w:spacing w:line="259" w:lineRule="auto"/>
        <w:jc w:val="both"/>
        <w:rPr>
          <w:rFonts w:cs="Arial"/>
          <w:color w:val="FF0000"/>
          <w:sz w:val="24"/>
          <w:szCs w:val="24"/>
        </w:rPr>
      </w:pPr>
      <w:r w:rsidRPr="001E05F7">
        <w:rPr>
          <w:rFonts w:cs="Arial"/>
          <w:sz w:val="24"/>
          <w:szCs w:val="24"/>
        </w:rPr>
        <w:lastRenderedPageBreak/>
        <w:t xml:space="preserve">The Ticket to Work </w:t>
      </w:r>
      <w:r w:rsidR="00172964" w:rsidRPr="001E05F7">
        <w:rPr>
          <w:rFonts w:cs="Arial"/>
          <w:sz w:val="24"/>
          <w:szCs w:val="24"/>
        </w:rPr>
        <w:t>findings</w:t>
      </w:r>
      <w:r w:rsidR="00172964" w:rsidRPr="0022431D">
        <w:rPr>
          <w:rFonts w:cs="Arial"/>
          <w:sz w:val="24"/>
          <w:szCs w:val="24"/>
        </w:rPr>
        <w:t xml:space="preserve"> support the </w:t>
      </w:r>
      <w:r w:rsidR="00B567DB">
        <w:rPr>
          <w:rFonts w:cs="Arial"/>
          <w:sz w:val="24"/>
          <w:szCs w:val="24"/>
        </w:rPr>
        <w:t xml:space="preserve">international experience and the </w:t>
      </w:r>
      <w:r w:rsidR="00172964" w:rsidRPr="0022431D">
        <w:rPr>
          <w:rFonts w:cs="Arial"/>
          <w:sz w:val="24"/>
          <w:szCs w:val="24"/>
        </w:rPr>
        <w:t xml:space="preserve">contention </w:t>
      </w:r>
      <w:r w:rsidR="00172964" w:rsidRPr="002227D5">
        <w:rPr>
          <w:rFonts w:cs="Arial"/>
          <w:sz w:val="24"/>
          <w:szCs w:val="24"/>
        </w:rPr>
        <w:t>that participation in school</w:t>
      </w:r>
      <w:r w:rsidR="003A52E3">
        <w:rPr>
          <w:rFonts w:cs="Arial"/>
          <w:sz w:val="24"/>
          <w:szCs w:val="24"/>
        </w:rPr>
        <w:t>-</w:t>
      </w:r>
      <w:r w:rsidR="00172964" w:rsidRPr="002227D5">
        <w:rPr>
          <w:rFonts w:cs="Arial"/>
          <w:sz w:val="24"/>
          <w:szCs w:val="24"/>
        </w:rPr>
        <w:t xml:space="preserve">based apprenticeships/ traineeships </w:t>
      </w:r>
      <w:r w:rsidR="003A1C82" w:rsidRPr="002227D5">
        <w:rPr>
          <w:rFonts w:cs="Arial"/>
          <w:sz w:val="24"/>
          <w:szCs w:val="24"/>
        </w:rPr>
        <w:t xml:space="preserve">and </w:t>
      </w:r>
      <w:r w:rsidR="00B567DB" w:rsidRPr="002227D5">
        <w:rPr>
          <w:rFonts w:cs="Arial"/>
          <w:sz w:val="24"/>
          <w:szCs w:val="24"/>
        </w:rPr>
        <w:t xml:space="preserve">VDSS </w:t>
      </w:r>
      <w:r w:rsidR="00172964" w:rsidRPr="002227D5">
        <w:rPr>
          <w:rFonts w:cs="Arial"/>
          <w:sz w:val="24"/>
          <w:szCs w:val="24"/>
        </w:rPr>
        <w:t>enhance the likelihood of successful transition outcomes.</w:t>
      </w:r>
    </w:p>
    <w:p w14:paraId="4998F0F3" w14:textId="77777777" w:rsidR="00172964" w:rsidRPr="002227D5" w:rsidRDefault="002227D5" w:rsidP="00100676">
      <w:pPr>
        <w:spacing w:line="259" w:lineRule="auto"/>
        <w:rPr>
          <w:rFonts w:cs="Arial"/>
          <w:sz w:val="24"/>
          <w:szCs w:val="24"/>
        </w:rPr>
      </w:pPr>
      <w:r w:rsidRPr="002227D5">
        <w:rPr>
          <w:rFonts w:cs="Arial"/>
          <w:sz w:val="24"/>
          <w:szCs w:val="24"/>
        </w:rPr>
        <w:t>W</w:t>
      </w:r>
      <w:r w:rsidRPr="002227D5">
        <w:rPr>
          <w:sz w:val="24"/>
          <w:szCs w:val="24"/>
        </w:rPr>
        <w:t>hile not underestimating the challenges, Ticket to Work has demonstrated in significant numbers that young people can thrive in open employment when prepared and supported while at school through a coordinated approach.</w:t>
      </w:r>
    </w:p>
    <w:p w14:paraId="0B606788" w14:textId="77777777" w:rsidR="00892772" w:rsidRPr="00544B1C" w:rsidRDefault="003A52E3" w:rsidP="00100676">
      <w:pPr>
        <w:spacing w:line="259" w:lineRule="auto"/>
        <w:rPr>
          <w:rFonts w:cs="Arial"/>
          <w:bCs/>
          <w:sz w:val="36"/>
          <w:szCs w:val="36"/>
        </w:rPr>
      </w:pPr>
      <w:r w:rsidRPr="00544B1C">
        <w:rPr>
          <w:rFonts w:cs="Arial"/>
          <w:bCs/>
          <w:sz w:val="36"/>
          <w:szCs w:val="36"/>
        </w:rPr>
        <w:t>Implications for the proposed Firth Reforms</w:t>
      </w:r>
    </w:p>
    <w:p w14:paraId="0C708A4D" w14:textId="348B1B2A" w:rsidR="00CC04F8" w:rsidRPr="002227D5" w:rsidRDefault="00CC04F8" w:rsidP="00100676">
      <w:pPr>
        <w:spacing w:line="259" w:lineRule="auto"/>
      </w:pPr>
      <w:r>
        <w:rPr>
          <w:sz w:val="24"/>
          <w:szCs w:val="24"/>
        </w:rPr>
        <w:t>W</w:t>
      </w:r>
      <w:r w:rsidRPr="0022431D">
        <w:rPr>
          <w:sz w:val="24"/>
          <w:szCs w:val="24"/>
        </w:rPr>
        <w:t xml:space="preserve">hile </w:t>
      </w:r>
      <w:r>
        <w:rPr>
          <w:sz w:val="24"/>
          <w:szCs w:val="24"/>
        </w:rPr>
        <w:t xml:space="preserve">workplace learning </w:t>
      </w:r>
      <w:r w:rsidR="003A52E3">
        <w:rPr>
          <w:sz w:val="24"/>
          <w:szCs w:val="24"/>
        </w:rPr>
        <w:t>opportunities are</w:t>
      </w:r>
      <w:r w:rsidRPr="0022431D">
        <w:rPr>
          <w:sz w:val="24"/>
          <w:szCs w:val="24"/>
        </w:rPr>
        <w:t xml:space="preserve"> beneficial to all youth, it has been found they are particularly valuable for young peo</w:t>
      </w:r>
      <w:r>
        <w:rPr>
          <w:sz w:val="24"/>
          <w:szCs w:val="24"/>
        </w:rPr>
        <w:t>ple with disabilities</w:t>
      </w:r>
      <w:r w:rsidRPr="0022431D">
        <w:rPr>
          <w:sz w:val="24"/>
          <w:szCs w:val="24"/>
        </w:rPr>
        <w:t>.</w:t>
      </w:r>
    </w:p>
    <w:p w14:paraId="547660CC" w14:textId="579DE376" w:rsidR="00DB4C39" w:rsidRDefault="00CC04F8" w:rsidP="00100676">
      <w:pPr>
        <w:spacing w:line="259" w:lineRule="auto"/>
        <w:rPr>
          <w:sz w:val="24"/>
          <w:szCs w:val="24"/>
        </w:rPr>
      </w:pPr>
      <w:r>
        <w:rPr>
          <w:sz w:val="24"/>
          <w:szCs w:val="24"/>
        </w:rPr>
        <w:t xml:space="preserve">The poor outcomes for Victorian </w:t>
      </w:r>
      <w:r w:rsidR="002227D5">
        <w:rPr>
          <w:sz w:val="24"/>
          <w:szCs w:val="24"/>
        </w:rPr>
        <w:t>students</w:t>
      </w:r>
      <w:r w:rsidRPr="0022431D">
        <w:rPr>
          <w:sz w:val="24"/>
          <w:szCs w:val="24"/>
        </w:rPr>
        <w:t xml:space="preserve"> </w:t>
      </w:r>
      <w:r>
        <w:rPr>
          <w:sz w:val="24"/>
          <w:szCs w:val="24"/>
        </w:rPr>
        <w:t xml:space="preserve">with disability </w:t>
      </w:r>
      <w:r w:rsidRPr="0022431D">
        <w:rPr>
          <w:sz w:val="24"/>
          <w:szCs w:val="24"/>
        </w:rPr>
        <w:t>suggest that there remains a critical need to expand quality work-based learning opportunities for young people with disability and to integrate these experiences into secondary education.</w:t>
      </w:r>
    </w:p>
    <w:p w14:paraId="5C6C4E1F" w14:textId="4AE13D13" w:rsidR="00CC04F8" w:rsidRPr="00DB4C39" w:rsidRDefault="00DB4C39" w:rsidP="00100676">
      <w:pPr>
        <w:spacing w:line="259" w:lineRule="auto"/>
        <w:rPr>
          <w:rFonts w:cs="Arial"/>
          <w:sz w:val="24"/>
          <w:szCs w:val="24"/>
        </w:rPr>
      </w:pPr>
      <w:r w:rsidRPr="0022431D">
        <w:rPr>
          <w:rFonts w:cs="Arial"/>
          <w:sz w:val="24"/>
          <w:szCs w:val="24"/>
        </w:rPr>
        <w:t xml:space="preserve">In Australia it has been identified that it is ‘crucial that young people with disability receive the support required to participate in the workforce as early as possible to drive effective long-term employment and maximise the benefits of improved standards of </w:t>
      </w:r>
      <w:r w:rsidRPr="00786DAE">
        <w:rPr>
          <w:rFonts w:cs="Arial"/>
          <w:sz w:val="24"/>
          <w:szCs w:val="24"/>
        </w:rPr>
        <w:t>living and social inclusion that come with employment’</w:t>
      </w:r>
      <w:r w:rsidR="00786DAE" w:rsidRPr="00786DAE">
        <w:rPr>
          <w:rFonts w:cs="Arial"/>
          <w:sz w:val="24"/>
          <w:szCs w:val="24"/>
        </w:rPr>
        <w:t xml:space="preserve"> (</w:t>
      </w:r>
      <w:r w:rsidR="00786DAE" w:rsidRPr="00786DAE">
        <w:rPr>
          <w:sz w:val="24"/>
          <w:szCs w:val="24"/>
        </w:rPr>
        <w:t>Deloitte Access Economics (2011).</w:t>
      </w:r>
    </w:p>
    <w:p w14:paraId="41FDD733" w14:textId="0BF377EA" w:rsidR="00CC04F8" w:rsidRPr="003C7D5A" w:rsidRDefault="006A1777" w:rsidP="003C7D5A">
      <w:pPr>
        <w:pStyle w:val="EndnoteText"/>
        <w:spacing w:after="120" w:line="259" w:lineRule="auto"/>
        <w:rPr>
          <w:rFonts w:cs="Arial"/>
          <w:color w:val="000000"/>
          <w:sz w:val="24"/>
          <w:szCs w:val="24"/>
          <w:shd w:val="clear" w:color="auto" w:fill="FFFFFF"/>
        </w:rPr>
      </w:pPr>
      <w:r w:rsidRPr="0022431D">
        <w:rPr>
          <w:rFonts w:cs="Arial"/>
          <w:color w:val="000000"/>
          <w:sz w:val="24"/>
          <w:szCs w:val="24"/>
          <w:shd w:val="clear" w:color="auto" w:fill="FFFFFF"/>
        </w:rPr>
        <w:t>Research has consistently demonstrated that education a</w:t>
      </w:r>
      <w:r>
        <w:rPr>
          <w:rFonts w:cs="Arial"/>
          <w:color w:val="000000"/>
          <w:sz w:val="24"/>
          <w:szCs w:val="24"/>
          <w:shd w:val="clear" w:color="auto" w:fill="FFFFFF"/>
        </w:rPr>
        <w:t>nd employment outcomes for young people</w:t>
      </w:r>
      <w:r w:rsidRPr="0022431D">
        <w:rPr>
          <w:rFonts w:cs="Arial"/>
          <w:color w:val="000000"/>
          <w:sz w:val="24"/>
          <w:szCs w:val="24"/>
          <w:shd w:val="clear" w:color="auto" w:fill="FFFFFF"/>
        </w:rPr>
        <w:t xml:space="preserve"> with disabilities can be significantly improved by frequent and systematic exposure to a variety of real work experiences</w:t>
      </w:r>
      <w:r>
        <w:rPr>
          <w:rFonts w:cs="Arial"/>
          <w:color w:val="000000"/>
          <w:sz w:val="24"/>
          <w:szCs w:val="24"/>
          <w:shd w:val="clear" w:color="auto" w:fill="FFFFFF"/>
        </w:rPr>
        <w:t xml:space="preserve"> while at school</w:t>
      </w:r>
      <w:r w:rsidRPr="0022431D">
        <w:rPr>
          <w:rFonts w:cs="Arial"/>
          <w:color w:val="000000"/>
          <w:sz w:val="24"/>
          <w:szCs w:val="24"/>
          <w:shd w:val="clear" w:color="auto" w:fill="FFFFFF"/>
        </w:rPr>
        <w:t xml:space="preserve">. The persistently low employment rates of youth and young adults with disabilities suggest that these types of experiences should be integral to secondary education for students with disabilities, </w:t>
      </w:r>
      <w:r w:rsidRPr="00C0312D">
        <w:rPr>
          <w:rFonts w:cs="Arial"/>
          <w:color w:val="000000"/>
          <w:sz w:val="24"/>
          <w:szCs w:val="24"/>
          <w:shd w:val="clear" w:color="auto" w:fill="FFFFFF"/>
        </w:rPr>
        <w:t>regardless of the nature of the disability or the need for special education services</w:t>
      </w:r>
      <w:r w:rsidR="00C0312D" w:rsidRPr="00C0312D">
        <w:rPr>
          <w:rFonts w:cs="Arial"/>
          <w:color w:val="000000"/>
          <w:sz w:val="24"/>
          <w:szCs w:val="24"/>
          <w:shd w:val="clear" w:color="auto" w:fill="FFFFFF"/>
        </w:rPr>
        <w:t xml:space="preserve"> (</w:t>
      </w:r>
      <w:proofErr w:type="spellStart"/>
      <w:r w:rsidR="00C0312D" w:rsidRPr="00C0312D">
        <w:rPr>
          <w:sz w:val="24"/>
          <w:szCs w:val="24"/>
        </w:rPr>
        <w:t>Luecking</w:t>
      </w:r>
      <w:proofErr w:type="spellEnd"/>
      <w:r w:rsidR="00C0312D" w:rsidRPr="00C0312D">
        <w:rPr>
          <w:sz w:val="24"/>
          <w:szCs w:val="24"/>
        </w:rPr>
        <w:t xml:space="preserve"> R, </w:t>
      </w:r>
      <w:proofErr w:type="spellStart"/>
      <w:r w:rsidR="00C0312D" w:rsidRPr="00C0312D">
        <w:rPr>
          <w:sz w:val="24"/>
          <w:szCs w:val="24"/>
        </w:rPr>
        <w:t>Gramlich</w:t>
      </w:r>
      <w:proofErr w:type="spellEnd"/>
      <w:r w:rsidR="00C0312D" w:rsidRPr="00C0312D">
        <w:rPr>
          <w:sz w:val="24"/>
          <w:szCs w:val="24"/>
        </w:rPr>
        <w:t>, M (2003).</w:t>
      </w:r>
    </w:p>
    <w:p w14:paraId="4235947F" w14:textId="53FC9618" w:rsidR="00EE3311" w:rsidRPr="009B1638" w:rsidRDefault="00CC04F8" w:rsidP="009B1638">
      <w:pPr>
        <w:pStyle w:val="NoSpacing"/>
        <w:rPr>
          <w:rFonts w:ascii="Times New Roman" w:hAnsi="Times New Roman"/>
          <w:sz w:val="24"/>
          <w:szCs w:val="24"/>
        </w:rPr>
      </w:pPr>
      <w:r w:rsidRPr="009B1638">
        <w:rPr>
          <w:sz w:val="24"/>
          <w:szCs w:val="24"/>
        </w:rPr>
        <w:t>Important</w:t>
      </w:r>
      <w:r w:rsidR="003A52E3" w:rsidRPr="009B1638">
        <w:rPr>
          <w:sz w:val="24"/>
          <w:szCs w:val="24"/>
        </w:rPr>
        <w:t>ly</w:t>
      </w:r>
      <w:r w:rsidR="003C7D5A" w:rsidRPr="009B1638">
        <w:rPr>
          <w:sz w:val="24"/>
          <w:szCs w:val="24"/>
        </w:rPr>
        <w:t xml:space="preserve"> to note</w:t>
      </w:r>
      <w:r w:rsidR="003A52E3" w:rsidRPr="009B1638">
        <w:rPr>
          <w:sz w:val="24"/>
          <w:szCs w:val="24"/>
        </w:rPr>
        <w:t>, given the Firth recommendations,</w:t>
      </w:r>
      <w:r w:rsidRPr="009B1638">
        <w:rPr>
          <w:sz w:val="24"/>
          <w:szCs w:val="24"/>
        </w:rPr>
        <w:t xml:space="preserve"> ‘segregation of students with disability has found to increase the pervasiveness of bullying against students with disability</w:t>
      </w:r>
      <w:r w:rsidR="00C0312D" w:rsidRPr="009B1638">
        <w:rPr>
          <w:sz w:val="24"/>
          <w:szCs w:val="24"/>
        </w:rPr>
        <w:t>’</w:t>
      </w:r>
      <w:r w:rsidR="00C0312D">
        <w:rPr>
          <w:sz w:val="24"/>
          <w:szCs w:val="24"/>
        </w:rPr>
        <w:t xml:space="preserve"> (</w:t>
      </w:r>
      <w:r w:rsidR="00C0312D" w:rsidRPr="00C0312D">
        <w:rPr>
          <w:sz w:val="24"/>
          <w:szCs w:val="24"/>
        </w:rPr>
        <w:t xml:space="preserve">Wagner, M., Newman, L., </w:t>
      </w:r>
      <w:proofErr w:type="spellStart"/>
      <w:r w:rsidR="00C0312D" w:rsidRPr="00C0312D">
        <w:rPr>
          <w:sz w:val="24"/>
          <w:szCs w:val="24"/>
        </w:rPr>
        <w:t>Cameto</w:t>
      </w:r>
      <w:proofErr w:type="spellEnd"/>
      <w:r w:rsidR="00C0312D" w:rsidRPr="00C0312D">
        <w:rPr>
          <w:sz w:val="24"/>
          <w:szCs w:val="24"/>
        </w:rPr>
        <w:t>, R., Garza, N., &amp; Levine, P. (2005).</w:t>
      </w:r>
      <w:r w:rsidRPr="00C0312D">
        <w:rPr>
          <w:sz w:val="24"/>
          <w:szCs w:val="24"/>
        </w:rPr>
        <w:t xml:space="preserve"> </w:t>
      </w:r>
      <w:r w:rsidR="00892018" w:rsidRPr="00C0312D">
        <w:rPr>
          <w:sz w:val="24"/>
          <w:szCs w:val="24"/>
        </w:rPr>
        <w:t>The</w:t>
      </w:r>
      <w:r w:rsidR="00892018" w:rsidRPr="009B1638">
        <w:rPr>
          <w:sz w:val="24"/>
          <w:szCs w:val="24"/>
        </w:rPr>
        <w:t xml:space="preserve"> largest, longitudinal study of education outcomes of 11,000 students with disabilities, the National Longitudinal Transition Study, showed that more time spent in a general education classroom was positively correlated with higher scores on standardized tests of reading and math, fewer absences from school, and fewer referrals for disruptive </w:t>
      </w:r>
      <w:r w:rsidR="00E053B4" w:rsidRPr="009B1638">
        <w:rPr>
          <w:sz w:val="24"/>
          <w:szCs w:val="24"/>
        </w:rPr>
        <w:t>behaviour</w:t>
      </w:r>
      <w:r w:rsidR="00892018" w:rsidRPr="009B1638">
        <w:rPr>
          <w:sz w:val="24"/>
          <w:szCs w:val="24"/>
        </w:rPr>
        <w:t>. These results were independent of students’ disability, severity of disability, gender, or socio-economic status</w:t>
      </w:r>
      <w:r w:rsidR="00C0312D">
        <w:rPr>
          <w:sz w:val="24"/>
          <w:szCs w:val="24"/>
        </w:rPr>
        <w:t xml:space="preserve"> (</w:t>
      </w:r>
      <w:proofErr w:type="spellStart"/>
      <w:r w:rsidR="00C0312D" w:rsidRPr="00C0312D">
        <w:rPr>
          <w:sz w:val="24"/>
          <w:szCs w:val="24"/>
        </w:rPr>
        <w:t>Blackorby</w:t>
      </w:r>
      <w:proofErr w:type="spellEnd"/>
      <w:r w:rsidR="00C0312D" w:rsidRPr="00C0312D">
        <w:rPr>
          <w:sz w:val="24"/>
          <w:szCs w:val="24"/>
        </w:rPr>
        <w:t>, Chorost, Garza, &amp; Guzman)</w:t>
      </w:r>
      <w:r w:rsidR="00892018" w:rsidRPr="00C0312D">
        <w:rPr>
          <w:sz w:val="24"/>
          <w:szCs w:val="24"/>
        </w:rPr>
        <w:t>.</w:t>
      </w:r>
    </w:p>
    <w:p w14:paraId="1C8EA53B" w14:textId="38A6D5C7" w:rsidR="00CC04F8" w:rsidRPr="0022431D" w:rsidRDefault="00CC04F8" w:rsidP="003C7D5A">
      <w:pPr>
        <w:spacing w:after="120" w:line="259" w:lineRule="auto"/>
        <w:jc w:val="both"/>
        <w:rPr>
          <w:rFonts w:cs="Arial"/>
          <w:sz w:val="24"/>
          <w:szCs w:val="24"/>
        </w:rPr>
      </w:pPr>
      <w:r w:rsidRPr="0022431D">
        <w:rPr>
          <w:rFonts w:cs="Arial"/>
          <w:sz w:val="24"/>
          <w:szCs w:val="24"/>
        </w:rPr>
        <w:t>There are clear links between the young person with a disability’s self-image and the degree to which schools foster inclusiveness and prolonged exposure to “horizon-limiting views and experiences” may see these beliefs become internalised and the person’s capacity to recognise their potential diminished</w:t>
      </w:r>
      <w:r w:rsidR="00C0312D">
        <w:rPr>
          <w:rFonts w:cs="Arial"/>
          <w:sz w:val="24"/>
          <w:szCs w:val="24"/>
        </w:rPr>
        <w:t xml:space="preserve"> (PWC 2011).</w:t>
      </w:r>
    </w:p>
    <w:p w14:paraId="27657ACA" w14:textId="7363FB12" w:rsidR="00D607D9" w:rsidRPr="0022431D" w:rsidRDefault="00D607D9" w:rsidP="00100676">
      <w:pPr>
        <w:spacing w:line="259" w:lineRule="auto"/>
        <w:jc w:val="both"/>
        <w:rPr>
          <w:rFonts w:cs="Arial"/>
          <w:sz w:val="24"/>
          <w:szCs w:val="24"/>
        </w:rPr>
      </w:pPr>
      <w:r w:rsidRPr="0022431D">
        <w:rPr>
          <w:rFonts w:cs="Arial"/>
          <w:sz w:val="24"/>
          <w:szCs w:val="24"/>
        </w:rPr>
        <w:lastRenderedPageBreak/>
        <w:t>Previous research has</w:t>
      </w:r>
      <w:r w:rsidR="00CC04F8">
        <w:rPr>
          <w:rFonts w:cs="Arial"/>
          <w:sz w:val="24"/>
          <w:szCs w:val="24"/>
        </w:rPr>
        <w:t xml:space="preserve"> shown that quickly moving young people with cognitive disability</w:t>
      </w:r>
      <w:r w:rsidRPr="0022431D">
        <w:rPr>
          <w:rFonts w:cs="Arial"/>
          <w:sz w:val="24"/>
          <w:szCs w:val="24"/>
        </w:rPr>
        <w:t xml:space="preserve"> into real jobs that are well-matched to their interests and have growth potential positively impacts job retention (Cook et al. 2005; Luecking and Fabian 2000</w:t>
      </w:r>
      <w:r w:rsidR="00CC04F8">
        <w:rPr>
          <w:rFonts w:cs="Arial"/>
          <w:sz w:val="24"/>
          <w:szCs w:val="24"/>
        </w:rPr>
        <w:t>, SVA 2020</w:t>
      </w:r>
      <w:r w:rsidRPr="0022431D">
        <w:rPr>
          <w:rFonts w:cs="Arial"/>
          <w:sz w:val="24"/>
          <w:szCs w:val="24"/>
        </w:rPr>
        <w:t>).</w:t>
      </w:r>
    </w:p>
    <w:p w14:paraId="7B244D41" w14:textId="5DA3E231" w:rsidR="00D607D9" w:rsidRPr="0022431D" w:rsidRDefault="00D607D9" w:rsidP="00100676">
      <w:pPr>
        <w:spacing w:line="259" w:lineRule="auto"/>
        <w:jc w:val="both"/>
        <w:rPr>
          <w:rFonts w:cs="Arial"/>
          <w:sz w:val="24"/>
          <w:szCs w:val="24"/>
          <w:lang w:val="en-US"/>
        </w:rPr>
      </w:pPr>
      <w:r w:rsidRPr="0022431D">
        <w:rPr>
          <w:rFonts w:cs="Arial"/>
          <w:sz w:val="24"/>
          <w:szCs w:val="24"/>
        </w:rPr>
        <w:t>This approach is particularly useful for many students with learning difficulties or disability, as generic skills development is not easily transferred from the classroom and into the workplace. Work placement accompanied with supported training in a real</w:t>
      </w:r>
      <w:r w:rsidR="00EF7DDB">
        <w:rPr>
          <w:rFonts w:cs="Arial"/>
          <w:sz w:val="24"/>
          <w:szCs w:val="24"/>
        </w:rPr>
        <w:t xml:space="preserve"> </w:t>
      </w:r>
      <w:r w:rsidRPr="0022431D">
        <w:rPr>
          <w:rFonts w:cs="Arial"/>
          <w:sz w:val="24"/>
          <w:szCs w:val="24"/>
        </w:rPr>
        <w:t xml:space="preserve">world context is preferable. There is extensive evidence that ‘place and train’ is much more </w:t>
      </w:r>
      <w:r w:rsidRPr="0022431D">
        <w:rPr>
          <w:rFonts w:cs="Arial"/>
          <w:sz w:val="24"/>
          <w:szCs w:val="24"/>
          <w:lang w:val="en-US"/>
        </w:rPr>
        <w:t xml:space="preserve">successful than a </w:t>
      </w:r>
      <w:r w:rsidRPr="0022431D">
        <w:rPr>
          <w:rFonts w:cs="Arial"/>
          <w:sz w:val="24"/>
          <w:szCs w:val="24"/>
        </w:rPr>
        <w:t>flow-through model</w:t>
      </w:r>
      <w:r w:rsidR="00EF7DDB">
        <w:rPr>
          <w:rFonts w:cs="Arial"/>
          <w:sz w:val="24"/>
          <w:szCs w:val="24"/>
        </w:rPr>
        <w:t>s such as</w:t>
      </w:r>
      <w:r w:rsidRPr="0022431D">
        <w:rPr>
          <w:rFonts w:cs="Arial"/>
          <w:sz w:val="24"/>
          <w:szCs w:val="24"/>
        </w:rPr>
        <w:t xml:space="preserve"> </w:t>
      </w:r>
      <w:r w:rsidRPr="0022431D">
        <w:rPr>
          <w:rFonts w:cs="Arial"/>
          <w:sz w:val="24"/>
          <w:szCs w:val="24"/>
          <w:lang w:val="en-US"/>
        </w:rPr>
        <w:t>‘train and place’ for this cohort of students.</w:t>
      </w:r>
    </w:p>
    <w:p w14:paraId="3AB4A775" w14:textId="732946FE" w:rsidR="00D607D9" w:rsidRPr="0022431D" w:rsidRDefault="00D607D9" w:rsidP="00100676">
      <w:pPr>
        <w:autoSpaceDE w:val="0"/>
        <w:autoSpaceDN w:val="0"/>
        <w:adjustRightInd w:val="0"/>
        <w:spacing w:line="259" w:lineRule="auto"/>
        <w:jc w:val="both"/>
        <w:rPr>
          <w:rFonts w:cs="Arial"/>
          <w:sz w:val="24"/>
          <w:szCs w:val="24"/>
        </w:rPr>
      </w:pPr>
      <w:proofErr w:type="gramStart"/>
      <w:r w:rsidRPr="0022431D">
        <w:rPr>
          <w:rFonts w:cs="Arial"/>
          <w:sz w:val="24"/>
          <w:szCs w:val="24"/>
          <w:lang w:val="en-US"/>
        </w:rPr>
        <w:t>This is why</w:t>
      </w:r>
      <w:proofErr w:type="gramEnd"/>
      <w:r w:rsidRPr="0022431D">
        <w:rPr>
          <w:rFonts w:cs="Arial"/>
          <w:sz w:val="24"/>
          <w:szCs w:val="24"/>
          <w:lang w:val="en-US"/>
        </w:rPr>
        <w:t xml:space="preserve"> School based traineeships and VET with Structured wor</w:t>
      </w:r>
      <w:r w:rsidR="00EF7DDB">
        <w:rPr>
          <w:rFonts w:cs="Arial"/>
          <w:sz w:val="24"/>
          <w:szCs w:val="24"/>
          <w:lang w:val="en-US"/>
        </w:rPr>
        <w:t>k-</w:t>
      </w:r>
      <w:r w:rsidRPr="0022431D">
        <w:rPr>
          <w:rFonts w:cs="Arial"/>
          <w:sz w:val="24"/>
          <w:szCs w:val="24"/>
          <w:lang w:val="en-US"/>
        </w:rPr>
        <w:t>place learning can be successful for many students with disability, if designed well with effective supports.</w:t>
      </w:r>
      <w:r w:rsidR="00D347B3">
        <w:rPr>
          <w:rFonts w:cs="Arial"/>
          <w:sz w:val="24"/>
          <w:szCs w:val="24"/>
          <w:lang w:val="en-US"/>
        </w:rPr>
        <w:t xml:space="preserve"> </w:t>
      </w:r>
      <w:proofErr w:type="gramStart"/>
      <w:r w:rsidRPr="0022431D">
        <w:rPr>
          <w:rFonts w:cs="Arial"/>
          <w:sz w:val="24"/>
          <w:szCs w:val="24"/>
        </w:rPr>
        <w:t>With this in mind, resources</w:t>
      </w:r>
      <w:proofErr w:type="gramEnd"/>
      <w:r w:rsidRPr="0022431D">
        <w:rPr>
          <w:rFonts w:cs="Arial"/>
          <w:sz w:val="24"/>
          <w:szCs w:val="24"/>
        </w:rPr>
        <w:t xml:space="preserve"> can be better utilised </w:t>
      </w:r>
      <w:r w:rsidR="00EF7DDB">
        <w:rPr>
          <w:rFonts w:cs="Arial"/>
          <w:sz w:val="24"/>
          <w:szCs w:val="24"/>
        </w:rPr>
        <w:t>to</w:t>
      </w:r>
      <w:r w:rsidR="00EF7DDB" w:rsidRPr="0022431D">
        <w:rPr>
          <w:rFonts w:cs="Arial"/>
          <w:sz w:val="24"/>
          <w:szCs w:val="24"/>
        </w:rPr>
        <w:t xml:space="preserve"> </w:t>
      </w:r>
      <w:r w:rsidRPr="0022431D">
        <w:rPr>
          <w:rFonts w:cs="Arial"/>
          <w:sz w:val="24"/>
          <w:szCs w:val="24"/>
        </w:rPr>
        <w:t>ensure Victoria</w:t>
      </w:r>
      <w:r w:rsidR="00EF7DDB">
        <w:rPr>
          <w:rFonts w:cs="Arial"/>
          <w:sz w:val="24"/>
          <w:szCs w:val="24"/>
        </w:rPr>
        <w:t>n</w:t>
      </w:r>
      <w:r w:rsidRPr="0022431D">
        <w:rPr>
          <w:rFonts w:cs="Arial"/>
          <w:sz w:val="24"/>
          <w:szCs w:val="24"/>
        </w:rPr>
        <w:t xml:space="preserve"> students with disability </w:t>
      </w:r>
      <w:r w:rsidR="00DE7997">
        <w:rPr>
          <w:rFonts w:cs="Arial"/>
          <w:sz w:val="24"/>
          <w:szCs w:val="24"/>
        </w:rPr>
        <w:t xml:space="preserve">get access to quality VET and </w:t>
      </w:r>
      <w:proofErr w:type="spellStart"/>
      <w:r w:rsidR="00DE7997">
        <w:rPr>
          <w:rFonts w:cs="Arial"/>
          <w:sz w:val="24"/>
          <w:szCs w:val="24"/>
        </w:rPr>
        <w:t>Sb</w:t>
      </w:r>
      <w:r w:rsidRPr="0022431D">
        <w:rPr>
          <w:rFonts w:cs="Arial"/>
          <w:sz w:val="24"/>
          <w:szCs w:val="24"/>
        </w:rPr>
        <w:t>ATS</w:t>
      </w:r>
      <w:proofErr w:type="spellEnd"/>
      <w:r w:rsidRPr="0022431D">
        <w:rPr>
          <w:rFonts w:cs="Arial"/>
          <w:sz w:val="24"/>
          <w:szCs w:val="24"/>
        </w:rPr>
        <w:t xml:space="preserve"> and ensure authentic on-the-job experience, with the effective support.</w:t>
      </w:r>
    </w:p>
    <w:p w14:paraId="3F88FC42" w14:textId="77777777" w:rsidR="00CC04F8" w:rsidRDefault="00D607D9" w:rsidP="00100676">
      <w:pPr>
        <w:spacing w:line="259" w:lineRule="auto"/>
        <w:rPr>
          <w:rFonts w:cs="Arial"/>
          <w:sz w:val="24"/>
          <w:szCs w:val="24"/>
        </w:rPr>
      </w:pPr>
      <w:r w:rsidRPr="0022431D">
        <w:rPr>
          <w:rFonts w:cs="Arial"/>
          <w:sz w:val="24"/>
          <w:szCs w:val="24"/>
          <w:bdr w:val="none" w:sz="0" w:space="0" w:color="auto" w:frame="1"/>
        </w:rPr>
        <w:t xml:space="preserve">Correspondingly, evaluations of Ticket to Work show participants who engage in </w:t>
      </w:r>
      <w:r w:rsidRPr="0022431D">
        <w:rPr>
          <w:rFonts w:cs="Arial"/>
          <w:sz w:val="24"/>
          <w:szCs w:val="24"/>
        </w:rPr>
        <w:t>School-based Apprenticeships and Traineeships (</w:t>
      </w:r>
      <w:proofErr w:type="spellStart"/>
      <w:r w:rsidRPr="0022431D">
        <w:rPr>
          <w:rFonts w:cs="Arial"/>
          <w:sz w:val="24"/>
          <w:szCs w:val="24"/>
        </w:rPr>
        <w:t>SbATs</w:t>
      </w:r>
      <w:proofErr w:type="spellEnd"/>
      <w:r w:rsidRPr="0022431D">
        <w:rPr>
          <w:rFonts w:cs="Arial"/>
          <w:sz w:val="24"/>
          <w:szCs w:val="24"/>
        </w:rPr>
        <w:t xml:space="preserve">) </w:t>
      </w:r>
      <w:r w:rsidR="00CC04F8">
        <w:rPr>
          <w:rFonts w:cs="Arial"/>
          <w:sz w:val="24"/>
          <w:szCs w:val="24"/>
        </w:rPr>
        <w:t>are much</w:t>
      </w:r>
      <w:r w:rsidRPr="0022431D">
        <w:rPr>
          <w:rFonts w:cs="Arial"/>
          <w:sz w:val="24"/>
          <w:szCs w:val="24"/>
        </w:rPr>
        <w:t xml:space="preserve"> more likely to be in employment post-school than students who did not, and also more likely to complete their secondary education </w:t>
      </w:r>
      <w:r w:rsidRPr="0022431D">
        <w:rPr>
          <w:rFonts w:cs="Arial"/>
          <w:sz w:val="24"/>
          <w:szCs w:val="24"/>
        </w:rPr>
        <w:fldChar w:fldCharType="begin"/>
      </w:r>
      <w:r w:rsidRPr="0022431D">
        <w:rPr>
          <w:rFonts w:cs="Arial"/>
          <w:sz w:val="24"/>
          <w:szCs w:val="24"/>
        </w:rPr>
        <w:instrText xml:space="preserve"> ADDIN EN.CITE &lt;EndNote&gt;&lt;Cite&gt;&lt;Author&gt;Hawkins&lt;/Author&gt;&lt;Year&gt;2016&lt;/Year&gt;&lt;RecNum&gt;10&lt;/RecNum&gt;&lt;DisplayText&gt;(Hawkins &amp;amp; Rasheed, 2016)&lt;/DisplayText&gt;&lt;record&gt;&lt;rec-number&gt;10&lt;/rec-number&gt;&lt;foreign-keys&gt;&lt;key app="EN" db-id="stx5satavvxdvveepsx59affx9z95f5v2rzw" timestamp="1561960471"&gt;10&lt;/key&gt;&lt;/foreign-keys&gt;&lt;ref-type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Pr="0022431D">
        <w:rPr>
          <w:rFonts w:cs="Arial"/>
          <w:sz w:val="24"/>
          <w:szCs w:val="24"/>
        </w:rPr>
        <w:fldChar w:fldCharType="separate"/>
      </w:r>
      <w:r w:rsidRPr="0022431D">
        <w:rPr>
          <w:rFonts w:cs="Arial"/>
          <w:noProof/>
          <w:sz w:val="24"/>
          <w:szCs w:val="24"/>
        </w:rPr>
        <w:t>(Hawkins &amp; Rasheed, 2016)</w:t>
      </w:r>
      <w:r w:rsidRPr="0022431D">
        <w:rPr>
          <w:rFonts w:cs="Arial"/>
          <w:sz w:val="24"/>
          <w:szCs w:val="24"/>
        </w:rPr>
        <w:fldChar w:fldCharType="end"/>
      </w:r>
      <w:r w:rsidRPr="0022431D">
        <w:rPr>
          <w:rFonts w:cs="Arial"/>
          <w:sz w:val="24"/>
          <w:szCs w:val="24"/>
        </w:rPr>
        <w:t>.</w:t>
      </w:r>
    </w:p>
    <w:p w14:paraId="05425821" w14:textId="64FC4D4A" w:rsidR="00CC04F8" w:rsidRPr="00544B1C" w:rsidRDefault="00C0312D" w:rsidP="00100676">
      <w:pPr>
        <w:spacing w:line="259" w:lineRule="auto"/>
        <w:rPr>
          <w:rFonts w:cs="Arial"/>
          <w:sz w:val="36"/>
          <w:szCs w:val="36"/>
        </w:rPr>
      </w:pPr>
      <w:r w:rsidRPr="00544B1C">
        <w:rPr>
          <w:rFonts w:cs="Arial"/>
          <w:sz w:val="36"/>
          <w:szCs w:val="36"/>
        </w:rPr>
        <w:t>Conclusion</w:t>
      </w:r>
    </w:p>
    <w:p w14:paraId="13FF436D" w14:textId="1431F44F" w:rsidR="00677F9F" w:rsidRPr="00241ADA" w:rsidRDefault="00677F9F" w:rsidP="00677F9F">
      <w:pPr>
        <w:spacing w:line="259" w:lineRule="auto"/>
        <w:rPr>
          <w:rFonts w:cstheme="minorHAnsi"/>
          <w:sz w:val="24"/>
          <w:szCs w:val="24"/>
        </w:rPr>
      </w:pPr>
      <w:r>
        <w:rPr>
          <w:rFonts w:cstheme="minorHAnsi"/>
          <w:sz w:val="24"/>
          <w:szCs w:val="24"/>
        </w:rPr>
        <w:t xml:space="preserve">We are encouraged by the aims of the </w:t>
      </w:r>
      <w:r w:rsidRPr="00241ADA">
        <w:rPr>
          <w:rFonts w:cstheme="minorHAnsi"/>
          <w:sz w:val="24"/>
          <w:szCs w:val="24"/>
        </w:rPr>
        <w:t>reform</w:t>
      </w:r>
      <w:r>
        <w:rPr>
          <w:rFonts w:cstheme="minorHAnsi"/>
          <w:sz w:val="24"/>
          <w:szCs w:val="24"/>
        </w:rPr>
        <w:t>,</w:t>
      </w:r>
      <w:r w:rsidR="00987B5D">
        <w:rPr>
          <w:rFonts w:cstheme="minorHAnsi"/>
          <w:sz w:val="24"/>
          <w:szCs w:val="24"/>
        </w:rPr>
        <w:t xml:space="preserve"> that being</w:t>
      </w:r>
      <w:r w:rsidRPr="00241ADA">
        <w:rPr>
          <w:rFonts w:cstheme="minorHAnsi"/>
          <w:sz w:val="24"/>
          <w:szCs w:val="24"/>
        </w:rPr>
        <w:t>:</w:t>
      </w:r>
    </w:p>
    <w:p w14:paraId="42CA61F2" w14:textId="2C675F6B" w:rsidR="00677F9F" w:rsidRPr="00241ADA" w:rsidRDefault="00677F9F" w:rsidP="00677F9F">
      <w:pPr>
        <w:pStyle w:val="ListParagraph"/>
        <w:numPr>
          <w:ilvl w:val="0"/>
          <w:numId w:val="29"/>
        </w:numPr>
        <w:spacing w:after="160" w:line="259" w:lineRule="auto"/>
        <w:rPr>
          <w:rFonts w:cstheme="minorHAnsi"/>
          <w:sz w:val="24"/>
          <w:szCs w:val="24"/>
        </w:rPr>
      </w:pPr>
      <w:r w:rsidRPr="00241ADA">
        <w:rPr>
          <w:rFonts w:cstheme="minorHAnsi"/>
          <w:sz w:val="24"/>
          <w:szCs w:val="24"/>
        </w:rPr>
        <w:t>to ensure all Victorian secondary school students have access to high-quality vocational and applied learning options</w:t>
      </w:r>
    </w:p>
    <w:p w14:paraId="691C6757" w14:textId="5740C808" w:rsidR="00677F9F" w:rsidRDefault="00677F9F" w:rsidP="00677F9F">
      <w:pPr>
        <w:pStyle w:val="ListParagraph"/>
        <w:numPr>
          <w:ilvl w:val="0"/>
          <w:numId w:val="29"/>
        </w:numPr>
        <w:spacing w:after="160" w:line="259" w:lineRule="auto"/>
        <w:rPr>
          <w:rFonts w:cstheme="minorHAnsi"/>
          <w:sz w:val="24"/>
          <w:szCs w:val="24"/>
        </w:rPr>
      </w:pPr>
      <w:r w:rsidRPr="00241ADA">
        <w:rPr>
          <w:rFonts w:cstheme="minorHAnsi"/>
          <w:sz w:val="24"/>
          <w:szCs w:val="24"/>
        </w:rPr>
        <w:t>to look for ways to improve transitions for students between school, post-secondary education and work.</w:t>
      </w:r>
    </w:p>
    <w:p w14:paraId="6B46AEAC" w14:textId="4E05E2B6" w:rsidR="00677F9F" w:rsidRPr="00677F9F" w:rsidRDefault="00677F9F" w:rsidP="00677F9F">
      <w:pPr>
        <w:spacing w:after="160" w:line="259" w:lineRule="auto"/>
        <w:rPr>
          <w:rFonts w:cstheme="minorHAnsi"/>
          <w:sz w:val="24"/>
          <w:szCs w:val="24"/>
        </w:rPr>
      </w:pPr>
      <w:r>
        <w:rPr>
          <w:rFonts w:cstheme="minorHAnsi"/>
          <w:sz w:val="24"/>
          <w:szCs w:val="24"/>
        </w:rPr>
        <w:t xml:space="preserve">Yet all must mean all, and there need </w:t>
      </w:r>
      <w:r w:rsidR="00987B5D">
        <w:rPr>
          <w:rFonts w:cstheme="minorHAnsi"/>
          <w:sz w:val="24"/>
          <w:szCs w:val="24"/>
        </w:rPr>
        <w:t xml:space="preserve">for </w:t>
      </w:r>
      <w:r>
        <w:rPr>
          <w:rFonts w:cstheme="minorHAnsi"/>
          <w:sz w:val="24"/>
          <w:szCs w:val="24"/>
        </w:rPr>
        <w:t>significant reform to improve transition for students with disability.</w:t>
      </w:r>
    </w:p>
    <w:p w14:paraId="5D3BAFE5" w14:textId="52D737A2" w:rsidR="00D607D9" w:rsidRPr="0022431D" w:rsidRDefault="00D607D9" w:rsidP="00100676">
      <w:pPr>
        <w:spacing w:line="259" w:lineRule="auto"/>
        <w:rPr>
          <w:rFonts w:cs="Arial"/>
          <w:sz w:val="24"/>
          <w:szCs w:val="24"/>
        </w:rPr>
      </w:pPr>
      <w:r w:rsidRPr="0022431D">
        <w:rPr>
          <w:rFonts w:cs="Arial"/>
          <w:sz w:val="24"/>
          <w:szCs w:val="24"/>
        </w:rPr>
        <w:t xml:space="preserve">Senior school </w:t>
      </w:r>
      <w:r w:rsidR="00DE7997">
        <w:rPr>
          <w:rFonts w:cs="Arial"/>
          <w:sz w:val="24"/>
          <w:szCs w:val="24"/>
        </w:rPr>
        <w:t>vocational and w</w:t>
      </w:r>
      <w:r w:rsidRPr="0022431D">
        <w:rPr>
          <w:rFonts w:cs="Arial"/>
          <w:sz w:val="24"/>
          <w:szCs w:val="24"/>
        </w:rPr>
        <w:t>ork-based learning experiences have been shown to be one of the strongest predictors of adult employment success for students and with disabilities. There is</w:t>
      </w:r>
      <w:r w:rsidR="00EF7DDB">
        <w:rPr>
          <w:rFonts w:cs="Arial"/>
          <w:sz w:val="24"/>
          <w:szCs w:val="24"/>
        </w:rPr>
        <w:t xml:space="preserve"> a substantial body of</w:t>
      </w:r>
      <w:r w:rsidRPr="0022431D">
        <w:rPr>
          <w:rFonts w:cs="Arial"/>
          <w:sz w:val="24"/>
          <w:szCs w:val="24"/>
        </w:rPr>
        <w:t xml:space="preserve"> literature about what make a quality work-</w:t>
      </w:r>
      <w:r w:rsidR="002227D5" w:rsidRPr="0022431D">
        <w:rPr>
          <w:rFonts w:cs="Arial"/>
          <w:sz w:val="24"/>
          <w:szCs w:val="24"/>
        </w:rPr>
        <w:t>based</w:t>
      </w:r>
      <w:r w:rsidRPr="0022431D">
        <w:rPr>
          <w:rFonts w:cs="Arial"/>
          <w:sz w:val="24"/>
          <w:szCs w:val="24"/>
        </w:rPr>
        <w:t xml:space="preserve"> learning program that the Victoria government can draw upon.</w:t>
      </w:r>
    </w:p>
    <w:p w14:paraId="55D7D016" w14:textId="7AE5ACD3" w:rsidR="00C0312D" w:rsidRDefault="00CC04F8" w:rsidP="00100676">
      <w:pPr>
        <w:pStyle w:val="Bulletlist"/>
        <w:numPr>
          <w:ilvl w:val="0"/>
          <w:numId w:val="0"/>
        </w:numPr>
        <w:spacing w:line="259" w:lineRule="auto"/>
        <w:rPr>
          <w:szCs w:val="20"/>
        </w:rPr>
      </w:pPr>
      <w:r w:rsidRPr="0022431D">
        <w:rPr>
          <w:sz w:val="24"/>
          <w:szCs w:val="24"/>
        </w:rPr>
        <w:t xml:space="preserve">Using these predictors will allow state government, schools and services to be strategic and </w:t>
      </w:r>
      <w:r w:rsidR="00EF7DDB">
        <w:rPr>
          <w:sz w:val="24"/>
          <w:szCs w:val="24"/>
        </w:rPr>
        <w:t xml:space="preserve">to </w:t>
      </w:r>
      <w:r w:rsidRPr="0022431D">
        <w:rPr>
          <w:sz w:val="24"/>
          <w:szCs w:val="24"/>
        </w:rPr>
        <w:t>ensure a good return on their investments</w:t>
      </w:r>
      <w:r w:rsidR="00EF7DDB">
        <w:rPr>
          <w:sz w:val="24"/>
          <w:szCs w:val="24"/>
        </w:rPr>
        <w:t>:</w:t>
      </w:r>
      <w:r w:rsidRPr="0022431D">
        <w:rPr>
          <w:sz w:val="24"/>
          <w:szCs w:val="24"/>
        </w:rPr>
        <w:t xml:space="preserve"> providing vocational, senior school and transition services to students with disability have the best chance of improving students’ post-school outcom</w:t>
      </w:r>
      <w:r w:rsidRPr="00C0312D">
        <w:rPr>
          <w:sz w:val="24"/>
          <w:szCs w:val="24"/>
        </w:rPr>
        <w:t>es</w:t>
      </w:r>
      <w:r w:rsidR="00C0312D" w:rsidRPr="00C0312D">
        <w:rPr>
          <w:sz w:val="24"/>
          <w:szCs w:val="24"/>
        </w:rPr>
        <w:t xml:space="preserve"> (</w:t>
      </w:r>
      <w:hyperlink r:id="rId18" w:history="1">
        <w:r w:rsidR="00C0312D" w:rsidRPr="00C0312D">
          <w:rPr>
            <w:rStyle w:val="Hyperlink"/>
            <w:sz w:val="24"/>
            <w:szCs w:val="24"/>
          </w:rPr>
          <w:t>What to Know About Work-Based Learning Experiences</w:t>
        </w:r>
      </w:hyperlink>
      <w:r w:rsidR="00C0312D" w:rsidRPr="00C0312D">
        <w:rPr>
          <w:sz w:val="24"/>
          <w:szCs w:val="24"/>
        </w:rPr>
        <w:t>)</w:t>
      </w:r>
      <w:r w:rsidR="00C0312D">
        <w:rPr>
          <w:sz w:val="24"/>
          <w:szCs w:val="24"/>
        </w:rPr>
        <w:t>,</w:t>
      </w:r>
      <w:r w:rsidR="00C0312D" w:rsidRPr="00C0312D">
        <w:rPr>
          <w:sz w:val="24"/>
          <w:szCs w:val="24"/>
        </w:rPr>
        <w:t xml:space="preserve"> (Federal Youth Transition Plan</w:t>
      </w:r>
      <w:r w:rsidR="00C0312D">
        <w:rPr>
          <w:sz w:val="24"/>
          <w:szCs w:val="24"/>
        </w:rPr>
        <w:t xml:space="preserve"> (2020</w:t>
      </w:r>
      <w:r w:rsidR="00C0312D" w:rsidRPr="00C0312D">
        <w:rPr>
          <w:sz w:val="24"/>
          <w:szCs w:val="24"/>
        </w:rPr>
        <w:t>).</w:t>
      </w:r>
    </w:p>
    <w:p w14:paraId="58242006" w14:textId="77777777" w:rsidR="00C0312D" w:rsidRDefault="00C0312D">
      <w:pPr>
        <w:spacing w:after="160" w:line="259" w:lineRule="auto"/>
        <w:rPr>
          <w:rFonts w:cs="Arial"/>
          <w:szCs w:val="20"/>
        </w:rPr>
      </w:pPr>
      <w:r>
        <w:rPr>
          <w:szCs w:val="20"/>
        </w:rPr>
        <w:br w:type="page"/>
      </w:r>
    </w:p>
    <w:p w14:paraId="5356CB69" w14:textId="77777777" w:rsidR="00D607D9" w:rsidRPr="00544B1C" w:rsidRDefault="00C60DD8" w:rsidP="00100676">
      <w:pPr>
        <w:spacing w:line="259" w:lineRule="auto"/>
        <w:jc w:val="both"/>
        <w:rPr>
          <w:rFonts w:cs="Arial"/>
          <w:bCs/>
          <w:sz w:val="36"/>
          <w:szCs w:val="36"/>
        </w:rPr>
      </w:pPr>
      <w:r w:rsidRPr="00544B1C">
        <w:rPr>
          <w:rFonts w:cs="Arial"/>
          <w:bCs/>
          <w:sz w:val="36"/>
          <w:szCs w:val="36"/>
        </w:rPr>
        <w:lastRenderedPageBreak/>
        <w:t>Recommendations</w:t>
      </w:r>
    </w:p>
    <w:p w14:paraId="43C658CE" w14:textId="72DF1CA0" w:rsidR="00EF7DDB" w:rsidRDefault="00EF7DDB" w:rsidP="00100676">
      <w:pPr>
        <w:spacing w:line="259" w:lineRule="auto"/>
        <w:jc w:val="both"/>
        <w:rPr>
          <w:rFonts w:cs="Arial"/>
          <w:sz w:val="24"/>
          <w:szCs w:val="24"/>
        </w:rPr>
      </w:pPr>
      <w:r>
        <w:rPr>
          <w:rFonts w:cs="Arial"/>
          <w:sz w:val="24"/>
          <w:szCs w:val="24"/>
        </w:rPr>
        <w:t>The Government’s response should be explicitly predicated on e</w:t>
      </w:r>
      <w:r w:rsidR="00C60DD8" w:rsidRPr="001E05F7">
        <w:rPr>
          <w:rFonts w:cs="Arial"/>
          <w:sz w:val="24"/>
          <w:szCs w:val="24"/>
        </w:rPr>
        <w:t xml:space="preserve">nsure any education reforms are evidenced based and address the needs of all </w:t>
      </w:r>
      <w:r w:rsidR="003C2AA3" w:rsidRPr="001E05F7">
        <w:rPr>
          <w:rFonts w:cs="Arial"/>
          <w:sz w:val="24"/>
          <w:szCs w:val="24"/>
        </w:rPr>
        <w:t>students including those</w:t>
      </w:r>
      <w:r w:rsidR="00C60DD8" w:rsidRPr="001E05F7">
        <w:rPr>
          <w:rFonts w:cs="Arial"/>
          <w:sz w:val="24"/>
          <w:szCs w:val="24"/>
        </w:rPr>
        <w:t xml:space="preserve"> with disability.</w:t>
      </w:r>
    </w:p>
    <w:p w14:paraId="2B49B2A0" w14:textId="77777777" w:rsidR="00EF7DDB" w:rsidRDefault="0065693A" w:rsidP="00100676">
      <w:pPr>
        <w:spacing w:line="259" w:lineRule="auto"/>
        <w:jc w:val="both"/>
        <w:rPr>
          <w:rFonts w:cs="Arial"/>
          <w:sz w:val="24"/>
          <w:szCs w:val="24"/>
        </w:rPr>
      </w:pPr>
      <w:r>
        <w:rPr>
          <w:rFonts w:cs="Arial"/>
          <w:sz w:val="24"/>
          <w:szCs w:val="24"/>
        </w:rPr>
        <w:t xml:space="preserve">Drawing on the </w:t>
      </w:r>
      <w:r w:rsidR="00EF7DDB">
        <w:rPr>
          <w:rFonts w:cs="Arial"/>
          <w:sz w:val="24"/>
          <w:szCs w:val="24"/>
        </w:rPr>
        <w:t>extant international and national evidence strongly</w:t>
      </w:r>
      <w:r>
        <w:rPr>
          <w:rFonts w:cs="Arial"/>
          <w:sz w:val="24"/>
          <w:szCs w:val="24"/>
        </w:rPr>
        <w:t>, we would recommend a commitment from the Victorian Government that</w:t>
      </w:r>
      <w:r w:rsidR="00EF7DDB">
        <w:rPr>
          <w:rFonts w:cs="Arial"/>
          <w:sz w:val="24"/>
          <w:szCs w:val="24"/>
        </w:rPr>
        <w:t>:</w:t>
      </w:r>
    </w:p>
    <w:p w14:paraId="45566B28" w14:textId="77777777" w:rsidR="00C60DD8" w:rsidRDefault="001E05F7" w:rsidP="00100676">
      <w:pPr>
        <w:pStyle w:val="Bulletlist"/>
        <w:numPr>
          <w:ilvl w:val="0"/>
          <w:numId w:val="24"/>
        </w:numPr>
        <w:spacing w:line="259" w:lineRule="auto"/>
        <w:rPr>
          <w:sz w:val="24"/>
          <w:szCs w:val="24"/>
        </w:rPr>
      </w:pPr>
      <w:r>
        <w:rPr>
          <w:sz w:val="24"/>
          <w:szCs w:val="24"/>
        </w:rPr>
        <w:t>A</w:t>
      </w:r>
      <w:r w:rsidR="00C60DD8" w:rsidRPr="001E05F7">
        <w:rPr>
          <w:sz w:val="24"/>
          <w:szCs w:val="24"/>
        </w:rPr>
        <w:t>ll young Australians be given equitable access and opportunity to become confident</w:t>
      </w:r>
      <w:r w:rsidR="00C60DD8" w:rsidRPr="0022431D">
        <w:rPr>
          <w:sz w:val="24"/>
          <w:szCs w:val="24"/>
        </w:rPr>
        <w:t xml:space="preserve"> and creative individuals, successful lifelong learners, and active and informed members of the community.</w:t>
      </w:r>
    </w:p>
    <w:p w14:paraId="1F59BEDE" w14:textId="77777777" w:rsidR="00BA146D" w:rsidRPr="0022431D" w:rsidRDefault="00BA146D" w:rsidP="00100676">
      <w:pPr>
        <w:pStyle w:val="Bulletlist"/>
        <w:numPr>
          <w:ilvl w:val="0"/>
          <w:numId w:val="24"/>
        </w:numPr>
        <w:spacing w:line="259" w:lineRule="auto"/>
        <w:rPr>
          <w:sz w:val="24"/>
          <w:szCs w:val="24"/>
        </w:rPr>
      </w:pPr>
      <w:r>
        <w:rPr>
          <w:sz w:val="24"/>
          <w:szCs w:val="24"/>
        </w:rPr>
        <w:t>Explore the learnings from Ticket to Work initiative and other successful approaches.</w:t>
      </w:r>
    </w:p>
    <w:p w14:paraId="50FBFC40" w14:textId="745A0F19" w:rsidR="002227D5" w:rsidRPr="001E05F7" w:rsidRDefault="0065693A" w:rsidP="00100676">
      <w:pPr>
        <w:pStyle w:val="ListParagraph"/>
        <w:numPr>
          <w:ilvl w:val="0"/>
          <w:numId w:val="24"/>
        </w:numPr>
        <w:spacing w:line="259" w:lineRule="auto"/>
        <w:rPr>
          <w:rFonts w:cs="Arial"/>
          <w:sz w:val="24"/>
          <w:szCs w:val="24"/>
        </w:rPr>
      </w:pPr>
      <w:r>
        <w:rPr>
          <w:rFonts w:cs="Arial"/>
          <w:sz w:val="24"/>
          <w:szCs w:val="24"/>
        </w:rPr>
        <w:t>Offers a</w:t>
      </w:r>
      <w:r w:rsidR="00EF7DDB">
        <w:rPr>
          <w:rFonts w:cs="Arial"/>
          <w:sz w:val="24"/>
          <w:szCs w:val="24"/>
        </w:rPr>
        <w:t>n inclusive certification system rather than</w:t>
      </w:r>
      <w:r w:rsidR="002227D5" w:rsidRPr="001E05F7">
        <w:rPr>
          <w:rFonts w:cs="Arial"/>
          <w:sz w:val="24"/>
          <w:szCs w:val="24"/>
        </w:rPr>
        <w:t xml:space="preserve"> a dual certificate system </w:t>
      </w:r>
      <w:r w:rsidR="00C60DD8" w:rsidRPr="001E05F7">
        <w:rPr>
          <w:rFonts w:cs="Arial"/>
          <w:sz w:val="24"/>
          <w:szCs w:val="24"/>
        </w:rPr>
        <w:t>where</w:t>
      </w:r>
      <w:r w:rsidR="002227D5" w:rsidRPr="001E05F7">
        <w:rPr>
          <w:rFonts w:cs="Arial"/>
          <w:sz w:val="24"/>
          <w:szCs w:val="24"/>
        </w:rPr>
        <w:t xml:space="preserve"> </w:t>
      </w:r>
      <w:r w:rsidR="00C60DD8" w:rsidRPr="001E05F7">
        <w:rPr>
          <w:rFonts w:cs="Arial"/>
          <w:sz w:val="24"/>
          <w:szCs w:val="24"/>
        </w:rPr>
        <w:t>students</w:t>
      </w:r>
      <w:r w:rsidR="002227D5" w:rsidRPr="001E05F7">
        <w:rPr>
          <w:rFonts w:cs="Arial"/>
          <w:sz w:val="24"/>
          <w:szCs w:val="24"/>
        </w:rPr>
        <w:t xml:space="preserve"> with disability</w:t>
      </w:r>
      <w:r w:rsidR="00C60DD8" w:rsidRPr="001E05F7">
        <w:rPr>
          <w:rFonts w:cs="Arial"/>
          <w:sz w:val="24"/>
          <w:szCs w:val="24"/>
        </w:rPr>
        <w:t xml:space="preserve"> are not giv</w:t>
      </w:r>
      <w:r w:rsidR="00EF7DDB">
        <w:rPr>
          <w:rFonts w:cs="Arial"/>
          <w:sz w:val="24"/>
          <w:szCs w:val="24"/>
        </w:rPr>
        <w:t>en</w:t>
      </w:r>
      <w:r w:rsidR="00C60DD8" w:rsidRPr="001E05F7">
        <w:rPr>
          <w:rFonts w:cs="Arial"/>
          <w:sz w:val="24"/>
          <w:szCs w:val="24"/>
        </w:rPr>
        <w:t xml:space="preserve"> the </w:t>
      </w:r>
      <w:r w:rsidR="00EF7DDB">
        <w:rPr>
          <w:rFonts w:cs="Arial"/>
          <w:sz w:val="24"/>
          <w:szCs w:val="24"/>
        </w:rPr>
        <w:t xml:space="preserve">full </w:t>
      </w:r>
      <w:r w:rsidR="00C60DD8" w:rsidRPr="001E05F7">
        <w:rPr>
          <w:rFonts w:cs="Arial"/>
          <w:sz w:val="24"/>
          <w:szCs w:val="24"/>
        </w:rPr>
        <w:t xml:space="preserve">benefits of </w:t>
      </w:r>
      <w:r w:rsidR="00EF7DDB">
        <w:rPr>
          <w:rFonts w:cs="Arial"/>
          <w:sz w:val="24"/>
          <w:szCs w:val="24"/>
        </w:rPr>
        <w:t xml:space="preserve">a </w:t>
      </w:r>
      <w:r w:rsidR="00C60DD8" w:rsidRPr="001E05F7">
        <w:rPr>
          <w:rFonts w:cs="Arial"/>
          <w:sz w:val="24"/>
          <w:szCs w:val="24"/>
        </w:rPr>
        <w:t>senior school experience that other student</w:t>
      </w:r>
      <w:r w:rsidR="00EF7DDB">
        <w:rPr>
          <w:rFonts w:cs="Arial"/>
          <w:sz w:val="24"/>
          <w:szCs w:val="24"/>
        </w:rPr>
        <w:t>s</w:t>
      </w:r>
      <w:r w:rsidR="00C60DD8" w:rsidRPr="001E05F7">
        <w:rPr>
          <w:rFonts w:cs="Arial"/>
          <w:sz w:val="24"/>
          <w:szCs w:val="24"/>
        </w:rPr>
        <w:t xml:space="preserve"> can experience including VCE, VDSS and </w:t>
      </w:r>
      <w:proofErr w:type="spellStart"/>
      <w:r w:rsidR="00C60DD8" w:rsidRPr="001E05F7">
        <w:rPr>
          <w:rFonts w:cs="Arial"/>
          <w:sz w:val="24"/>
          <w:szCs w:val="24"/>
        </w:rPr>
        <w:t>S</w:t>
      </w:r>
      <w:r w:rsidR="00E053B4">
        <w:rPr>
          <w:rFonts w:cs="Arial"/>
          <w:sz w:val="24"/>
          <w:szCs w:val="24"/>
        </w:rPr>
        <w:t>b</w:t>
      </w:r>
      <w:r w:rsidR="00C60DD8" w:rsidRPr="001E05F7">
        <w:rPr>
          <w:rFonts w:cs="Arial"/>
          <w:sz w:val="24"/>
          <w:szCs w:val="24"/>
        </w:rPr>
        <w:t>AT</w:t>
      </w:r>
      <w:proofErr w:type="spellEnd"/>
      <w:r w:rsidR="00C60DD8" w:rsidRPr="001E05F7">
        <w:rPr>
          <w:rFonts w:cs="Arial"/>
          <w:sz w:val="24"/>
          <w:szCs w:val="24"/>
        </w:rPr>
        <w:t>.</w:t>
      </w:r>
    </w:p>
    <w:p w14:paraId="6E090687" w14:textId="3E021E5B" w:rsidR="00C60DD8" w:rsidRDefault="002227D5" w:rsidP="00100676">
      <w:pPr>
        <w:pStyle w:val="Bulletlist"/>
        <w:numPr>
          <w:ilvl w:val="0"/>
          <w:numId w:val="24"/>
        </w:numPr>
        <w:spacing w:line="259" w:lineRule="auto"/>
        <w:rPr>
          <w:sz w:val="24"/>
          <w:szCs w:val="24"/>
        </w:rPr>
      </w:pPr>
      <w:r>
        <w:rPr>
          <w:sz w:val="24"/>
          <w:szCs w:val="24"/>
        </w:rPr>
        <w:t>Ensu</w:t>
      </w:r>
      <w:r w:rsidR="0065693A">
        <w:rPr>
          <w:sz w:val="24"/>
          <w:szCs w:val="24"/>
        </w:rPr>
        <w:t>res</w:t>
      </w:r>
      <w:r>
        <w:rPr>
          <w:sz w:val="24"/>
          <w:szCs w:val="24"/>
        </w:rPr>
        <w:t xml:space="preserve"> </w:t>
      </w:r>
      <w:r w:rsidR="00C60DD8">
        <w:rPr>
          <w:sz w:val="24"/>
          <w:szCs w:val="24"/>
        </w:rPr>
        <w:t>students</w:t>
      </w:r>
      <w:r>
        <w:rPr>
          <w:sz w:val="24"/>
          <w:szCs w:val="24"/>
        </w:rPr>
        <w:t xml:space="preserve"> with disability</w:t>
      </w:r>
      <w:r w:rsidR="0065693A">
        <w:rPr>
          <w:sz w:val="24"/>
          <w:szCs w:val="24"/>
        </w:rPr>
        <w:t xml:space="preserve"> are afforded genuine opportunities to </w:t>
      </w:r>
      <w:r w:rsidR="00BA146D">
        <w:rPr>
          <w:sz w:val="24"/>
          <w:szCs w:val="24"/>
        </w:rPr>
        <w:t xml:space="preserve">participate in quality </w:t>
      </w:r>
      <w:proofErr w:type="spellStart"/>
      <w:r w:rsidR="00BA146D">
        <w:rPr>
          <w:sz w:val="24"/>
          <w:szCs w:val="24"/>
        </w:rPr>
        <w:t>Sb</w:t>
      </w:r>
      <w:r w:rsidR="00C60DD8">
        <w:rPr>
          <w:sz w:val="24"/>
          <w:szCs w:val="24"/>
        </w:rPr>
        <w:t>AT</w:t>
      </w:r>
      <w:proofErr w:type="spellEnd"/>
      <w:r w:rsidR="0065693A">
        <w:rPr>
          <w:sz w:val="24"/>
          <w:szCs w:val="24"/>
        </w:rPr>
        <w:t>; including</w:t>
      </w:r>
      <w:r w:rsidR="00BA146D">
        <w:rPr>
          <w:sz w:val="24"/>
          <w:szCs w:val="24"/>
        </w:rPr>
        <w:t xml:space="preserve"> through making Head Start </w:t>
      </w:r>
      <w:r w:rsidR="00C12386">
        <w:rPr>
          <w:sz w:val="24"/>
          <w:szCs w:val="24"/>
        </w:rPr>
        <w:t xml:space="preserve">accessible </w:t>
      </w:r>
      <w:r w:rsidR="00BA146D">
        <w:rPr>
          <w:sz w:val="24"/>
          <w:szCs w:val="24"/>
        </w:rPr>
        <w:t xml:space="preserve">to students with cognitive disability, by ensuring </w:t>
      </w:r>
      <w:r w:rsidR="00C12386">
        <w:rPr>
          <w:sz w:val="24"/>
          <w:szCs w:val="24"/>
        </w:rPr>
        <w:t>supported</w:t>
      </w:r>
      <w:r w:rsidR="00BA146D">
        <w:rPr>
          <w:sz w:val="24"/>
          <w:szCs w:val="24"/>
        </w:rPr>
        <w:t xml:space="preserve"> and including</w:t>
      </w:r>
      <w:r w:rsidR="00C60DD8">
        <w:rPr>
          <w:sz w:val="24"/>
          <w:szCs w:val="24"/>
        </w:rPr>
        <w:t xml:space="preserve"> </w:t>
      </w:r>
      <w:r w:rsidR="0065693A">
        <w:rPr>
          <w:sz w:val="24"/>
          <w:szCs w:val="24"/>
        </w:rPr>
        <w:t>C</w:t>
      </w:r>
      <w:r w:rsidR="00C60DD8">
        <w:rPr>
          <w:sz w:val="24"/>
          <w:szCs w:val="24"/>
        </w:rPr>
        <w:t>ertificate II traineeships.</w:t>
      </w:r>
    </w:p>
    <w:p w14:paraId="6B4C5CBB" w14:textId="77777777" w:rsidR="00C60DD8" w:rsidRPr="001E05F7" w:rsidRDefault="00C60DD8" w:rsidP="00100676">
      <w:pPr>
        <w:pStyle w:val="Bulletlist"/>
        <w:numPr>
          <w:ilvl w:val="0"/>
          <w:numId w:val="24"/>
        </w:numPr>
        <w:spacing w:line="259" w:lineRule="auto"/>
        <w:rPr>
          <w:sz w:val="24"/>
          <w:szCs w:val="24"/>
        </w:rPr>
      </w:pPr>
      <w:r>
        <w:rPr>
          <w:sz w:val="24"/>
          <w:szCs w:val="24"/>
        </w:rPr>
        <w:t>Ensur</w:t>
      </w:r>
      <w:r w:rsidR="0065693A">
        <w:rPr>
          <w:sz w:val="24"/>
          <w:szCs w:val="24"/>
        </w:rPr>
        <w:t>es access to a</w:t>
      </w:r>
      <w:r>
        <w:rPr>
          <w:sz w:val="24"/>
          <w:szCs w:val="24"/>
        </w:rPr>
        <w:t xml:space="preserve"> </w:t>
      </w:r>
      <w:r w:rsidR="00BA146D">
        <w:rPr>
          <w:sz w:val="24"/>
          <w:szCs w:val="24"/>
        </w:rPr>
        <w:t>VET qualification or School-based Apprenticeship or T</w:t>
      </w:r>
      <w:r w:rsidRPr="0022431D">
        <w:rPr>
          <w:sz w:val="24"/>
          <w:szCs w:val="24"/>
        </w:rPr>
        <w:t>raineeship</w:t>
      </w:r>
      <w:r w:rsidR="0065693A">
        <w:rPr>
          <w:sz w:val="24"/>
          <w:szCs w:val="24"/>
        </w:rPr>
        <w:t xml:space="preserve"> with</w:t>
      </w:r>
      <w:r w:rsidRPr="0022431D">
        <w:rPr>
          <w:sz w:val="24"/>
          <w:szCs w:val="24"/>
        </w:rPr>
        <w:t xml:space="preserve"> the allocation of time spent by students at school, with a registered training organisation, or in the workplace</w:t>
      </w:r>
      <w:r w:rsidR="0065693A">
        <w:rPr>
          <w:sz w:val="24"/>
          <w:szCs w:val="24"/>
        </w:rPr>
        <w:t xml:space="preserve"> </w:t>
      </w:r>
      <w:r w:rsidRPr="0022431D">
        <w:rPr>
          <w:sz w:val="24"/>
          <w:szCs w:val="24"/>
        </w:rPr>
        <w:t>be</w:t>
      </w:r>
      <w:r w:rsidR="0065693A">
        <w:rPr>
          <w:sz w:val="24"/>
          <w:szCs w:val="24"/>
        </w:rPr>
        <w:t>ing</w:t>
      </w:r>
      <w:r w:rsidRPr="0022431D">
        <w:rPr>
          <w:sz w:val="24"/>
          <w:szCs w:val="24"/>
        </w:rPr>
        <w:t xml:space="preserve"> based upon what is in their best interests, rather than upon </w:t>
      </w:r>
      <w:r w:rsidRPr="001E05F7">
        <w:rPr>
          <w:sz w:val="24"/>
          <w:szCs w:val="24"/>
        </w:rPr>
        <w:t>funding arrangements or administrative convenience.</w:t>
      </w:r>
    </w:p>
    <w:p w14:paraId="6B8E5D27" w14:textId="77777777" w:rsidR="005C1524" w:rsidRPr="001E05F7" w:rsidRDefault="00C60DD8" w:rsidP="00100676">
      <w:pPr>
        <w:pStyle w:val="ListParagraph"/>
        <w:numPr>
          <w:ilvl w:val="0"/>
          <w:numId w:val="24"/>
        </w:numPr>
        <w:spacing w:line="259" w:lineRule="auto"/>
        <w:rPr>
          <w:rFonts w:cs="Arial"/>
          <w:color w:val="FF0000"/>
          <w:sz w:val="24"/>
          <w:szCs w:val="24"/>
        </w:rPr>
      </w:pPr>
      <w:r w:rsidRPr="001E05F7">
        <w:rPr>
          <w:sz w:val="24"/>
          <w:szCs w:val="24"/>
        </w:rPr>
        <w:t>All students</w:t>
      </w:r>
      <w:r w:rsidR="0065693A">
        <w:rPr>
          <w:sz w:val="24"/>
          <w:szCs w:val="24"/>
        </w:rPr>
        <w:t xml:space="preserve"> have </w:t>
      </w:r>
      <w:r w:rsidR="003C2AA3" w:rsidRPr="001E05F7">
        <w:rPr>
          <w:sz w:val="24"/>
          <w:szCs w:val="24"/>
        </w:rPr>
        <w:t>access</w:t>
      </w:r>
      <w:r w:rsidR="0065693A">
        <w:rPr>
          <w:sz w:val="24"/>
          <w:szCs w:val="24"/>
        </w:rPr>
        <w:t xml:space="preserve"> </w:t>
      </w:r>
      <w:r w:rsidR="003C2AA3" w:rsidRPr="001E05F7">
        <w:rPr>
          <w:sz w:val="24"/>
          <w:szCs w:val="24"/>
        </w:rPr>
        <w:t>to</w:t>
      </w:r>
      <w:r w:rsidRPr="001E05F7">
        <w:rPr>
          <w:sz w:val="24"/>
          <w:szCs w:val="24"/>
        </w:rPr>
        <w:t xml:space="preserve"> career education and work exploration activities, regardless of their chosen pathway or locality. They need to be provided with individualised, objective, unbiased and up-to-date career information</w:t>
      </w:r>
      <w:r w:rsidR="0065693A">
        <w:rPr>
          <w:sz w:val="24"/>
          <w:szCs w:val="24"/>
        </w:rPr>
        <w:t xml:space="preserve"> - d</w:t>
      </w:r>
      <w:r w:rsidR="00C12386" w:rsidRPr="001E05F7">
        <w:rPr>
          <w:sz w:val="24"/>
          <w:szCs w:val="24"/>
        </w:rPr>
        <w:t xml:space="preserve">ata is showing </w:t>
      </w:r>
      <w:r w:rsidR="003C2AA3" w:rsidRPr="001E05F7">
        <w:rPr>
          <w:sz w:val="24"/>
          <w:szCs w:val="24"/>
        </w:rPr>
        <w:t>students</w:t>
      </w:r>
      <w:r w:rsidR="00C12386" w:rsidRPr="001E05F7">
        <w:rPr>
          <w:sz w:val="24"/>
          <w:szCs w:val="24"/>
        </w:rPr>
        <w:t xml:space="preserve"> with disability are not </w:t>
      </w:r>
      <w:r w:rsidR="003C2AA3" w:rsidRPr="001E05F7">
        <w:rPr>
          <w:sz w:val="24"/>
          <w:szCs w:val="24"/>
        </w:rPr>
        <w:t>afforded th</w:t>
      </w:r>
      <w:r w:rsidR="0065693A">
        <w:rPr>
          <w:sz w:val="24"/>
          <w:szCs w:val="24"/>
        </w:rPr>
        <w:t>e</w:t>
      </w:r>
      <w:r w:rsidR="003C2AA3" w:rsidRPr="001E05F7">
        <w:rPr>
          <w:sz w:val="24"/>
          <w:szCs w:val="24"/>
        </w:rPr>
        <w:t xml:space="preserve"> same opportunities</w:t>
      </w:r>
      <w:r w:rsidR="0065693A">
        <w:rPr>
          <w:sz w:val="24"/>
          <w:szCs w:val="24"/>
        </w:rPr>
        <w:t xml:space="preserve"> as their peers.</w:t>
      </w:r>
    </w:p>
    <w:p w14:paraId="4F989EAC" w14:textId="77777777" w:rsidR="001E05F7" w:rsidRPr="001E05F7" w:rsidRDefault="001E05F7" w:rsidP="00100676">
      <w:pPr>
        <w:pStyle w:val="ListParagraph"/>
        <w:spacing w:line="259" w:lineRule="auto"/>
        <w:jc w:val="both"/>
        <w:rPr>
          <w:rFonts w:cs="Arial"/>
          <w:color w:val="FF0000"/>
          <w:sz w:val="24"/>
          <w:szCs w:val="24"/>
        </w:rPr>
      </w:pPr>
    </w:p>
    <w:p w14:paraId="2D0C0FEA" w14:textId="22A752FC" w:rsidR="00BA146D" w:rsidRPr="00BA146D" w:rsidRDefault="001E05F7" w:rsidP="00BA146D">
      <w:pPr>
        <w:pStyle w:val="ListParagraph"/>
        <w:numPr>
          <w:ilvl w:val="0"/>
          <w:numId w:val="24"/>
        </w:numPr>
        <w:spacing w:line="259" w:lineRule="auto"/>
        <w:rPr>
          <w:sz w:val="24"/>
          <w:szCs w:val="24"/>
        </w:rPr>
      </w:pPr>
      <w:r w:rsidRPr="001E05F7">
        <w:rPr>
          <w:sz w:val="24"/>
          <w:szCs w:val="24"/>
        </w:rPr>
        <w:t>Ensur</w:t>
      </w:r>
      <w:r w:rsidR="0065693A">
        <w:rPr>
          <w:sz w:val="24"/>
          <w:szCs w:val="24"/>
        </w:rPr>
        <w:t>es</w:t>
      </w:r>
      <w:r w:rsidRPr="001E05F7">
        <w:rPr>
          <w:sz w:val="24"/>
          <w:szCs w:val="24"/>
        </w:rPr>
        <w:t xml:space="preserve"> students </w:t>
      </w:r>
      <w:r w:rsidR="0065693A">
        <w:rPr>
          <w:sz w:val="24"/>
          <w:szCs w:val="24"/>
        </w:rPr>
        <w:t xml:space="preserve">with disability </w:t>
      </w:r>
      <w:r w:rsidRPr="001E05F7">
        <w:rPr>
          <w:sz w:val="24"/>
          <w:szCs w:val="24"/>
        </w:rPr>
        <w:t>have multiple opportunities to engage in workplace learning and career development while at school.</w:t>
      </w:r>
    </w:p>
    <w:p w14:paraId="42CB5F45" w14:textId="77777777" w:rsidR="001E05F7" w:rsidRDefault="001E05F7" w:rsidP="00100676">
      <w:pPr>
        <w:pStyle w:val="ListParagraph"/>
        <w:spacing w:line="259" w:lineRule="auto"/>
        <w:jc w:val="both"/>
        <w:rPr>
          <w:sz w:val="24"/>
          <w:szCs w:val="24"/>
        </w:rPr>
      </w:pPr>
    </w:p>
    <w:p w14:paraId="0F12BD0D" w14:textId="77777777" w:rsidR="003C2AA3" w:rsidRDefault="003C2AA3" w:rsidP="00100676">
      <w:pPr>
        <w:pStyle w:val="ListParagraph"/>
        <w:numPr>
          <w:ilvl w:val="0"/>
          <w:numId w:val="24"/>
        </w:numPr>
        <w:spacing w:line="259" w:lineRule="auto"/>
        <w:jc w:val="both"/>
        <w:rPr>
          <w:sz w:val="24"/>
          <w:szCs w:val="24"/>
        </w:rPr>
      </w:pPr>
      <w:r w:rsidRPr="001E05F7">
        <w:rPr>
          <w:sz w:val="24"/>
          <w:szCs w:val="24"/>
        </w:rPr>
        <w:t>All senior secondary students with disability should have access to work exploration in school and, in collaboration with disability support groups, have an individual post-school transition plan put in place prior to leaving school.</w:t>
      </w:r>
    </w:p>
    <w:p w14:paraId="5CEB4D2D" w14:textId="0827435A" w:rsidR="008B5C95" w:rsidRPr="006A1777" w:rsidRDefault="0065693A" w:rsidP="00100676">
      <w:pPr>
        <w:pStyle w:val="Bulletlist"/>
        <w:numPr>
          <w:ilvl w:val="0"/>
          <w:numId w:val="24"/>
        </w:numPr>
        <w:spacing w:line="259" w:lineRule="auto"/>
        <w:rPr>
          <w:sz w:val="24"/>
          <w:szCs w:val="24"/>
        </w:rPr>
      </w:pPr>
      <w:r>
        <w:rPr>
          <w:sz w:val="24"/>
          <w:szCs w:val="24"/>
        </w:rPr>
        <w:t>Recognises in policy and practice that e</w:t>
      </w:r>
      <w:r w:rsidR="008B5C95" w:rsidRPr="008B5C95">
        <w:rPr>
          <w:sz w:val="24"/>
          <w:szCs w:val="24"/>
        </w:rPr>
        <w:t xml:space="preserve">ducation </w:t>
      </w:r>
      <w:r>
        <w:rPr>
          <w:sz w:val="24"/>
          <w:szCs w:val="24"/>
        </w:rPr>
        <w:t>i</w:t>
      </w:r>
      <w:r w:rsidR="008B5C95" w:rsidRPr="008B5C95">
        <w:rPr>
          <w:sz w:val="24"/>
          <w:szCs w:val="24"/>
        </w:rPr>
        <w:t xml:space="preserve">s a key to offering economic opportunity and social mobility to </w:t>
      </w:r>
      <w:r w:rsidR="008B5C95" w:rsidRPr="00241ADA">
        <w:rPr>
          <w:i/>
          <w:iCs/>
          <w:sz w:val="24"/>
          <w:szCs w:val="24"/>
        </w:rPr>
        <w:t>all</w:t>
      </w:r>
      <w:r w:rsidR="008B5C95" w:rsidRPr="008B5C95">
        <w:rPr>
          <w:sz w:val="24"/>
          <w:szCs w:val="24"/>
        </w:rPr>
        <w:t xml:space="preserve"> young </w:t>
      </w:r>
      <w:r w:rsidR="008B5C95" w:rsidRPr="006A1777">
        <w:rPr>
          <w:sz w:val="24"/>
          <w:szCs w:val="24"/>
        </w:rPr>
        <w:t>Australians, no matter what their background or circumstances. Students should have equitable access to high-</w:t>
      </w:r>
      <w:r w:rsidR="008B5C95" w:rsidRPr="006A1777">
        <w:rPr>
          <w:sz w:val="24"/>
          <w:szCs w:val="24"/>
        </w:rPr>
        <w:lastRenderedPageBreak/>
        <w:t>quality schooling that offers them the best prospect for leading successful lives.</w:t>
      </w:r>
    </w:p>
    <w:p w14:paraId="78AE37DE" w14:textId="654F7C58" w:rsidR="00032619" w:rsidRPr="0099246F" w:rsidRDefault="00AC7E64" w:rsidP="00E053B4">
      <w:pPr>
        <w:pStyle w:val="Bulletlist"/>
        <w:numPr>
          <w:ilvl w:val="0"/>
          <w:numId w:val="24"/>
        </w:numPr>
        <w:spacing w:line="259" w:lineRule="auto"/>
        <w:rPr>
          <w:sz w:val="24"/>
          <w:szCs w:val="24"/>
        </w:rPr>
      </w:pPr>
      <w:r w:rsidRPr="00BA146D">
        <w:rPr>
          <w:sz w:val="24"/>
          <w:szCs w:val="24"/>
        </w:rPr>
        <w:t xml:space="preserve">Establish a </w:t>
      </w:r>
      <w:r w:rsidR="00032619" w:rsidRPr="00BA146D">
        <w:rPr>
          <w:sz w:val="24"/>
          <w:szCs w:val="24"/>
        </w:rPr>
        <w:t xml:space="preserve">Technical Assistance Hub, </w:t>
      </w:r>
      <w:r w:rsidRPr="00BA146D">
        <w:rPr>
          <w:sz w:val="24"/>
          <w:szCs w:val="24"/>
        </w:rPr>
        <w:t>preferably</w:t>
      </w:r>
      <w:r w:rsidR="00032619" w:rsidRPr="00BA146D">
        <w:rPr>
          <w:sz w:val="24"/>
          <w:szCs w:val="24"/>
        </w:rPr>
        <w:t xml:space="preserve"> in collaboration </w:t>
      </w:r>
      <w:r w:rsidR="006A1777" w:rsidRPr="00BA146D">
        <w:rPr>
          <w:sz w:val="24"/>
          <w:szCs w:val="24"/>
        </w:rPr>
        <w:t xml:space="preserve">with </w:t>
      </w:r>
      <w:r w:rsidR="00032619" w:rsidRPr="00BA146D">
        <w:rPr>
          <w:sz w:val="24"/>
          <w:szCs w:val="24"/>
        </w:rPr>
        <w:t>the F</w:t>
      </w:r>
      <w:r w:rsidR="006A1777" w:rsidRPr="00BA146D">
        <w:rPr>
          <w:sz w:val="24"/>
          <w:szCs w:val="24"/>
        </w:rPr>
        <w:t xml:space="preserve">ederal </w:t>
      </w:r>
      <w:r w:rsidR="00032619" w:rsidRPr="00BA146D">
        <w:rPr>
          <w:sz w:val="24"/>
          <w:szCs w:val="24"/>
        </w:rPr>
        <w:t>G</w:t>
      </w:r>
      <w:r w:rsidR="006A1777" w:rsidRPr="00BA146D">
        <w:rPr>
          <w:sz w:val="24"/>
          <w:szCs w:val="24"/>
        </w:rPr>
        <w:t>overnment</w:t>
      </w:r>
      <w:r w:rsidR="00032619" w:rsidRPr="00BA146D">
        <w:rPr>
          <w:sz w:val="24"/>
          <w:szCs w:val="24"/>
        </w:rPr>
        <w:t>,</w:t>
      </w:r>
      <w:r w:rsidR="006A1777" w:rsidRPr="00BA146D">
        <w:rPr>
          <w:sz w:val="24"/>
          <w:szCs w:val="24"/>
        </w:rPr>
        <w:t xml:space="preserve"> as proposed in the </w:t>
      </w:r>
      <w:proofErr w:type="spellStart"/>
      <w:r w:rsidR="006A1777" w:rsidRPr="00BA146D">
        <w:rPr>
          <w:sz w:val="24"/>
          <w:szCs w:val="24"/>
        </w:rPr>
        <w:t>Shergold</w:t>
      </w:r>
      <w:proofErr w:type="spellEnd"/>
      <w:r w:rsidR="006A1777" w:rsidRPr="00BA146D">
        <w:rPr>
          <w:sz w:val="24"/>
          <w:szCs w:val="24"/>
        </w:rPr>
        <w:t xml:space="preserve"> review. </w:t>
      </w:r>
      <w:r w:rsidR="00032619" w:rsidRPr="00BA146D">
        <w:rPr>
          <w:sz w:val="24"/>
          <w:szCs w:val="24"/>
        </w:rPr>
        <w:t xml:space="preserve">The </w:t>
      </w:r>
      <w:r w:rsidR="006A1777" w:rsidRPr="00BA146D">
        <w:rPr>
          <w:sz w:val="24"/>
          <w:szCs w:val="24"/>
        </w:rPr>
        <w:t xml:space="preserve">Technical Assistance Hub </w:t>
      </w:r>
      <w:r w:rsidR="00BA146D" w:rsidRPr="00BA146D">
        <w:rPr>
          <w:sz w:val="24"/>
          <w:szCs w:val="24"/>
        </w:rPr>
        <w:t>provides a vehicle for ongoing collaboration and sharing of good practice</w:t>
      </w:r>
      <w:r w:rsidR="00BA146D">
        <w:rPr>
          <w:sz w:val="24"/>
          <w:szCs w:val="24"/>
        </w:rPr>
        <w:t>, it</w:t>
      </w:r>
      <w:r w:rsidR="00BA146D" w:rsidRPr="00BA146D">
        <w:rPr>
          <w:sz w:val="24"/>
          <w:szCs w:val="24"/>
        </w:rPr>
        <w:t xml:space="preserve"> </w:t>
      </w:r>
      <w:r w:rsidR="006A1777" w:rsidRPr="00BA146D">
        <w:rPr>
          <w:sz w:val="24"/>
          <w:szCs w:val="24"/>
        </w:rPr>
        <w:t>blends research and evidence with the development of practical resources to assist state education agencies and service providers to ensure disadvantaged</w:t>
      </w:r>
      <w:r w:rsidR="00032619" w:rsidRPr="00BA146D">
        <w:rPr>
          <w:sz w:val="24"/>
          <w:szCs w:val="24"/>
        </w:rPr>
        <w:t xml:space="preserve"> students</w:t>
      </w:r>
      <w:r w:rsidR="006A1777" w:rsidRPr="00BA146D">
        <w:rPr>
          <w:sz w:val="24"/>
          <w:szCs w:val="24"/>
        </w:rPr>
        <w:t>, including those with disabilities, make successful post-school transitions</w:t>
      </w:r>
      <w:r w:rsidR="006A1777" w:rsidRPr="006A1777">
        <w:rPr>
          <w:sz w:val="24"/>
          <w:szCs w:val="24"/>
        </w:rPr>
        <w:t>.</w:t>
      </w:r>
    </w:p>
    <w:p w14:paraId="4EA22A1F" w14:textId="77777777" w:rsidR="008B5C95" w:rsidRPr="0022431D" w:rsidRDefault="008B5C95" w:rsidP="00100676">
      <w:pPr>
        <w:pStyle w:val="Bulletlist"/>
        <w:numPr>
          <w:ilvl w:val="0"/>
          <w:numId w:val="0"/>
        </w:numPr>
        <w:spacing w:line="259" w:lineRule="auto"/>
        <w:ind w:left="360"/>
        <w:rPr>
          <w:sz w:val="24"/>
          <w:szCs w:val="24"/>
        </w:rPr>
      </w:pPr>
      <w:r>
        <w:rPr>
          <w:sz w:val="24"/>
          <w:szCs w:val="24"/>
        </w:rPr>
        <w:t xml:space="preserve">The </w:t>
      </w:r>
      <w:r w:rsidR="0065693A">
        <w:rPr>
          <w:sz w:val="24"/>
          <w:szCs w:val="24"/>
        </w:rPr>
        <w:t>F</w:t>
      </w:r>
      <w:r>
        <w:rPr>
          <w:sz w:val="24"/>
          <w:szCs w:val="24"/>
        </w:rPr>
        <w:t xml:space="preserve">irth </w:t>
      </w:r>
      <w:r w:rsidR="0065693A">
        <w:rPr>
          <w:sz w:val="24"/>
          <w:szCs w:val="24"/>
        </w:rPr>
        <w:t>R</w:t>
      </w:r>
      <w:r>
        <w:rPr>
          <w:sz w:val="24"/>
          <w:szCs w:val="24"/>
        </w:rPr>
        <w:t xml:space="preserve">eview states </w:t>
      </w:r>
      <w:r w:rsidR="00032619">
        <w:rPr>
          <w:sz w:val="24"/>
          <w:szCs w:val="24"/>
        </w:rPr>
        <w:t>that i</w:t>
      </w:r>
      <w:r w:rsidR="00AC7E64">
        <w:rPr>
          <w:sz w:val="24"/>
          <w:szCs w:val="24"/>
        </w:rPr>
        <w:t>t is essential that</w:t>
      </w:r>
      <w:r w:rsidR="00032619">
        <w:rPr>
          <w:sz w:val="24"/>
          <w:szCs w:val="24"/>
        </w:rPr>
        <w:t xml:space="preserve"> all s</w:t>
      </w:r>
      <w:r w:rsidRPr="0022431D">
        <w:rPr>
          <w:sz w:val="24"/>
          <w:szCs w:val="24"/>
        </w:rPr>
        <w:t>tudent</w:t>
      </w:r>
      <w:r w:rsidR="00032619">
        <w:rPr>
          <w:sz w:val="24"/>
          <w:szCs w:val="24"/>
        </w:rPr>
        <w:t>s</w:t>
      </w:r>
      <w:r w:rsidRPr="0022431D">
        <w:rPr>
          <w:sz w:val="24"/>
          <w:szCs w:val="24"/>
        </w:rPr>
        <w:t xml:space="preserve"> have access to quality senior school program that gives them the best </w:t>
      </w:r>
      <w:r w:rsidRPr="006C2835">
        <w:rPr>
          <w:sz w:val="24"/>
          <w:szCs w:val="24"/>
        </w:rPr>
        <w:t xml:space="preserve">life chances. </w:t>
      </w:r>
      <w:r w:rsidR="006A1777" w:rsidRPr="006C2835">
        <w:rPr>
          <w:sz w:val="24"/>
          <w:szCs w:val="24"/>
        </w:rPr>
        <w:t xml:space="preserve">We must ensure </w:t>
      </w:r>
      <w:r w:rsidR="006A1777" w:rsidRPr="006C2835">
        <w:rPr>
          <w:b/>
          <w:bCs/>
          <w:sz w:val="24"/>
          <w:szCs w:val="24"/>
        </w:rPr>
        <w:t>all means all</w:t>
      </w:r>
      <w:r w:rsidR="006A1777" w:rsidRPr="006C2835">
        <w:rPr>
          <w:sz w:val="24"/>
          <w:szCs w:val="24"/>
        </w:rPr>
        <w:t xml:space="preserve">. </w:t>
      </w:r>
      <w:r w:rsidR="00032619" w:rsidRPr="006C2835">
        <w:rPr>
          <w:sz w:val="24"/>
          <w:szCs w:val="24"/>
        </w:rPr>
        <w:t>Students with disability deserve no less.</w:t>
      </w:r>
    </w:p>
    <w:p w14:paraId="3E36C572" w14:textId="77777777" w:rsidR="001E05F7" w:rsidRPr="006C2835" w:rsidRDefault="001E05F7" w:rsidP="00100676">
      <w:pPr>
        <w:spacing w:line="259" w:lineRule="auto"/>
        <w:jc w:val="both"/>
        <w:rPr>
          <w:bCs/>
          <w:sz w:val="32"/>
          <w:szCs w:val="32"/>
        </w:rPr>
      </w:pPr>
    </w:p>
    <w:p w14:paraId="6CB2FAB9" w14:textId="77777777" w:rsidR="0022431D" w:rsidRPr="00544B1C" w:rsidRDefault="00B567DB" w:rsidP="00100676">
      <w:pPr>
        <w:pStyle w:val="Bulletlist"/>
        <w:numPr>
          <w:ilvl w:val="0"/>
          <w:numId w:val="0"/>
        </w:numPr>
        <w:spacing w:line="259" w:lineRule="auto"/>
        <w:rPr>
          <w:bCs/>
          <w:sz w:val="32"/>
          <w:szCs w:val="32"/>
        </w:rPr>
      </w:pPr>
      <w:r w:rsidRPr="00544B1C">
        <w:rPr>
          <w:bCs/>
          <w:sz w:val="36"/>
          <w:szCs w:val="36"/>
        </w:rPr>
        <w:t xml:space="preserve">Appendix </w:t>
      </w:r>
    </w:p>
    <w:p w14:paraId="29496C9E" w14:textId="77777777" w:rsidR="00892772" w:rsidRPr="006C2835" w:rsidRDefault="00892772" w:rsidP="00100676">
      <w:pPr>
        <w:pStyle w:val="Bulletlist"/>
        <w:numPr>
          <w:ilvl w:val="0"/>
          <w:numId w:val="0"/>
        </w:numPr>
        <w:spacing w:line="259" w:lineRule="auto"/>
        <w:rPr>
          <w:bCs/>
          <w:sz w:val="28"/>
          <w:szCs w:val="28"/>
        </w:rPr>
      </w:pPr>
      <w:r w:rsidRPr="006C2835">
        <w:rPr>
          <w:bCs/>
          <w:sz w:val="28"/>
          <w:szCs w:val="28"/>
        </w:rPr>
        <w:t xml:space="preserve">Ticket to Work evaluations </w:t>
      </w:r>
    </w:p>
    <w:p w14:paraId="00D8A1F9" w14:textId="35621758" w:rsidR="00892772" w:rsidRPr="0022431D" w:rsidRDefault="00892772" w:rsidP="00100676">
      <w:pPr>
        <w:pStyle w:val="Bulletlist"/>
        <w:numPr>
          <w:ilvl w:val="0"/>
          <w:numId w:val="0"/>
        </w:numPr>
        <w:spacing w:line="259" w:lineRule="auto"/>
        <w:rPr>
          <w:sz w:val="24"/>
          <w:szCs w:val="24"/>
          <w:highlight w:val="yellow"/>
        </w:rPr>
      </w:pPr>
      <w:r w:rsidRPr="0022431D">
        <w:rPr>
          <w:sz w:val="24"/>
          <w:szCs w:val="24"/>
        </w:rPr>
        <w:t xml:space="preserve">Ticket to Work in its aim to improve pathways and opportunities has completed </w:t>
      </w:r>
      <w:proofErr w:type="gramStart"/>
      <w:r w:rsidRPr="0022431D">
        <w:rPr>
          <w:sz w:val="24"/>
          <w:szCs w:val="24"/>
        </w:rPr>
        <w:t>a number of</w:t>
      </w:r>
      <w:proofErr w:type="gramEnd"/>
      <w:r w:rsidRPr="0022431D">
        <w:rPr>
          <w:sz w:val="24"/>
          <w:szCs w:val="24"/>
        </w:rPr>
        <w:t xml:space="preserve"> investigation</w:t>
      </w:r>
      <w:r w:rsidR="0099246F">
        <w:rPr>
          <w:sz w:val="24"/>
          <w:szCs w:val="24"/>
        </w:rPr>
        <w:t>s</w:t>
      </w:r>
      <w:r w:rsidRPr="0022431D">
        <w:rPr>
          <w:sz w:val="24"/>
          <w:szCs w:val="24"/>
        </w:rPr>
        <w:t xml:space="preserve"> and evaluation</w:t>
      </w:r>
      <w:r w:rsidR="0099246F">
        <w:rPr>
          <w:sz w:val="24"/>
          <w:szCs w:val="24"/>
        </w:rPr>
        <w:t>s</w:t>
      </w:r>
      <w:r w:rsidRPr="0022431D">
        <w:rPr>
          <w:sz w:val="24"/>
          <w:szCs w:val="24"/>
        </w:rPr>
        <w:t xml:space="preserve"> into the elements of model. These can be accessed at tickettowork.org.au/research/. These include:</w:t>
      </w:r>
    </w:p>
    <w:p w14:paraId="11CA8641" w14:textId="77777777" w:rsidR="00892772" w:rsidRPr="0022431D" w:rsidRDefault="00892772" w:rsidP="00100676">
      <w:pPr>
        <w:pStyle w:val="ListParagraph"/>
        <w:spacing w:after="120" w:line="259" w:lineRule="auto"/>
        <w:ind w:left="0"/>
        <w:rPr>
          <w:rFonts w:cs="Arial"/>
          <w:sz w:val="24"/>
          <w:szCs w:val="24"/>
        </w:rPr>
      </w:pPr>
      <w:r w:rsidRPr="0022431D">
        <w:rPr>
          <w:rFonts w:cs="Arial"/>
          <w:b/>
          <w:sz w:val="24"/>
          <w:szCs w:val="24"/>
        </w:rPr>
        <w:t xml:space="preserve">Title: Ticket to Work Valuation of key outcomes </w:t>
      </w:r>
      <w:r w:rsidRPr="0022431D">
        <w:rPr>
          <w:rFonts w:cs="Arial"/>
          <w:sz w:val="24"/>
          <w:szCs w:val="24"/>
        </w:rPr>
        <w:t xml:space="preserve">(2020) by Social Venture Australia (SVA) </w:t>
      </w:r>
    </w:p>
    <w:p w14:paraId="43E20ED2" w14:textId="569182AE" w:rsidR="004B00FD" w:rsidRDefault="00892772" w:rsidP="0099246F">
      <w:pPr>
        <w:pStyle w:val="ListParagraph"/>
        <w:spacing w:after="120" w:line="259" w:lineRule="auto"/>
        <w:ind w:left="0"/>
        <w:rPr>
          <w:rFonts w:cs="Arial"/>
          <w:sz w:val="24"/>
          <w:szCs w:val="24"/>
        </w:rPr>
      </w:pPr>
      <w:r w:rsidRPr="0022431D">
        <w:rPr>
          <w:rFonts w:cs="Arial"/>
          <w:sz w:val="24"/>
          <w:szCs w:val="24"/>
        </w:rPr>
        <w:t xml:space="preserve">Focus: SVA took a conservative approach to evaluating the post school outcomes of Ticket to Work over a </w:t>
      </w:r>
      <w:proofErr w:type="gramStart"/>
      <w:r w:rsidRPr="0022431D">
        <w:rPr>
          <w:rFonts w:cs="Arial"/>
          <w:sz w:val="24"/>
          <w:szCs w:val="24"/>
        </w:rPr>
        <w:t>3 year</w:t>
      </w:r>
      <w:proofErr w:type="gramEnd"/>
      <w:r w:rsidRPr="0022431D">
        <w:rPr>
          <w:rFonts w:cs="Arial"/>
          <w:sz w:val="24"/>
          <w:szCs w:val="24"/>
        </w:rPr>
        <w:t xml:space="preserve"> period. They found </w:t>
      </w:r>
      <w:r w:rsidR="0099246F">
        <w:rPr>
          <w:rFonts w:cs="Arial"/>
          <w:sz w:val="24"/>
          <w:szCs w:val="24"/>
        </w:rPr>
        <w:t xml:space="preserve">that </w:t>
      </w:r>
      <w:r w:rsidRPr="0022431D">
        <w:rPr>
          <w:rFonts w:cs="Arial"/>
          <w:sz w:val="24"/>
          <w:szCs w:val="24"/>
        </w:rPr>
        <w:t>the Ticket to Work model has the ability to significantly reduce government expenditure while increasing the number of young people with disability to gain meaningful employment and experience improved social outcomes.</w:t>
      </w:r>
    </w:p>
    <w:p w14:paraId="122475C4" w14:textId="77777777" w:rsidR="0099246F" w:rsidRPr="0022431D" w:rsidRDefault="0099246F" w:rsidP="00100676">
      <w:pPr>
        <w:pStyle w:val="ListParagraph"/>
        <w:spacing w:after="120" w:line="259" w:lineRule="auto"/>
        <w:ind w:left="0"/>
        <w:rPr>
          <w:rFonts w:cs="Arial"/>
          <w:color w:val="000000"/>
          <w:sz w:val="24"/>
          <w:szCs w:val="24"/>
          <w:shd w:val="clear" w:color="auto" w:fill="FFFFFF"/>
        </w:rPr>
      </w:pPr>
    </w:p>
    <w:p w14:paraId="566ACA5A" w14:textId="274F2853" w:rsidR="0099246F" w:rsidRPr="0099246F" w:rsidRDefault="007D5477" w:rsidP="00E053B4">
      <w:pPr>
        <w:pStyle w:val="ListParagraph"/>
        <w:spacing w:after="120" w:line="259" w:lineRule="auto"/>
        <w:ind w:left="0"/>
        <w:rPr>
          <w:rFonts w:cs="Arial"/>
          <w:sz w:val="24"/>
          <w:szCs w:val="24"/>
        </w:rPr>
      </w:pPr>
      <w:hyperlink r:id="rId19" w:history="1">
        <w:r w:rsidR="00892772" w:rsidRPr="0099246F">
          <w:rPr>
            <w:rStyle w:val="Hyperlink"/>
            <w:rFonts w:cs="Arial"/>
            <w:sz w:val="24"/>
            <w:szCs w:val="24"/>
          </w:rPr>
          <w:t>The report</w:t>
        </w:r>
      </w:hyperlink>
      <w:r w:rsidR="00892772" w:rsidRPr="0099246F">
        <w:rPr>
          <w:rFonts w:cs="Arial"/>
          <w:sz w:val="24"/>
          <w:szCs w:val="24"/>
        </w:rPr>
        <w:t xml:space="preserve">  </w:t>
      </w:r>
    </w:p>
    <w:p w14:paraId="48BCF2D0" w14:textId="77777777" w:rsidR="00892772" w:rsidRPr="00E053B4" w:rsidRDefault="007D5477" w:rsidP="00E053B4">
      <w:pPr>
        <w:spacing w:line="259" w:lineRule="auto"/>
        <w:rPr>
          <w:rFonts w:cs="Arial"/>
          <w:b/>
          <w:sz w:val="24"/>
          <w:szCs w:val="24"/>
        </w:rPr>
      </w:pPr>
      <w:hyperlink r:id="rId20" w:history="1">
        <w:r w:rsidR="00892772" w:rsidRPr="0099246F">
          <w:rPr>
            <w:rStyle w:val="Hyperlink"/>
            <w:rFonts w:cs="Arial"/>
            <w:sz w:val="24"/>
            <w:szCs w:val="24"/>
          </w:rPr>
          <w:t>Infographic summary of report</w:t>
        </w:r>
      </w:hyperlink>
      <w:r w:rsidR="00892772" w:rsidRPr="0099246F">
        <w:rPr>
          <w:rFonts w:cs="Arial"/>
          <w:sz w:val="24"/>
          <w:szCs w:val="24"/>
        </w:rPr>
        <w:t xml:space="preserve"> </w:t>
      </w:r>
    </w:p>
    <w:p w14:paraId="114F5358" w14:textId="22CACD33" w:rsidR="0099246F" w:rsidRPr="00E053B4" w:rsidRDefault="00892772">
      <w:pPr>
        <w:spacing w:line="259" w:lineRule="auto"/>
        <w:rPr>
          <w:rFonts w:cs="Arial"/>
          <w:b/>
          <w:sz w:val="24"/>
          <w:szCs w:val="24"/>
        </w:rPr>
      </w:pPr>
      <w:r w:rsidRPr="0022431D">
        <w:rPr>
          <w:rFonts w:cs="Arial"/>
          <w:b/>
          <w:sz w:val="24"/>
          <w:szCs w:val="24"/>
        </w:rPr>
        <w:t>Title Beneficial for al</w:t>
      </w:r>
      <w:r w:rsidR="00BA146D">
        <w:rPr>
          <w:rFonts w:cs="Arial"/>
          <w:b/>
          <w:sz w:val="24"/>
          <w:szCs w:val="24"/>
        </w:rPr>
        <w:t>l: The After School Job</w:t>
      </w:r>
      <w:r w:rsidRPr="00E053B4">
        <w:rPr>
          <w:rFonts w:cs="Arial"/>
          <w:b/>
          <w:sz w:val="24"/>
          <w:szCs w:val="24"/>
        </w:rPr>
        <w:t xml:space="preserve"> (2021) by Dr William Crisp</w:t>
      </w:r>
    </w:p>
    <w:p w14:paraId="02798D24" w14:textId="246A2B25" w:rsidR="0099246F" w:rsidRDefault="00BA146D">
      <w:pPr>
        <w:spacing w:line="259" w:lineRule="auto"/>
      </w:pPr>
      <w:r w:rsidRPr="00E053B4">
        <w:rPr>
          <w:rFonts w:cs="Arial"/>
          <w:bCs/>
          <w:sz w:val="24"/>
          <w:szCs w:val="24"/>
        </w:rPr>
        <w:t xml:space="preserve">Focus: </w:t>
      </w:r>
      <w:r w:rsidR="00892772" w:rsidRPr="00E053B4">
        <w:rPr>
          <w:rFonts w:cs="Arial"/>
          <w:bCs/>
          <w:sz w:val="24"/>
          <w:szCs w:val="24"/>
        </w:rPr>
        <w:t xml:space="preserve">This report explores a </w:t>
      </w:r>
      <w:proofErr w:type="gramStart"/>
      <w:r w:rsidR="00892772" w:rsidRPr="00E053B4">
        <w:rPr>
          <w:rFonts w:cs="Arial"/>
          <w:bCs/>
          <w:sz w:val="24"/>
          <w:szCs w:val="24"/>
        </w:rPr>
        <w:t>three year</w:t>
      </w:r>
      <w:proofErr w:type="gramEnd"/>
      <w:r w:rsidR="00892772" w:rsidRPr="00E053B4">
        <w:rPr>
          <w:rFonts w:cs="Arial"/>
          <w:bCs/>
          <w:sz w:val="24"/>
          <w:szCs w:val="24"/>
        </w:rPr>
        <w:t xml:space="preserve"> project </w:t>
      </w:r>
      <w:r w:rsidR="0099246F" w:rsidRPr="00E053B4">
        <w:rPr>
          <w:rFonts w:cs="Arial"/>
          <w:bCs/>
          <w:sz w:val="24"/>
          <w:szCs w:val="24"/>
        </w:rPr>
        <w:t>that</w:t>
      </w:r>
      <w:r w:rsidR="00892772" w:rsidRPr="00E053B4">
        <w:rPr>
          <w:rFonts w:cs="Arial"/>
          <w:bCs/>
          <w:sz w:val="24"/>
          <w:szCs w:val="24"/>
        </w:rPr>
        <w:t xml:space="preserve"> aim</w:t>
      </w:r>
      <w:r w:rsidR="0099246F" w:rsidRPr="00E053B4">
        <w:rPr>
          <w:rFonts w:cs="Arial"/>
          <w:bCs/>
          <w:sz w:val="24"/>
          <w:szCs w:val="24"/>
        </w:rPr>
        <w:t>ed</w:t>
      </w:r>
      <w:r w:rsidR="00892772" w:rsidRPr="00E053B4">
        <w:rPr>
          <w:rFonts w:cs="Arial"/>
          <w:bCs/>
          <w:sz w:val="24"/>
          <w:szCs w:val="24"/>
        </w:rPr>
        <w:t xml:space="preserve"> </w:t>
      </w:r>
      <w:r w:rsidR="0099246F" w:rsidRPr="00E053B4">
        <w:rPr>
          <w:rFonts w:cs="Arial"/>
          <w:bCs/>
          <w:sz w:val="24"/>
          <w:szCs w:val="24"/>
        </w:rPr>
        <w:t>to</w:t>
      </w:r>
      <w:r w:rsidR="00892772" w:rsidRPr="00E053B4">
        <w:rPr>
          <w:rFonts w:cs="Arial"/>
          <w:bCs/>
          <w:sz w:val="24"/>
          <w:szCs w:val="24"/>
        </w:rPr>
        <w:t xml:space="preserve"> creat</w:t>
      </w:r>
      <w:r w:rsidR="0099246F" w:rsidRPr="00E053B4">
        <w:rPr>
          <w:rFonts w:cs="Arial"/>
          <w:bCs/>
          <w:sz w:val="24"/>
          <w:szCs w:val="24"/>
        </w:rPr>
        <w:t>e</w:t>
      </w:r>
      <w:r w:rsidR="00892772" w:rsidRPr="00E053B4">
        <w:rPr>
          <w:rFonts w:cs="Arial"/>
          <w:bCs/>
          <w:sz w:val="24"/>
          <w:szCs w:val="24"/>
        </w:rPr>
        <w:t xml:space="preserve"> opportunities for</w:t>
      </w:r>
      <w:r w:rsidR="00892772" w:rsidRPr="0022431D">
        <w:rPr>
          <w:rFonts w:cs="Arial"/>
          <w:sz w:val="24"/>
          <w:szCs w:val="24"/>
        </w:rPr>
        <w:t xml:space="preserve"> secondary school students with a disability to participate in after school jobs. </w:t>
      </w:r>
      <w:r w:rsidR="0099246F">
        <w:rPr>
          <w:rFonts w:cs="Arial"/>
          <w:sz w:val="24"/>
          <w:szCs w:val="24"/>
        </w:rPr>
        <w:t>T</w:t>
      </w:r>
      <w:r w:rsidR="00892772" w:rsidRPr="0022431D">
        <w:rPr>
          <w:rFonts w:cs="Arial"/>
          <w:sz w:val="24"/>
          <w:szCs w:val="24"/>
        </w:rPr>
        <w:t xml:space="preserve">he evaluation provides an overview of the broad policy context, details the Ticket to Work model, the rationale for the project, and lists the project outcomes. </w:t>
      </w:r>
    </w:p>
    <w:p w14:paraId="44CD01CB" w14:textId="77777777" w:rsidR="0099246F" w:rsidRDefault="0099246F" w:rsidP="00E053B4">
      <w:pPr>
        <w:spacing w:after="0" w:line="240" w:lineRule="auto"/>
        <w:rPr>
          <w:rFonts w:cs="Arial"/>
          <w:sz w:val="24"/>
          <w:szCs w:val="24"/>
        </w:rPr>
      </w:pPr>
    </w:p>
    <w:p w14:paraId="34DC72A4" w14:textId="66239F54" w:rsidR="00100676" w:rsidRDefault="007D5477" w:rsidP="0099246F">
      <w:pPr>
        <w:spacing w:after="0" w:line="259" w:lineRule="auto"/>
        <w:rPr>
          <w:rFonts w:cs="Arial"/>
          <w:sz w:val="24"/>
          <w:szCs w:val="24"/>
        </w:rPr>
      </w:pPr>
      <w:hyperlink r:id="rId21" w:history="1">
        <w:r w:rsidR="00100676" w:rsidRPr="00100676">
          <w:rPr>
            <w:rStyle w:val="Hyperlink"/>
            <w:rFonts w:cs="Arial"/>
            <w:sz w:val="24"/>
            <w:szCs w:val="24"/>
          </w:rPr>
          <w:t>The report</w:t>
        </w:r>
      </w:hyperlink>
      <w:r w:rsidR="00100676">
        <w:rPr>
          <w:rFonts w:cs="Arial"/>
          <w:sz w:val="24"/>
          <w:szCs w:val="24"/>
        </w:rPr>
        <w:t xml:space="preserve"> </w:t>
      </w:r>
    </w:p>
    <w:p w14:paraId="7FA43E71" w14:textId="77777777" w:rsidR="0099246F" w:rsidRPr="0022431D" w:rsidRDefault="0099246F" w:rsidP="00E053B4">
      <w:pPr>
        <w:spacing w:after="0" w:line="259" w:lineRule="auto"/>
        <w:rPr>
          <w:rFonts w:cs="Arial"/>
          <w:sz w:val="24"/>
          <w:szCs w:val="24"/>
        </w:rPr>
      </w:pPr>
    </w:p>
    <w:p w14:paraId="0826BDCC" w14:textId="77777777" w:rsidR="00892772" w:rsidRPr="00E053B4" w:rsidRDefault="00892772" w:rsidP="00E053B4">
      <w:pPr>
        <w:spacing w:line="259" w:lineRule="auto"/>
        <w:rPr>
          <w:b/>
          <w:sz w:val="24"/>
          <w:szCs w:val="24"/>
        </w:rPr>
      </w:pPr>
      <w:r w:rsidRPr="0099246F">
        <w:rPr>
          <w:rFonts w:cs="Arial"/>
          <w:b/>
          <w:sz w:val="24"/>
          <w:szCs w:val="24"/>
        </w:rPr>
        <w:t>Title: Employer Experience of employing young people with Intellectual/Cognitive disability</w:t>
      </w:r>
      <w:r w:rsidRPr="00E053B4">
        <w:rPr>
          <w:rFonts w:cs="Arial"/>
          <w:b/>
          <w:sz w:val="24"/>
          <w:szCs w:val="24"/>
        </w:rPr>
        <w:t xml:space="preserve"> (2020) by Peter Kellock</w:t>
      </w:r>
    </w:p>
    <w:p w14:paraId="514BE1C6" w14:textId="77777777" w:rsidR="00892772" w:rsidRPr="0022431D" w:rsidRDefault="00892772" w:rsidP="00E053B4">
      <w:pPr>
        <w:spacing w:line="259" w:lineRule="auto"/>
        <w:rPr>
          <w:sz w:val="24"/>
          <w:szCs w:val="24"/>
        </w:rPr>
      </w:pPr>
      <w:r w:rsidRPr="00E053B4">
        <w:rPr>
          <w:rFonts w:cs="Arial"/>
          <w:bCs/>
          <w:sz w:val="24"/>
          <w:szCs w:val="24"/>
        </w:rPr>
        <w:lastRenderedPageBreak/>
        <w:t>Focus: This paper reports on the experience of employers who offer work</w:t>
      </w:r>
      <w:r w:rsidRPr="00E053B4">
        <w:rPr>
          <w:bCs/>
          <w:sz w:val="24"/>
          <w:szCs w:val="24"/>
        </w:rPr>
        <w:t xml:space="preserve"> </w:t>
      </w:r>
      <w:r w:rsidRPr="0022431D">
        <w:rPr>
          <w:sz w:val="24"/>
          <w:szCs w:val="24"/>
        </w:rPr>
        <w:t>opportunities to young people with intellectual disabilities. The paper considers aspects of the employer experience and how best to meet the needs of employers in order to increase the number of job opportunities available for young people with intellectual disabilities.</w:t>
      </w:r>
    </w:p>
    <w:p w14:paraId="741DC1BA" w14:textId="1805E02B" w:rsidR="0099246F" w:rsidRPr="0022431D" w:rsidRDefault="007D5477" w:rsidP="00100676">
      <w:pPr>
        <w:spacing w:line="259" w:lineRule="auto"/>
        <w:rPr>
          <w:rFonts w:cs="Arial"/>
          <w:sz w:val="24"/>
          <w:szCs w:val="24"/>
        </w:rPr>
      </w:pPr>
      <w:hyperlink r:id="rId22" w:history="1">
        <w:r w:rsidR="00892772" w:rsidRPr="0022431D">
          <w:rPr>
            <w:rStyle w:val="Hyperlink"/>
            <w:rFonts w:cs="Arial"/>
            <w:sz w:val="24"/>
            <w:szCs w:val="24"/>
          </w:rPr>
          <w:t>The report</w:t>
        </w:r>
      </w:hyperlink>
      <w:r w:rsidR="00892772" w:rsidRPr="0022431D">
        <w:rPr>
          <w:rFonts w:cs="Arial"/>
          <w:sz w:val="24"/>
          <w:szCs w:val="24"/>
        </w:rPr>
        <w:t xml:space="preserve"> </w:t>
      </w:r>
    </w:p>
    <w:p w14:paraId="09E26907" w14:textId="4F048A39" w:rsidR="0099246F" w:rsidRPr="0022431D" w:rsidRDefault="00892772" w:rsidP="00100676">
      <w:pPr>
        <w:spacing w:line="259" w:lineRule="auto"/>
        <w:rPr>
          <w:rFonts w:cs="Arial"/>
          <w:sz w:val="24"/>
          <w:szCs w:val="24"/>
        </w:rPr>
      </w:pPr>
      <w:r w:rsidRPr="0022431D">
        <w:rPr>
          <w:rFonts w:cs="Arial"/>
          <w:b/>
          <w:sz w:val="24"/>
          <w:szCs w:val="24"/>
        </w:rPr>
        <w:t>Title: Parent engagement in school to work transition for their child with disability</w:t>
      </w:r>
      <w:r w:rsidRPr="0022431D">
        <w:rPr>
          <w:rFonts w:cs="Arial"/>
          <w:sz w:val="24"/>
          <w:szCs w:val="24"/>
        </w:rPr>
        <w:t xml:space="preserve"> (2020) by Michelle Wakeford</w:t>
      </w:r>
    </w:p>
    <w:p w14:paraId="4CA09510" w14:textId="0F266530" w:rsidR="00892772" w:rsidRPr="0022431D" w:rsidRDefault="00892772" w:rsidP="00100676">
      <w:pPr>
        <w:spacing w:line="259" w:lineRule="auto"/>
        <w:rPr>
          <w:rFonts w:cs="Arial"/>
          <w:sz w:val="24"/>
          <w:szCs w:val="24"/>
        </w:rPr>
      </w:pPr>
      <w:r w:rsidRPr="0022431D">
        <w:rPr>
          <w:rFonts w:cs="Arial"/>
          <w:sz w:val="24"/>
          <w:szCs w:val="24"/>
        </w:rPr>
        <w:t xml:space="preserve">Focus: Having supportive family and social relationships is one of the main factors associated with a successful transition from school or vocational programmes to employment. This paper </w:t>
      </w:r>
      <w:proofErr w:type="gramStart"/>
      <w:r w:rsidRPr="0022431D">
        <w:rPr>
          <w:rFonts w:cs="Arial"/>
          <w:sz w:val="24"/>
          <w:szCs w:val="24"/>
        </w:rPr>
        <w:t>explore</w:t>
      </w:r>
      <w:proofErr w:type="gramEnd"/>
      <w:r w:rsidRPr="0022431D">
        <w:rPr>
          <w:rFonts w:cs="Arial"/>
          <w:sz w:val="24"/>
          <w:szCs w:val="24"/>
        </w:rPr>
        <w:t xml:space="preserve"> the literature regarding parents’ experience of their child with a disability’s transition from school and looks at the experience of parents involved in Ticket to Work.</w:t>
      </w:r>
    </w:p>
    <w:p w14:paraId="47835856" w14:textId="77777777" w:rsidR="00892772" w:rsidRPr="0022431D" w:rsidRDefault="007D5477" w:rsidP="00100676">
      <w:pPr>
        <w:spacing w:line="259" w:lineRule="auto"/>
        <w:rPr>
          <w:rFonts w:cs="Arial"/>
          <w:sz w:val="24"/>
          <w:szCs w:val="24"/>
        </w:rPr>
      </w:pPr>
      <w:hyperlink r:id="rId23" w:history="1">
        <w:r w:rsidR="00892772" w:rsidRPr="0022431D">
          <w:rPr>
            <w:rStyle w:val="Hyperlink"/>
            <w:rFonts w:cs="Arial"/>
            <w:sz w:val="24"/>
            <w:szCs w:val="24"/>
          </w:rPr>
          <w:t>The report</w:t>
        </w:r>
      </w:hyperlink>
    </w:p>
    <w:p w14:paraId="14E0A6B3" w14:textId="7BC0199C" w:rsidR="00892772" w:rsidRPr="0022431D" w:rsidRDefault="00892772" w:rsidP="00100676">
      <w:pPr>
        <w:spacing w:line="259" w:lineRule="auto"/>
        <w:rPr>
          <w:rFonts w:cs="Arial"/>
          <w:sz w:val="24"/>
          <w:szCs w:val="24"/>
        </w:rPr>
      </w:pPr>
      <w:r w:rsidRPr="0022431D">
        <w:rPr>
          <w:rFonts w:cs="Arial"/>
          <w:b/>
          <w:sz w:val="24"/>
          <w:szCs w:val="24"/>
        </w:rPr>
        <w:t>Title: Collaboration – the key to unlocking a successful future for young people with disability</w:t>
      </w:r>
      <w:r w:rsidRPr="0022431D">
        <w:rPr>
          <w:rFonts w:cs="Arial"/>
          <w:sz w:val="24"/>
          <w:szCs w:val="24"/>
        </w:rPr>
        <w:t xml:space="preserve"> (2019) by Dr. Denis Meadow</w:t>
      </w:r>
    </w:p>
    <w:p w14:paraId="0967D123" w14:textId="3D0F81F3" w:rsidR="00892772" w:rsidRPr="0022431D" w:rsidRDefault="00892772" w:rsidP="00100676">
      <w:pPr>
        <w:spacing w:line="259" w:lineRule="auto"/>
        <w:rPr>
          <w:rFonts w:cs="Arial"/>
          <w:sz w:val="24"/>
          <w:szCs w:val="24"/>
        </w:rPr>
      </w:pPr>
      <w:r w:rsidRPr="0022431D">
        <w:rPr>
          <w:rFonts w:cs="Arial"/>
          <w:sz w:val="24"/>
          <w:szCs w:val="24"/>
        </w:rPr>
        <w:t>Focus</w:t>
      </w:r>
      <w:r w:rsidR="0099246F">
        <w:rPr>
          <w:rFonts w:cs="Arial"/>
          <w:sz w:val="24"/>
          <w:szCs w:val="24"/>
        </w:rPr>
        <w:t>:</w:t>
      </w:r>
      <w:r w:rsidRPr="0022431D">
        <w:rPr>
          <w:rFonts w:cs="Arial"/>
          <w:sz w:val="24"/>
          <w:szCs w:val="24"/>
        </w:rPr>
        <w:t xml:space="preserve"> This paper examine</w:t>
      </w:r>
      <w:r w:rsidR="0099246F">
        <w:rPr>
          <w:rFonts w:cs="Arial"/>
          <w:sz w:val="24"/>
          <w:szCs w:val="24"/>
        </w:rPr>
        <w:t>s</w:t>
      </w:r>
      <w:r w:rsidRPr="0022431D">
        <w:rPr>
          <w:rFonts w:cs="Arial"/>
          <w:sz w:val="24"/>
          <w:szCs w:val="24"/>
        </w:rPr>
        <w:t xml:space="preserve"> the literature and explore</w:t>
      </w:r>
      <w:r w:rsidR="0099246F">
        <w:rPr>
          <w:rFonts w:cs="Arial"/>
          <w:sz w:val="24"/>
          <w:szCs w:val="24"/>
        </w:rPr>
        <w:t>s</w:t>
      </w:r>
      <w:r w:rsidRPr="0022431D">
        <w:rPr>
          <w:rFonts w:cs="Arial"/>
          <w:sz w:val="24"/>
          <w:szCs w:val="24"/>
        </w:rPr>
        <w:t xml:space="preserve"> interagency collaboration as a mechanism to improve post-school transitions for students with a disability.</w:t>
      </w:r>
    </w:p>
    <w:p w14:paraId="6ECED05A" w14:textId="77777777" w:rsidR="00892772" w:rsidRPr="0022431D" w:rsidRDefault="007D5477" w:rsidP="00100676">
      <w:pPr>
        <w:spacing w:line="259" w:lineRule="auto"/>
        <w:rPr>
          <w:rFonts w:cs="Arial"/>
          <w:sz w:val="24"/>
          <w:szCs w:val="24"/>
        </w:rPr>
      </w:pPr>
      <w:hyperlink r:id="rId24" w:history="1">
        <w:r w:rsidR="00892772" w:rsidRPr="0022431D">
          <w:rPr>
            <w:rStyle w:val="Hyperlink"/>
            <w:rFonts w:cs="Arial"/>
            <w:sz w:val="24"/>
            <w:szCs w:val="24"/>
          </w:rPr>
          <w:t>The report</w:t>
        </w:r>
      </w:hyperlink>
      <w:r w:rsidR="00892772" w:rsidRPr="0022431D">
        <w:rPr>
          <w:rFonts w:cs="Arial"/>
          <w:sz w:val="24"/>
          <w:szCs w:val="24"/>
        </w:rPr>
        <w:t xml:space="preserve"> </w:t>
      </w:r>
    </w:p>
    <w:p w14:paraId="0F1C0615" w14:textId="7BC97CA7" w:rsidR="00892772" w:rsidRPr="0022431D" w:rsidRDefault="00892772" w:rsidP="00100676">
      <w:pPr>
        <w:spacing w:line="259" w:lineRule="auto"/>
        <w:rPr>
          <w:rFonts w:cs="Arial"/>
          <w:b/>
          <w:sz w:val="24"/>
          <w:szCs w:val="24"/>
        </w:rPr>
      </w:pPr>
      <w:r w:rsidRPr="0022431D">
        <w:rPr>
          <w:rFonts w:cs="Arial"/>
          <w:b/>
          <w:sz w:val="24"/>
          <w:szCs w:val="24"/>
        </w:rPr>
        <w:t>Title: Ticket to Work Network Analysis</w:t>
      </w:r>
      <w:r w:rsidRPr="0022431D">
        <w:rPr>
          <w:rFonts w:cs="Arial"/>
          <w:sz w:val="24"/>
          <w:szCs w:val="24"/>
        </w:rPr>
        <w:t xml:space="preserve"> (2019) by ARTD Consultants</w:t>
      </w:r>
    </w:p>
    <w:p w14:paraId="412210FF" w14:textId="77777777" w:rsidR="00892772" w:rsidRPr="0022431D" w:rsidRDefault="00892772" w:rsidP="00100676">
      <w:pPr>
        <w:spacing w:line="259" w:lineRule="auto"/>
        <w:rPr>
          <w:rFonts w:cs="Arial"/>
          <w:sz w:val="24"/>
          <w:szCs w:val="24"/>
        </w:rPr>
      </w:pPr>
      <w:r w:rsidRPr="0022431D">
        <w:rPr>
          <w:rFonts w:cs="Arial"/>
          <w:sz w:val="24"/>
          <w:szCs w:val="24"/>
        </w:rPr>
        <w:t xml:space="preserve">Focus:  This report provides the findings from a partnership assessment for nine Ticket to Work networks operating in five Australian states. It identifies key successes and challenges of Ticket to Work partnerships and how they work to support young people with disability into employment.  </w:t>
      </w:r>
    </w:p>
    <w:p w14:paraId="52F2D769" w14:textId="77777777" w:rsidR="00892772" w:rsidRPr="0022431D" w:rsidRDefault="007D5477" w:rsidP="00100676">
      <w:pPr>
        <w:spacing w:line="259" w:lineRule="auto"/>
        <w:rPr>
          <w:rFonts w:cs="Arial"/>
          <w:sz w:val="24"/>
          <w:szCs w:val="24"/>
        </w:rPr>
      </w:pPr>
      <w:hyperlink r:id="rId25" w:history="1">
        <w:r w:rsidR="00892772" w:rsidRPr="0022431D">
          <w:rPr>
            <w:rStyle w:val="Hyperlink"/>
            <w:rFonts w:cs="Arial"/>
            <w:sz w:val="24"/>
            <w:szCs w:val="24"/>
          </w:rPr>
          <w:t>The report</w:t>
        </w:r>
      </w:hyperlink>
      <w:r w:rsidR="00892772" w:rsidRPr="0022431D">
        <w:rPr>
          <w:rFonts w:cs="Arial"/>
          <w:sz w:val="24"/>
          <w:szCs w:val="24"/>
        </w:rPr>
        <w:t xml:space="preserve"> </w:t>
      </w:r>
    </w:p>
    <w:p w14:paraId="493EA9A4" w14:textId="77777777" w:rsidR="00892772" w:rsidRPr="0022431D" w:rsidRDefault="00892772" w:rsidP="00100676">
      <w:pPr>
        <w:pStyle w:val="Bulletlist"/>
        <w:numPr>
          <w:ilvl w:val="0"/>
          <w:numId w:val="0"/>
        </w:numPr>
        <w:spacing w:line="259" w:lineRule="auto"/>
        <w:rPr>
          <w:sz w:val="24"/>
          <w:szCs w:val="24"/>
        </w:rPr>
      </w:pPr>
      <w:r w:rsidRPr="0022431D">
        <w:rPr>
          <w:b/>
          <w:sz w:val="24"/>
          <w:szCs w:val="24"/>
        </w:rPr>
        <w:t>Title: Effective school to employment transitions for young people with disability. A Rapid Review of the Literature</w:t>
      </w:r>
      <w:r w:rsidRPr="0022431D">
        <w:rPr>
          <w:sz w:val="24"/>
          <w:szCs w:val="24"/>
        </w:rPr>
        <w:t xml:space="preserve"> (2017). Sheppard, L., Harrington, R. &amp; Howard, K.</w:t>
      </w:r>
    </w:p>
    <w:p w14:paraId="03FED1E6" w14:textId="13A37B1F" w:rsidR="00892772" w:rsidRPr="0022431D" w:rsidRDefault="00892772" w:rsidP="00100676">
      <w:pPr>
        <w:pStyle w:val="Bulletlist"/>
        <w:numPr>
          <w:ilvl w:val="0"/>
          <w:numId w:val="0"/>
        </w:numPr>
        <w:spacing w:line="259" w:lineRule="auto"/>
        <w:rPr>
          <w:sz w:val="24"/>
          <w:szCs w:val="24"/>
        </w:rPr>
      </w:pPr>
      <w:r w:rsidRPr="0022431D">
        <w:rPr>
          <w:sz w:val="24"/>
          <w:szCs w:val="24"/>
        </w:rPr>
        <w:t>Focus: This Research to Action Guide articulates the key components of best practice for supporting the transition from school to employment for young adults with disability in Australia, based on the best available evidence.</w:t>
      </w:r>
    </w:p>
    <w:p w14:paraId="61C70572" w14:textId="68964DF7" w:rsidR="00892772" w:rsidRPr="0022431D" w:rsidRDefault="007D5477" w:rsidP="00100676">
      <w:pPr>
        <w:pStyle w:val="Bulletlist"/>
        <w:numPr>
          <w:ilvl w:val="0"/>
          <w:numId w:val="0"/>
        </w:numPr>
        <w:spacing w:line="259" w:lineRule="auto"/>
        <w:rPr>
          <w:sz w:val="24"/>
          <w:szCs w:val="24"/>
        </w:rPr>
      </w:pPr>
      <w:hyperlink r:id="rId26" w:history="1">
        <w:r w:rsidR="00892772" w:rsidRPr="0022431D">
          <w:rPr>
            <w:rStyle w:val="Hyperlink"/>
            <w:sz w:val="24"/>
            <w:szCs w:val="24"/>
          </w:rPr>
          <w:t>The report</w:t>
        </w:r>
      </w:hyperlink>
    </w:p>
    <w:p w14:paraId="67B981B7" w14:textId="01B71B13" w:rsidR="00975C40" w:rsidRDefault="00892772" w:rsidP="00E053B4">
      <w:pPr>
        <w:pStyle w:val="Bulletlist"/>
        <w:numPr>
          <w:ilvl w:val="0"/>
          <w:numId w:val="0"/>
        </w:numPr>
        <w:spacing w:line="259" w:lineRule="auto"/>
        <w:rPr>
          <w:sz w:val="24"/>
          <w:szCs w:val="24"/>
        </w:rPr>
      </w:pPr>
      <w:r w:rsidRPr="0022431D">
        <w:rPr>
          <w:sz w:val="24"/>
          <w:szCs w:val="24"/>
        </w:rPr>
        <w:t xml:space="preserve">Other reports/research/submission can be found </w:t>
      </w:r>
      <w:r w:rsidR="0099246F">
        <w:rPr>
          <w:sz w:val="24"/>
          <w:szCs w:val="24"/>
        </w:rPr>
        <w:t xml:space="preserve">at </w:t>
      </w:r>
      <w:hyperlink r:id="rId27" w:history="1">
        <w:r w:rsidR="00686DEC" w:rsidRPr="00686DEC">
          <w:rPr>
            <w:rStyle w:val="Hyperlink"/>
            <w:sz w:val="24"/>
            <w:szCs w:val="24"/>
          </w:rPr>
          <w:t>Ticket to Work Research.</w:t>
        </w:r>
      </w:hyperlink>
    </w:p>
    <w:p w14:paraId="0BA883FC" w14:textId="77777777" w:rsidR="00975C40" w:rsidRDefault="00975C40">
      <w:pPr>
        <w:spacing w:after="160" w:line="259" w:lineRule="auto"/>
        <w:rPr>
          <w:rFonts w:cs="Arial"/>
          <w:sz w:val="24"/>
          <w:szCs w:val="24"/>
        </w:rPr>
      </w:pPr>
      <w:r>
        <w:rPr>
          <w:sz w:val="24"/>
          <w:szCs w:val="24"/>
        </w:rPr>
        <w:br w:type="page"/>
      </w:r>
    </w:p>
    <w:p w14:paraId="099D4DB6" w14:textId="77777777" w:rsidR="00B567DB" w:rsidRDefault="00B567DB" w:rsidP="00E053B4">
      <w:pPr>
        <w:pStyle w:val="Bulletlist"/>
        <w:numPr>
          <w:ilvl w:val="0"/>
          <w:numId w:val="0"/>
        </w:numPr>
        <w:spacing w:line="259" w:lineRule="auto"/>
        <w:rPr>
          <w:sz w:val="24"/>
          <w:szCs w:val="24"/>
        </w:rPr>
      </w:pPr>
    </w:p>
    <w:p w14:paraId="6D7F22C9" w14:textId="3637D64D" w:rsidR="00975C40" w:rsidRDefault="00975C40" w:rsidP="00E053B4">
      <w:pPr>
        <w:pStyle w:val="Bulletlist"/>
        <w:numPr>
          <w:ilvl w:val="0"/>
          <w:numId w:val="0"/>
        </w:numPr>
        <w:spacing w:line="259" w:lineRule="auto"/>
        <w:rPr>
          <w:sz w:val="36"/>
          <w:szCs w:val="36"/>
        </w:rPr>
      </w:pPr>
      <w:r w:rsidRPr="00975C40">
        <w:rPr>
          <w:sz w:val="36"/>
          <w:szCs w:val="36"/>
        </w:rPr>
        <w:t>References</w:t>
      </w:r>
    </w:p>
    <w:p w14:paraId="172505F1" w14:textId="0261AA59" w:rsidR="005B7DA5" w:rsidRDefault="005B7DA5" w:rsidP="00E053B4">
      <w:pPr>
        <w:pStyle w:val="Bulletlist"/>
        <w:numPr>
          <w:ilvl w:val="0"/>
          <w:numId w:val="0"/>
        </w:numPr>
        <w:spacing w:line="259" w:lineRule="auto"/>
        <w:rPr>
          <w:sz w:val="36"/>
          <w:szCs w:val="36"/>
        </w:rPr>
      </w:pPr>
    </w:p>
    <w:p w14:paraId="77D0C9DB" w14:textId="29CD218A" w:rsidR="005B7DA5" w:rsidRPr="005B7DA5" w:rsidRDefault="005B7DA5" w:rsidP="00E053B4">
      <w:pPr>
        <w:pStyle w:val="Bulletlist"/>
        <w:numPr>
          <w:ilvl w:val="0"/>
          <w:numId w:val="0"/>
        </w:numPr>
        <w:spacing w:line="259" w:lineRule="auto"/>
        <w:rPr>
          <w:sz w:val="44"/>
          <w:szCs w:val="44"/>
        </w:rPr>
      </w:pPr>
      <w:r w:rsidRPr="005B7DA5">
        <w:rPr>
          <w:rFonts w:eastAsia="Times New Roman"/>
          <w:color w:val="333333"/>
          <w:sz w:val="24"/>
          <w:szCs w:val="24"/>
          <w:lang w:eastAsia="en-AU"/>
        </w:rPr>
        <w:t xml:space="preserve">Benz MR, Lindstrom L, </w:t>
      </w:r>
      <w:proofErr w:type="spellStart"/>
      <w:r w:rsidRPr="005B7DA5">
        <w:rPr>
          <w:rFonts w:eastAsia="Times New Roman"/>
          <w:color w:val="333333"/>
          <w:sz w:val="24"/>
          <w:szCs w:val="24"/>
          <w:lang w:eastAsia="en-AU"/>
        </w:rPr>
        <w:t>Yovanoff</w:t>
      </w:r>
      <w:proofErr w:type="spellEnd"/>
      <w:r w:rsidRPr="005B7DA5">
        <w:rPr>
          <w:rFonts w:eastAsia="Times New Roman"/>
          <w:color w:val="333333"/>
          <w:sz w:val="24"/>
          <w:szCs w:val="24"/>
          <w:lang w:eastAsia="en-AU"/>
        </w:rPr>
        <w:t xml:space="preserve"> P. (2000) Improving Graduation and Employment Outcomes of Students with Disabilities: Predictive Factors and Student Perspectives. </w:t>
      </w:r>
      <w:r w:rsidRPr="005B7DA5">
        <w:rPr>
          <w:rFonts w:eastAsia="Times New Roman"/>
          <w:i/>
          <w:iCs/>
          <w:color w:val="333333"/>
          <w:sz w:val="24"/>
          <w:szCs w:val="24"/>
          <w:lang w:eastAsia="en-AU"/>
        </w:rPr>
        <w:t>Exceptional Children</w:t>
      </w:r>
      <w:r w:rsidRPr="005B7DA5">
        <w:rPr>
          <w:rFonts w:eastAsia="Times New Roman"/>
          <w:color w:val="333333"/>
          <w:sz w:val="24"/>
          <w:szCs w:val="24"/>
          <w:lang w:eastAsia="en-AU"/>
        </w:rPr>
        <w:t>.</w:t>
      </w:r>
    </w:p>
    <w:p w14:paraId="4B147E61" w14:textId="77777777" w:rsidR="005B7DA5" w:rsidRDefault="005B7DA5" w:rsidP="00975C40">
      <w:pPr>
        <w:pStyle w:val="FootnoteText"/>
        <w:rPr>
          <w:rFonts w:cs="Arial"/>
          <w:sz w:val="24"/>
          <w:szCs w:val="24"/>
        </w:rPr>
      </w:pPr>
    </w:p>
    <w:p w14:paraId="032AAF1F" w14:textId="27133738" w:rsidR="00975C40" w:rsidRDefault="00975C40" w:rsidP="00975C40">
      <w:pPr>
        <w:pStyle w:val="FootnoteText"/>
        <w:rPr>
          <w:rFonts w:cs="Arial"/>
          <w:sz w:val="24"/>
          <w:szCs w:val="24"/>
        </w:rPr>
      </w:pPr>
      <w:r w:rsidRPr="005B7DA5">
        <w:rPr>
          <w:rFonts w:cs="Arial"/>
          <w:sz w:val="24"/>
          <w:szCs w:val="24"/>
        </w:rPr>
        <w:t>Beyer, S &amp; Beyer, A (2017). A systematic review of the literature on the benefits for employers of employing people with learning disabilities. Mencap.</w:t>
      </w:r>
    </w:p>
    <w:p w14:paraId="273A2E9F" w14:textId="7E1B43FA" w:rsidR="009726A5" w:rsidRDefault="009726A5" w:rsidP="00975C40">
      <w:pPr>
        <w:pStyle w:val="FootnoteText"/>
        <w:rPr>
          <w:rFonts w:cs="Arial"/>
          <w:sz w:val="24"/>
          <w:szCs w:val="24"/>
        </w:rPr>
      </w:pPr>
    </w:p>
    <w:p w14:paraId="770BD331" w14:textId="1BB1E4EE" w:rsidR="009726A5" w:rsidRPr="009726A5" w:rsidRDefault="009726A5" w:rsidP="00975C40">
      <w:pPr>
        <w:pStyle w:val="FootnoteText"/>
        <w:rPr>
          <w:rFonts w:cs="Arial"/>
          <w:sz w:val="32"/>
          <w:szCs w:val="32"/>
        </w:rPr>
      </w:pPr>
      <w:proofErr w:type="spellStart"/>
      <w:r w:rsidRPr="009726A5">
        <w:rPr>
          <w:sz w:val="24"/>
          <w:szCs w:val="24"/>
        </w:rPr>
        <w:t>Blackorby</w:t>
      </w:r>
      <w:proofErr w:type="spellEnd"/>
      <w:r w:rsidRPr="009726A5">
        <w:rPr>
          <w:sz w:val="24"/>
          <w:szCs w:val="24"/>
        </w:rPr>
        <w:t xml:space="preserve">, Chorost, Garza, &amp; Guzman, 2003 National </w:t>
      </w:r>
      <w:proofErr w:type="spellStart"/>
      <w:r w:rsidRPr="009726A5">
        <w:rPr>
          <w:sz w:val="24"/>
          <w:szCs w:val="24"/>
        </w:rPr>
        <w:t>Center</w:t>
      </w:r>
      <w:proofErr w:type="spellEnd"/>
      <w:r w:rsidRPr="009726A5">
        <w:rPr>
          <w:sz w:val="24"/>
          <w:szCs w:val="24"/>
        </w:rPr>
        <w:t xml:space="preserve"> on Inclusive Education, 2011.</w:t>
      </w:r>
    </w:p>
    <w:p w14:paraId="491AE289" w14:textId="27716A9A" w:rsidR="005B7DA5" w:rsidRDefault="005B7DA5" w:rsidP="00975C40">
      <w:pPr>
        <w:pStyle w:val="FootnoteText"/>
        <w:rPr>
          <w:rFonts w:cs="Arial"/>
          <w:sz w:val="24"/>
          <w:szCs w:val="24"/>
        </w:rPr>
      </w:pPr>
    </w:p>
    <w:p w14:paraId="1324E12E" w14:textId="77777777" w:rsidR="005B7DA5" w:rsidRPr="005B7DA5" w:rsidRDefault="005B7DA5" w:rsidP="005B7DA5">
      <w:pPr>
        <w:pStyle w:val="Heading2"/>
        <w:shd w:val="clear" w:color="auto" w:fill="FFFFFF"/>
        <w:spacing w:before="0" w:line="240" w:lineRule="auto"/>
        <w:textAlignment w:val="baseline"/>
        <w:rPr>
          <w:rFonts w:ascii="Arial" w:hAnsi="Arial" w:cs="Arial"/>
          <w:b/>
          <w:bCs/>
          <w:caps/>
          <w:color w:val="C2982D"/>
          <w:sz w:val="24"/>
          <w:szCs w:val="24"/>
        </w:rPr>
      </w:pPr>
      <w:r w:rsidRPr="005B7DA5">
        <w:rPr>
          <w:rFonts w:ascii="Arial" w:hAnsi="Arial" w:cs="Arial"/>
          <w:color w:val="292929"/>
          <w:sz w:val="24"/>
          <w:szCs w:val="24"/>
          <w:shd w:val="clear" w:color="auto" w:fill="FFFFFF"/>
        </w:rPr>
        <w:t>Brett, M., Harvey, A., Funston, A., Spicer, R. &amp; Wood, A. (2016). The Role of Inherent Requirement Statements in Australian Universities. Report submitted to the National Centre for Student Equity in Higher Education (NCSEHE), Curtin University: Perth.</w:t>
      </w:r>
      <w:r w:rsidRPr="005B7DA5">
        <w:rPr>
          <w:rFonts w:ascii="Arial" w:hAnsi="Arial" w:cs="Arial"/>
          <w:b/>
          <w:bCs/>
          <w:caps/>
          <w:color w:val="C2982D"/>
          <w:sz w:val="24"/>
          <w:szCs w:val="24"/>
        </w:rPr>
        <w:t xml:space="preserve"> </w:t>
      </w:r>
    </w:p>
    <w:p w14:paraId="45135EB3" w14:textId="7D97044B" w:rsidR="005B7DA5" w:rsidRDefault="005B7DA5" w:rsidP="00975C40">
      <w:pPr>
        <w:pStyle w:val="FootnoteText"/>
        <w:rPr>
          <w:rFonts w:cs="Arial"/>
          <w:sz w:val="24"/>
          <w:szCs w:val="24"/>
        </w:rPr>
      </w:pPr>
    </w:p>
    <w:p w14:paraId="1EFC777F" w14:textId="59F503EA" w:rsidR="005B7DA5" w:rsidRDefault="005B7DA5" w:rsidP="005B7DA5">
      <w:pPr>
        <w:pStyle w:val="FootnoteText"/>
        <w:rPr>
          <w:sz w:val="24"/>
          <w:szCs w:val="24"/>
          <w:lang w:val="en-US"/>
        </w:rPr>
      </w:pPr>
      <w:r w:rsidRPr="005B7DA5">
        <w:rPr>
          <w:sz w:val="24"/>
          <w:szCs w:val="24"/>
          <w:lang w:val="en-US"/>
        </w:rPr>
        <w:t xml:space="preserve">Carter, Erik &amp; Austin, Diane &amp; Trainor, Audrey. (2012). Predictors of Postschool Employment Outcomes for Young Adults </w:t>
      </w:r>
      <w:r w:rsidR="003334A6">
        <w:rPr>
          <w:sz w:val="24"/>
          <w:szCs w:val="24"/>
          <w:lang w:val="en-US"/>
        </w:rPr>
        <w:t>w</w:t>
      </w:r>
      <w:r w:rsidRPr="005B7DA5">
        <w:rPr>
          <w:sz w:val="24"/>
          <w:szCs w:val="24"/>
          <w:lang w:val="en-US"/>
        </w:rPr>
        <w:t>ith Severe Disabilities. Journal of Disability Policy Studies. 23. 50-63</w:t>
      </w:r>
    </w:p>
    <w:p w14:paraId="43777E3D" w14:textId="5A32B84F" w:rsidR="00DF0B10" w:rsidRDefault="00DF0B10" w:rsidP="005B7DA5">
      <w:pPr>
        <w:pStyle w:val="FootnoteText"/>
        <w:rPr>
          <w:sz w:val="24"/>
          <w:szCs w:val="24"/>
          <w:lang w:val="en-US"/>
        </w:rPr>
      </w:pPr>
    </w:p>
    <w:p w14:paraId="66D599D8" w14:textId="4BCA2FF8" w:rsidR="00DF0B10" w:rsidRPr="00DF0B10" w:rsidRDefault="00DF0B10" w:rsidP="005B7DA5">
      <w:pPr>
        <w:pStyle w:val="FootnoteText"/>
        <w:rPr>
          <w:sz w:val="32"/>
          <w:szCs w:val="32"/>
          <w:lang w:val="en-US"/>
        </w:rPr>
      </w:pPr>
      <w:r w:rsidRPr="00DF0B10">
        <w:rPr>
          <w:sz w:val="24"/>
          <w:szCs w:val="24"/>
        </w:rPr>
        <w:t xml:space="preserve">Cocks, Errol and </w:t>
      </w:r>
      <w:proofErr w:type="spellStart"/>
      <w:r w:rsidRPr="00DF0B10">
        <w:rPr>
          <w:sz w:val="24"/>
          <w:szCs w:val="24"/>
        </w:rPr>
        <w:t>Thoresen</w:t>
      </w:r>
      <w:proofErr w:type="spellEnd"/>
      <w:r w:rsidRPr="00DF0B10">
        <w:rPr>
          <w:sz w:val="24"/>
          <w:szCs w:val="24"/>
        </w:rPr>
        <w:t xml:space="preserve">, </w:t>
      </w:r>
      <w:proofErr w:type="spellStart"/>
      <w:r w:rsidRPr="00DF0B10">
        <w:rPr>
          <w:sz w:val="24"/>
          <w:szCs w:val="24"/>
        </w:rPr>
        <w:t>Stian</w:t>
      </w:r>
      <w:proofErr w:type="spellEnd"/>
      <w:r w:rsidRPr="00DF0B10">
        <w:rPr>
          <w:sz w:val="24"/>
          <w:szCs w:val="24"/>
        </w:rPr>
        <w:t xml:space="preserve"> H. 2013. Social and economic outcomes from VET in schools for people with disabilities: Initial findings from an Australian national longitudinal study, in AVETRA 16th Annual Conference, Apr </w:t>
      </w:r>
      <w:proofErr w:type="gramStart"/>
      <w:r w:rsidRPr="00DF0B10">
        <w:rPr>
          <w:sz w:val="24"/>
          <w:szCs w:val="24"/>
        </w:rPr>
        <w:t>3-5</w:t>
      </w:r>
      <w:proofErr w:type="gramEnd"/>
      <w:r w:rsidRPr="00DF0B10">
        <w:rPr>
          <w:sz w:val="24"/>
          <w:szCs w:val="24"/>
        </w:rPr>
        <w:t xml:space="preserve"> 2013. Fremantle, WA: AVETRA Association</w:t>
      </w:r>
      <w:r w:rsidRPr="00DF0B10">
        <w:rPr>
          <w:rFonts w:cs="Arial"/>
          <w:color w:val="000000" w:themeColor="text1"/>
          <w:sz w:val="24"/>
          <w:szCs w:val="24"/>
          <w:shd w:val="clear" w:color="auto" w:fill="F9F9F9"/>
        </w:rPr>
        <w:t>.</w:t>
      </w:r>
    </w:p>
    <w:p w14:paraId="68AFC822" w14:textId="3A9DB34B" w:rsidR="00DF0B10" w:rsidRDefault="00DF0B10" w:rsidP="005B7DA5">
      <w:pPr>
        <w:pStyle w:val="FootnoteText"/>
        <w:rPr>
          <w:sz w:val="24"/>
          <w:szCs w:val="24"/>
          <w:lang w:val="en-US"/>
        </w:rPr>
      </w:pPr>
    </w:p>
    <w:p w14:paraId="041C5BB9" w14:textId="0722BC52" w:rsidR="00DF0B10" w:rsidRPr="006B45CB" w:rsidRDefault="00DF0B10" w:rsidP="00DF0B10">
      <w:pPr>
        <w:pStyle w:val="FootnoteText"/>
        <w:rPr>
          <w:lang w:val="en-US"/>
        </w:rPr>
      </w:pPr>
      <w:r w:rsidRPr="00DF0B10">
        <w:rPr>
          <w:sz w:val="24"/>
          <w:szCs w:val="24"/>
        </w:rPr>
        <w:t>Colley &amp; Jamison, 1998</w:t>
      </w:r>
    </w:p>
    <w:p w14:paraId="4EF41026" w14:textId="77777777" w:rsidR="00DF0B10" w:rsidRDefault="00DF0B10" w:rsidP="005B7DA5">
      <w:pPr>
        <w:pStyle w:val="FootnoteText"/>
        <w:rPr>
          <w:sz w:val="24"/>
          <w:szCs w:val="24"/>
          <w:lang w:val="en-US"/>
        </w:rPr>
      </w:pPr>
    </w:p>
    <w:p w14:paraId="795B4F9E" w14:textId="34E85FF7" w:rsidR="005B7DA5" w:rsidRDefault="005B7DA5" w:rsidP="005B7DA5">
      <w:pPr>
        <w:pStyle w:val="FootnoteText"/>
        <w:rPr>
          <w:rStyle w:val="nlmlpage"/>
          <w:color w:val="333333"/>
          <w:sz w:val="24"/>
          <w:szCs w:val="24"/>
          <w:shd w:val="clear" w:color="auto" w:fill="FFFFFF"/>
        </w:rPr>
      </w:pPr>
      <w:proofErr w:type="spellStart"/>
      <w:r w:rsidRPr="005B7DA5">
        <w:rPr>
          <w:rFonts w:cs="Arial"/>
          <w:color w:val="333333"/>
          <w:sz w:val="24"/>
          <w:szCs w:val="24"/>
          <w:shd w:val="clear" w:color="auto" w:fill="FFFFFF"/>
        </w:rPr>
        <w:t>Daviso</w:t>
      </w:r>
      <w:proofErr w:type="spellEnd"/>
      <w:r w:rsidRPr="005B7DA5">
        <w:rPr>
          <w:rFonts w:cs="Arial"/>
          <w:color w:val="333333"/>
          <w:sz w:val="24"/>
          <w:szCs w:val="24"/>
          <w:shd w:val="clear" w:color="auto" w:fill="FFFFFF"/>
        </w:rPr>
        <w:t xml:space="preserve">, A. W., Baer, R. M., </w:t>
      </w:r>
      <w:proofErr w:type="spellStart"/>
      <w:r w:rsidRPr="005B7DA5">
        <w:rPr>
          <w:rFonts w:cs="Arial"/>
          <w:color w:val="333333"/>
          <w:sz w:val="24"/>
          <w:szCs w:val="24"/>
          <w:shd w:val="clear" w:color="auto" w:fill="FFFFFF"/>
        </w:rPr>
        <w:t>Flexer</w:t>
      </w:r>
      <w:proofErr w:type="spellEnd"/>
      <w:r w:rsidRPr="005B7DA5">
        <w:rPr>
          <w:rFonts w:cs="Arial"/>
          <w:color w:val="333333"/>
          <w:sz w:val="24"/>
          <w:szCs w:val="24"/>
          <w:shd w:val="clear" w:color="auto" w:fill="FFFFFF"/>
        </w:rPr>
        <w:t xml:space="preserve">, R. W., </w:t>
      </w:r>
      <w:proofErr w:type="spellStart"/>
      <w:r w:rsidRPr="005B7DA5">
        <w:rPr>
          <w:rFonts w:cs="Arial"/>
          <w:color w:val="333333"/>
          <w:sz w:val="24"/>
          <w:szCs w:val="24"/>
          <w:shd w:val="clear" w:color="auto" w:fill="FFFFFF"/>
        </w:rPr>
        <w:t>Meindl</w:t>
      </w:r>
      <w:proofErr w:type="spellEnd"/>
      <w:r w:rsidRPr="005B7DA5">
        <w:rPr>
          <w:rFonts w:cs="Arial"/>
          <w:color w:val="333333"/>
          <w:sz w:val="24"/>
          <w:szCs w:val="24"/>
          <w:shd w:val="clear" w:color="auto" w:fill="FFFFFF"/>
        </w:rPr>
        <w:t>, R. (</w:t>
      </w:r>
      <w:r w:rsidRPr="005B7DA5">
        <w:rPr>
          <w:rStyle w:val="nlmyear"/>
          <w:color w:val="333333"/>
          <w:sz w:val="24"/>
          <w:szCs w:val="24"/>
          <w:shd w:val="clear" w:color="auto" w:fill="FFFFFF"/>
        </w:rPr>
        <w:t>2016</w:t>
      </w:r>
      <w:r w:rsidRPr="005B7DA5">
        <w:rPr>
          <w:rFonts w:cs="Arial"/>
          <w:color w:val="333333"/>
          <w:sz w:val="24"/>
          <w:szCs w:val="24"/>
          <w:shd w:val="clear" w:color="auto" w:fill="FFFFFF"/>
        </w:rPr>
        <w:t>). </w:t>
      </w:r>
      <w:r w:rsidRPr="005B7DA5">
        <w:rPr>
          <w:rStyle w:val="nlmarticle-title"/>
          <w:rFonts w:cs="Arial"/>
          <w:color w:val="333333"/>
          <w:sz w:val="24"/>
          <w:szCs w:val="24"/>
          <w:shd w:val="clear" w:color="auto" w:fill="FFFFFF"/>
        </w:rPr>
        <w:t>Career and technical education, work study, &amp; school supervised work: How do they impact employment for students with disabilities?</w:t>
      </w:r>
      <w:r w:rsidRPr="005B7DA5">
        <w:rPr>
          <w:rFonts w:cs="Arial"/>
          <w:color w:val="333333"/>
          <w:sz w:val="24"/>
          <w:szCs w:val="24"/>
          <w:shd w:val="clear" w:color="auto" w:fill="FFFFFF"/>
        </w:rPr>
        <w:t xml:space="preserve"> Journal of Applied Rehabilitation </w:t>
      </w:r>
      <w:proofErr w:type="spellStart"/>
      <w:r w:rsidRPr="005B7DA5">
        <w:rPr>
          <w:rFonts w:cs="Arial"/>
          <w:color w:val="333333"/>
          <w:sz w:val="24"/>
          <w:szCs w:val="24"/>
          <w:shd w:val="clear" w:color="auto" w:fill="FFFFFF"/>
        </w:rPr>
        <w:t>Counseling</w:t>
      </w:r>
      <w:proofErr w:type="spellEnd"/>
      <w:r w:rsidRPr="005B7DA5">
        <w:rPr>
          <w:rFonts w:cs="Arial"/>
          <w:color w:val="333333"/>
          <w:sz w:val="24"/>
          <w:szCs w:val="24"/>
          <w:shd w:val="clear" w:color="auto" w:fill="FFFFFF"/>
        </w:rPr>
        <w:t>, 47(2), </w:t>
      </w:r>
      <w:r w:rsidRPr="005B7DA5">
        <w:rPr>
          <w:rStyle w:val="nlmfpage"/>
          <w:color w:val="333333"/>
          <w:sz w:val="24"/>
          <w:szCs w:val="24"/>
          <w:shd w:val="clear" w:color="auto" w:fill="FFFFFF"/>
        </w:rPr>
        <w:t>10</w:t>
      </w:r>
      <w:r w:rsidRPr="005B7DA5">
        <w:rPr>
          <w:rFonts w:cs="Arial"/>
          <w:color w:val="333333"/>
          <w:sz w:val="24"/>
          <w:szCs w:val="24"/>
          <w:shd w:val="clear" w:color="auto" w:fill="FFFFFF"/>
        </w:rPr>
        <w:t>-</w:t>
      </w:r>
      <w:r w:rsidRPr="005B7DA5">
        <w:rPr>
          <w:rStyle w:val="nlmlpage"/>
          <w:color w:val="333333"/>
          <w:sz w:val="24"/>
          <w:szCs w:val="24"/>
          <w:shd w:val="clear" w:color="auto" w:fill="FFFFFF"/>
        </w:rPr>
        <w:t>19</w:t>
      </w:r>
      <w:r>
        <w:rPr>
          <w:rStyle w:val="nlmlpage"/>
          <w:color w:val="333333"/>
          <w:sz w:val="24"/>
          <w:szCs w:val="24"/>
          <w:shd w:val="clear" w:color="auto" w:fill="FFFFFF"/>
        </w:rPr>
        <w:t xml:space="preserve"> </w:t>
      </w:r>
      <w:hyperlink r:id="rId28" w:history="1">
        <w:r w:rsidRPr="005B7DA5">
          <w:rPr>
            <w:rStyle w:val="Hyperlink"/>
            <w:sz w:val="24"/>
            <w:szCs w:val="24"/>
            <w:shd w:val="clear" w:color="auto" w:fill="FFFFFF"/>
          </w:rPr>
          <w:t xml:space="preserve">link here </w:t>
        </w:r>
        <w:r w:rsidRPr="005B7DA5">
          <w:rPr>
            <w:rStyle w:val="Hyperlink"/>
            <w:rFonts w:cs="Arial"/>
            <w:sz w:val="24"/>
            <w:szCs w:val="24"/>
            <w:shd w:val="clear" w:color="auto" w:fill="FFFFFF"/>
          </w:rPr>
          <w:t> </w:t>
        </w:r>
      </w:hyperlink>
    </w:p>
    <w:p w14:paraId="51B64AD7" w14:textId="5961F837" w:rsidR="009726A5" w:rsidRDefault="009726A5" w:rsidP="005B7DA5">
      <w:pPr>
        <w:pStyle w:val="FootnoteText"/>
        <w:rPr>
          <w:rStyle w:val="nlmlpage"/>
          <w:color w:val="333333"/>
          <w:sz w:val="24"/>
          <w:szCs w:val="24"/>
          <w:shd w:val="clear" w:color="auto" w:fill="FFFFFF"/>
        </w:rPr>
      </w:pPr>
    </w:p>
    <w:p w14:paraId="1E1253A7" w14:textId="2382C94E" w:rsidR="009726A5" w:rsidRPr="009726A5" w:rsidRDefault="009726A5" w:rsidP="009726A5">
      <w:pPr>
        <w:pStyle w:val="FootnoteText"/>
        <w:rPr>
          <w:sz w:val="24"/>
          <w:szCs w:val="24"/>
          <w:lang w:val="en-US"/>
        </w:rPr>
      </w:pPr>
      <w:r w:rsidRPr="009726A5">
        <w:rPr>
          <w:sz w:val="24"/>
          <w:szCs w:val="24"/>
        </w:rPr>
        <w:t>Deloitte Access Economics (2011) The economic benefits of increasing employment for people with disability, Australian Network on Disability</w:t>
      </w:r>
    </w:p>
    <w:p w14:paraId="1E7C3537" w14:textId="77777777" w:rsidR="009726A5" w:rsidRPr="005B7DA5" w:rsidRDefault="009726A5" w:rsidP="005B7DA5">
      <w:pPr>
        <w:pStyle w:val="FootnoteText"/>
        <w:rPr>
          <w:sz w:val="24"/>
          <w:szCs w:val="24"/>
          <w:lang w:val="en-US"/>
        </w:rPr>
      </w:pPr>
    </w:p>
    <w:p w14:paraId="717AB946" w14:textId="34685ACC" w:rsidR="00DF0B10" w:rsidRDefault="00DF0B10" w:rsidP="00DF0B10">
      <w:pPr>
        <w:pStyle w:val="FootnoteText"/>
        <w:rPr>
          <w:rFonts w:cs="Arial"/>
          <w:sz w:val="24"/>
          <w:szCs w:val="24"/>
        </w:rPr>
      </w:pPr>
      <w:r w:rsidRPr="00DF0B10">
        <w:rPr>
          <w:sz w:val="24"/>
          <w:szCs w:val="24"/>
        </w:rPr>
        <w:t xml:space="preserve">Lamb, S., Jackson, J., </w:t>
      </w:r>
      <w:proofErr w:type="spellStart"/>
      <w:r w:rsidRPr="00DF0B10">
        <w:rPr>
          <w:sz w:val="24"/>
          <w:szCs w:val="24"/>
        </w:rPr>
        <w:t>Walstab</w:t>
      </w:r>
      <w:proofErr w:type="spellEnd"/>
      <w:r w:rsidRPr="00DF0B10">
        <w:rPr>
          <w:sz w:val="24"/>
          <w:szCs w:val="24"/>
        </w:rPr>
        <w:t xml:space="preserve">, A. and </w:t>
      </w:r>
      <w:proofErr w:type="spellStart"/>
      <w:r w:rsidRPr="00DF0B10">
        <w:rPr>
          <w:sz w:val="24"/>
          <w:szCs w:val="24"/>
        </w:rPr>
        <w:t>Huo</w:t>
      </w:r>
      <w:proofErr w:type="spellEnd"/>
      <w:r w:rsidRPr="00DF0B10">
        <w:rPr>
          <w:sz w:val="24"/>
          <w:szCs w:val="24"/>
        </w:rPr>
        <w:t xml:space="preserve">, S. (2015) Educational Opportunity in Australia 2015: Who </w:t>
      </w:r>
      <w:r w:rsidRPr="00DF0B10">
        <w:rPr>
          <w:rFonts w:cs="Arial"/>
          <w:sz w:val="24"/>
          <w:szCs w:val="24"/>
        </w:rPr>
        <w:t>succeeds and who misses out, Centre for International Research on Education Systems, and Mitchell Institute: Victoria University, October 2015, p. 41,</w:t>
      </w:r>
      <w:r>
        <w:rPr>
          <w:rFonts w:cs="Arial"/>
          <w:sz w:val="24"/>
          <w:szCs w:val="24"/>
        </w:rPr>
        <w:t xml:space="preserve"> </w:t>
      </w:r>
      <w:hyperlink r:id="rId29" w:history="1">
        <w:r w:rsidRPr="00DF0B10">
          <w:rPr>
            <w:rStyle w:val="Hyperlink"/>
            <w:rFonts w:cs="Arial"/>
            <w:sz w:val="24"/>
            <w:szCs w:val="24"/>
          </w:rPr>
          <w:t xml:space="preserve">link here </w:t>
        </w:r>
      </w:hyperlink>
    </w:p>
    <w:p w14:paraId="22701795" w14:textId="41456FF1" w:rsidR="00DF0B10" w:rsidRDefault="00DF0B10" w:rsidP="00DF0B10">
      <w:pPr>
        <w:pStyle w:val="FootnoteText"/>
        <w:rPr>
          <w:rFonts w:cs="Arial"/>
          <w:sz w:val="24"/>
          <w:szCs w:val="24"/>
        </w:rPr>
      </w:pPr>
    </w:p>
    <w:p w14:paraId="14B6081D" w14:textId="091173BF" w:rsidR="00DF0B10" w:rsidRDefault="00DF0B10" w:rsidP="00DF0B10">
      <w:pPr>
        <w:autoSpaceDE w:val="0"/>
        <w:autoSpaceDN w:val="0"/>
        <w:adjustRightInd w:val="0"/>
        <w:spacing w:after="0" w:line="240" w:lineRule="auto"/>
        <w:jc w:val="both"/>
        <w:rPr>
          <w:rFonts w:cs="Arial"/>
          <w:sz w:val="24"/>
          <w:szCs w:val="24"/>
        </w:rPr>
      </w:pPr>
      <w:r w:rsidRPr="00DF0B10">
        <w:rPr>
          <w:rFonts w:cs="Arial"/>
          <w:sz w:val="24"/>
          <w:szCs w:val="24"/>
        </w:rPr>
        <w:t xml:space="preserve">Lewis, G, </w:t>
      </w:r>
      <w:proofErr w:type="spellStart"/>
      <w:r w:rsidRPr="00DF0B10">
        <w:rPr>
          <w:rFonts w:cs="Arial"/>
          <w:sz w:val="24"/>
          <w:szCs w:val="24"/>
        </w:rPr>
        <w:t>Thoresen</w:t>
      </w:r>
      <w:proofErr w:type="spellEnd"/>
      <w:r w:rsidRPr="00DF0B10">
        <w:rPr>
          <w:rFonts w:cs="Arial"/>
          <w:sz w:val="24"/>
          <w:szCs w:val="24"/>
        </w:rPr>
        <w:t xml:space="preserve">, S &amp; Cocks, E 2011, 'Post-course outcomes of apprenticeships and traineeships for people with disability in Western Australia', </w:t>
      </w:r>
      <w:hyperlink r:id="rId30" w:history="1">
        <w:r w:rsidRPr="00DF0B10">
          <w:rPr>
            <w:rStyle w:val="Hyperlink"/>
            <w:rFonts w:cs="Arial"/>
            <w:i/>
            <w:iCs/>
            <w:sz w:val="24"/>
            <w:szCs w:val="24"/>
          </w:rPr>
          <w:t>Journal of Vocational Rehabilitation</w:t>
        </w:r>
        <w:r w:rsidRPr="00DF0B10">
          <w:rPr>
            <w:rStyle w:val="Hyperlink"/>
            <w:rFonts w:cs="Arial"/>
            <w:sz w:val="24"/>
            <w:szCs w:val="24"/>
          </w:rPr>
          <w:t>,</w:t>
        </w:r>
      </w:hyperlink>
      <w:r w:rsidRPr="00DF0B10">
        <w:rPr>
          <w:rFonts w:cs="Arial"/>
          <w:sz w:val="24"/>
          <w:szCs w:val="24"/>
        </w:rPr>
        <w:t xml:space="preserve"> vol.35, no.2, pp.107–116</w:t>
      </w:r>
      <w:r>
        <w:rPr>
          <w:rFonts w:cs="Arial"/>
          <w:sz w:val="24"/>
          <w:szCs w:val="24"/>
        </w:rPr>
        <w:t xml:space="preserve">, </w:t>
      </w:r>
      <w:r w:rsidRPr="00DF0B10">
        <w:rPr>
          <w:rFonts w:cs="Arial"/>
          <w:sz w:val="24"/>
          <w:szCs w:val="24"/>
        </w:rPr>
        <w:t>viewed 26 Mar 2021</w:t>
      </w:r>
    </w:p>
    <w:p w14:paraId="7D921A15" w14:textId="68FFA491" w:rsidR="00DF0B10" w:rsidRDefault="00DF0B10" w:rsidP="00DF0B10">
      <w:pPr>
        <w:autoSpaceDE w:val="0"/>
        <w:autoSpaceDN w:val="0"/>
        <w:adjustRightInd w:val="0"/>
        <w:spacing w:after="0" w:line="240" w:lineRule="auto"/>
        <w:jc w:val="both"/>
        <w:rPr>
          <w:rFonts w:cs="Arial"/>
          <w:sz w:val="24"/>
          <w:szCs w:val="24"/>
        </w:rPr>
      </w:pPr>
    </w:p>
    <w:p w14:paraId="254B3566" w14:textId="76514B85" w:rsidR="00DF0B10" w:rsidRPr="00DF0B10" w:rsidRDefault="00DF0B10" w:rsidP="00DF0B10">
      <w:pPr>
        <w:pStyle w:val="FootnoteText"/>
        <w:rPr>
          <w:sz w:val="24"/>
          <w:szCs w:val="24"/>
        </w:rPr>
      </w:pPr>
      <w:proofErr w:type="spellStart"/>
      <w:r w:rsidRPr="00DF0B10">
        <w:rPr>
          <w:sz w:val="24"/>
          <w:szCs w:val="24"/>
        </w:rPr>
        <w:t>Luecking</w:t>
      </w:r>
      <w:proofErr w:type="spellEnd"/>
      <w:r w:rsidRPr="00DF0B10">
        <w:rPr>
          <w:sz w:val="24"/>
          <w:szCs w:val="24"/>
        </w:rPr>
        <w:t xml:space="preserve"> R, </w:t>
      </w:r>
      <w:proofErr w:type="spellStart"/>
      <w:r w:rsidRPr="00DF0B10">
        <w:rPr>
          <w:sz w:val="24"/>
          <w:szCs w:val="24"/>
        </w:rPr>
        <w:t>Gramlich</w:t>
      </w:r>
      <w:proofErr w:type="spellEnd"/>
      <w:r w:rsidRPr="00DF0B10">
        <w:rPr>
          <w:sz w:val="24"/>
          <w:szCs w:val="24"/>
        </w:rPr>
        <w:t xml:space="preserve">, M (2003) Quality Work-Based Learning and Postschool Employment Success </w:t>
      </w:r>
      <w:proofErr w:type="gramStart"/>
      <w:r w:rsidRPr="00DF0B10">
        <w:rPr>
          <w:sz w:val="24"/>
          <w:szCs w:val="24"/>
        </w:rPr>
        <w:t>The</w:t>
      </w:r>
      <w:proofErr w:type="gramEnd"/>
      <w:r w:rsidRPr="00DF0B10">
        <w:rPr>
          <w:sz w:val="24"/>
          <w:szCs w:val="24"/>
        </w:rPr>
        <w:t xml:space="preserve"> National </w:t>
      </w:r>
      <w:proofErr w:type="spellStart"/>
      <w:r w:rsidRPr="00DF0B10">
        <w:rPr>
          <w:sz w:val="24"/>
          <w:szCs w:val="24"/>
        </w:rPr>
        <w:t>Center</w:t>
      </w:r>
      <w:proofErr w:type="spellEnd"/>
      <w:r w:rsidRPr="00DF0B10">
        <w:rPr>
          <w:sz w:val="24"/>
          <w:szCs w:val="24"/>
        </w:rPr>
        <w:t xml:space="preserve"> on Secondary Education and Transition (NCSET) USA </w:t>
      </w:r>
    </w:p>
    <w:p w14:paraId="32594224" w14:textId="77777777" w:rsidR="00DF0B10" w:rsidRPr="00DF0B10" w:rsidRDefault="00DF0B10" w:rsidP="00DF0B10">
      <w:pPr>
        <w:autoSpaceDE w:val="0"/>
        <w:autoSpaceDN w:val="0"/>
        <w:adjustRightInd w:val="0"/>
        <w:spacing w:after="0" w:line="240" w:lineRule="auto"/>
        <w:jc w:val="both"/>
        <w:rPr>
          <w:rFonts w:cs="Arial"/>
          <w:sz w:val="24"/>
          <w:szCs w:val="24"/>
          <w:lang w:val="en-US"/>
        </w:rPr>
      </w:pPr>
    </w:p>
    <w:p w14:paraId="1FE44EF6" w14:textId="77777777" w:rsidR="00DF0B10" w:rsidRPr="00DF0B10" w:rsidRDefault="00DF0B10" w:rsidP="00DF0B10">
      <w:pPr>
        <w:pStyle w:val="FootnoteText"/>
        <w:rPr>
          <w:rFonts w:cs="Arial"/>
          <w:sz w:val="24"/>
          <w:szCs w:val="24"/>
          <w:lang w:val="en-US"/>
        </w:rPr>
      </w:pPr>
    </w:p>
    <w:p w14:paraId="3ACFA036" w14:textId="77777777" w:rsidR="005B7DA5" w:rsidRDefault="005B7DA5" w:rsidP="005B7DA5">
      <w:pPr>
        <w:pStyle w:val="FootnoteText"/>
        <w:rPr>
          <w:sz w:val="24"/>
          <w:szCs w:val="24"/>
        </w:rPr>
      </w:pPr>
      <w:proofErr w:type="spellStart"/>
      <w:r w:rsidRPr="005B7DA5">
        <w:rPr>
          <w:sz w:val="24"/>
          <w:szCs w:val="24"/>
        </w:rPr>
        <w:t>Mazzotti</w:t>
      </w:r>
      <w:proofErr w:type="spellEnd"/>
      <w:r w:rsidRPr="005B7DA5">
        <w:rPr>
          <w:sz w:val="24"/>
          <w:szCs w:val="24"/>
        </w:rPr>
        <w:t xml:space="preserve">, Valerie L.; Rowe, Dawn A.; </w:t>
      </w:r>
      <w:proofErr w:type="spellStart"/>
      <w:r w:rsidRPr="005B7DA5">
        <w:rPr>
          <w:sz w:val="24"/>
          <w:szCs w:val="24"/>
        </w:rPr>
        <w:t>Kwiatek</w:t>
      </w:r>
      <w:proofErr w:type="spellEnd"/>
      <w:r w:rsidRPr="005B7DA5">
        <w:rPr>
          <w:sz w:val="24"/>
          <w:szCs w:val="24"/>
        </w:rPr>
        <w:t xml:space="preserve">, Stephen; </w:t>
      </w:r>
      <w:proofErr w:type="spellStart"/>
      <w:r w:rsidRPr="005B7DA5">
        <w:rPr>
          <w:sz w:val="24"/>
          <w:szCs w:val="24"/>
        </w:rPr>
        <w:t>Voggt</w:t>
      </w:r>
      <w:proofErr w:type="spellEnd"/>
      <w:r w:rsidRPr="005B7DA5">
        <w:rPr>
          <w:sz w:val="24"/>
          <w:szCs w:val="24"/>
        </w:rPr>
        <w:t>, Ashley; Chang, Wen-</w:t>
      </w:r>
      <w:proofErr w:type="spellStart"/>
      <w:r w:rsidRPr="005B7DA5">
        <w:rPr>
          <w:sz w:val="24"/>
          <w:szCs w:val="24"/>
        </w:rPr>
        <w:t>Hsuan</w:t>
      </w:r>
      <w:proofErr w:type="spellEnd"/>
      <w:r w:rsidRPr="005B7DA5">
        <w:rPr>
          <w:sz w:val="24"/>
          <w:szCs w:val="24"/>
        </w:rPr>
        <w:t>; Fowler, Catherine H.; et al. (2020): Secondary Transition Predictors of Postschool Success: An Update to the Research Base. SAGE Journals. Collection.</w:t>
      </w:r>
      <w:r>
        <w:rPr>
          <w:sz w:val="24"/>
          <w:szCs w:val="24"/>
        </w:rPr>
        <w:t xml:space="preserve"> </w:t>
      </w:r>
      <w:hyperlink r:id="rId31" w:history="1">
        <w:r w:rsidRPr="005B7DA5">
          <w:rPr>
            <w:rStyle w:val="Hyperlink"/>
            <w:sz w:val="24"/>
            <w:szCs w:val="24"/>
          </w:rPr>
          <w:t>Link here</w:t>
        </w:r>
      </w:hyperlink>
      <w:r w:rsidRPr="005B7DA5">
        <w:rPr>
          <w:sz w:val="24"/>
          <w:szCs w:val="24"/>
        </w:rPr>
        <w:t xml:space="preserve"> </w:t>
      </w:r>
    </w:p>
    <w:p w14:paraId="4A4212CE" w14:textId="77777777" w:rsidR="005B7DA5" w:rsidRPr="005B7DA5" w:rsidRDefault="005B7DA5" w:rsidP="005B7DA5">
      <w:pPr>
        <w:pStyle w:val="FootnoteText"/>
        <w:rPr>
          <w:sz w:val="32"/>
          <w:szCs w:val="32"/>
          <w:lang w:val="en-US"/>
        </w:rPr>
      </w:pPr>
    </w:p>
    <w:p w14:paraId="5906BFB3" w14:textId="7AD614C4" w:rsidR="005B7DA5" w:rsidRPr="005B7DA5" w:rsidRDefault="005B7DA5" w:rsidP="00975C40">
      <w:pPr>
        <w:pStyle w:val="FootnoteText"/>
        <w:rPr>
          <w:color w:val="0563C1" w:themeColor="hyperlink"/>
          <w:sz w:val="24"/>
          <w:szCs w:val="24"/>
          <w:u w:val="single"/>
        </w:rPr>
      </w:pPr>
      <w:r w:rsidRPr="005B7DA5">
        <w:rPr>
          <w:sz w:val="24"/>
          <w:szCs w:val="24"/>
        </w:rPr>
        <w:t xml:space="preserve">Sheppard, L., Harrington, R. &amp; Howard, K. (2017). Effective school to employment transitions. Research to Action Guide, Rapid Review. NDS Centre for Applied Disability Research. Available at </w:t>
      </w:r>
      <w:hyperlink r:id="rId32" w:history="1">
        <w:r w:rsidRPr="005B7DA5">
          <w:rPr>
            <w:rStyle w:val="Hyperlink"/>
            <w:sz w:val="24"/>
            <w:szCs w:val="24"/>
          </w:rPr>
          <w:t>www.cadr.org.au</w:t>
        </w:r>
      </w:hyperlink>
      <w:r w:rsidRPr="005B7DA5">
        <w:rPr>
          <w:rStyle w:val="Hyperlink"/>
          <w:sz w:val="24"/>
          <w:szCs w:val="24"/>
        </w:rPr>
        <w:t xml:space="preserve"> </w:t>
      </w:r>
    </w:p>
    <w:p w14:paraId="1E49F7D9" w14:textId="77777777" w:rsidR="005B7DA5" w:rsidRPr="005B7DA5" w:rsidRDefault="005B7DA5" w:rsidP="00975C40">
      <w:pPr>
        <w:pStyle w:val="FootnoteText"/>
        <w:rPr>
          <w:rFonts w:cs="Arial"/>
          <w:sz w:val="24"/>
          <w:szCs w:val="24"/>
          <w:lang w:val="en-US"/>
        </w:rPr>
      </w:pPr>
    </w:p>
    <w:p w14:paraId="178CDD6E" w14:textId="779AADDA" w:rsidR="00975C40" w:rsidRDefault="00975C40" w:rsidP="00975C40">
      <w:pPr>
        <w:pStyle w:val="FootnoteText"/>
        <w:rPr>
          <w:rFonts w:cs="Arial"/>
          <w:sz w:val="24"/>
          <w:szCs w:val="24"/>
        </w:rPr>
      </w:pPr>
      <w:r w:rsidRPr="005B7DA5">
        <w:rPr>
          <w:rFonts w:cs="Arial"/>
          <w:sz w:val="24"/>
          <w:szCs w:val="24"/>
        </w:rPr>
        <w:t xml:space="preserve">Thiele, R., </w:t>
      </w:r>
      <w:proofErr w:type="spellStart"/>
      <w:r w:rsidRPr="005B7DA5">
        <w:rPr>
          <w:rFonts w:cs="Arial"/>
          <w:sz w:val="24"/>
          <w:szCs w:val="24"/>
        </w:rPr>
        <w:t>Bigby</w:t>
      </w:r>
      <w:proofErr w:type="spellEnd"/>
      <w:r w:rsidRPr="005B7DA5">
        <w:rPr>
          <w:rFonts w:cs="Arial"/>
          <w:sz w:val="24"/>
          <w:szCs w:val="24"/>
        </w:rPr>
        <w:t xml:space="preserve">, C., </w:t>
      </w:r>
      <w:proofErr w:type="spellStart"/>
      <w:r w:rsidRPr="005B7DA5">
        <w:rPr>
          <w:rFonts w:cs="Arial"/>
          <w:sz w:val="24"/>
          <w:szCs w:val="24"/>
        </w:rPr>
        <w:t>Tideman</w:t>
      </w:r>
      <w:proofErr w:type="spellEnd"/>
      <w:r w:rsidRPr="005B7DA5">
        <w:rPr>
          <w:rFonts w:cs="Arial"/>
          <w:sz w:val="24"/>
          <w:szCs w:val="24"/>
        </w:rPr>
        <w:t>, M. (2018). Young people with intellectual disabilities and work in after school jobs: a literature review. Living with Disability Research Centre, La Trobe University: Bundoora, VIC.</w:t>
      </w:r>
    </w:p>
    <w:p w14:paraId="040C87EC" w14:textId="6FC728CC" w:rsidR="00DF0B10" w:rsidRDefault="00DF0B10" w:rsidP="00975C40">
      <w:pPr>
        <w:pStyle w:val="FootnoteText"/>
        <w:rPr>
          <w:rFonts w:cs="Arial"/>
          <w:sz w:val="24"/>
          <w:szCs w:val="24"/>
        </w:rPr>
      </w:pPr>
    </w:p>
    <w:p w14:paraId="4B5C18D0" w14:textId="6939E10F" w:rsidR="005B7DA5" w:rsidRPr="00DF0B10" w:rsidRDefault="00DF0B10" w:rsidP="00DF0B10">
      <w:pPr>
        <w:pStyle w:val="EndNoteBibliography"/>
        <w:spacing w:before="0" w:after="0"/>
        <w:rPr>
          <w:color w:val="000000" w:themeColor="text1"/>
        </w:rPr>
      </w:pPr>
      <w:r w:rsidRPr="00DF0B10">
        <w:rPr>
          <w:color w:val="000000" w:themeColor="text1"/>
        </w:rPr>
        <w:t>Thoresen, S. H., Cocks, E., &amp; Parsons, R. (2019). Three Year Longitudinal Study of Graduate Employment Outcomes for Australian Apprentices and Trainees with and without Disabilities. International Journal of Disability, Development and Education, 1-15.</w:t>
      </w:r>
    </w:p>
    <w:p w14:paraId="6FD203C5" w14:textId="77777777" w:rsidR="005B7DA5" w:rsidRDefault="005B7DA5" w:rsidP="00975C40">
      <w:pPr>
        <w:pStyle w:val="FootnoteText"/>
        <w:rPr>
          <w:rFonts w:cs="Arial"/>
        </w:rPr>
      </w:pPr>
    </w:p>
    <w:p w14:paraId="7C4CE704" w14:textId="6C7BF59B" w:rsidR="00975C40" w:rsidRDefault="00975C40" w:rsidP="005B7DA5">
      <w:pPr>
        <w:widowControl w:val="0"/>
        <w:autoSpaceDE w:val="0"/>
        <w:autoSpaceDN w:val="0"/>
        <w:adjustRightInd w:val="0"/>
        <w:spacing w:after="0" w:line="240" w:lineRule="auto"/>
        <w:ind w:right="200"/>
        <w:rPr>
          <w:rFonts w:cs="Arial"/>
          <w:sz w:val="24"/>
          <w:szCs w:val="24"/>
        </w:rPr>
      </w:pPr>
      <w:r w:rsidRPr="005B7DA5">
        <w:rPr>
          <w:rFonts w:cs="Arial"/>
          <w:sz w:val="24"/>
          <w:szCs w:val="24"/>
        </w:rPr>
        <w:t>Panel for the Education Council Review of Senior Secondary Pathways into Work, Further</w:t>
      </w:r>
      <w:r w:rsidR="005B7DA5">
        <w:rPr>
          <w:rFonts w:cs="Arial"/>
          <w:sz w:val="24"/>
          <w:szCs w:val="24"/>
        </w:rPr>
        <w:t xml:space="preserve"> </w:t>
      </w:r>
      <w:r w:rsidRPr="005B7DA5">
        <w:rPr>
          <w:rFonts w:cs="Arial"/>
          <w:sz w:val="24"/>
          <w:szCs w:val="24"/>
        </w:rPr>
        <w:t xml:space="preserve">Education and Training 2020, </w:t>
      </w:r>
      <w:r w:rsidRPr="005B7DA5">
        <w:rPr>
          <w:rFonts w:cs="Arial"/>
          <w:i/>
          <w:iCs/>
          <w:sz w:val="24"/>
          <w:szCs w:val="24"/>
        </w:rPr>
        <w:t>Looking to the future: report of the Review of Senior Secondary</w:t>
      </w:r>
      <w:r w:rsidR="005B7DA5" w:rsidRPr="005B7DA5">
        <w:rPr>
          <w:rFonts w:cs="Arial"/>
          <w:i/>
          <w:iCs/>
          <w:sz w:val="24"/>
          <w:szCs w:val="24"/>
        </w:rPr>
        <w:t xml:space="preserve"> </w:t>
      </w:r>
      <w:r w:rsidRPr="005B7DA5">
        <w:rPr>
          <w:rFonts w:cs="Arial"/>
          <w:i/>
          <w:iCs/>
          <w:sz w:val="24"/>
          <w:szCs w:val="24"/>
        </w:rPr>
        <w:t>Pathways into Work, Further Education and Training [</w:t>
      </w:r>
      <w:proofErr w:type="spellStart"/>
      <w:r w:rsidRPr="005B7DA5">
        <w:rPr>
          <w:rFonts w:cs="Arial"/>
          <w:i/>
          <w:iCs/>
          <w:sz w:val="24"/>
          <w:szCs w:val="24"/>
        </w:rPr>
        <w:t>Shergold</w:t>
      </w:r>
      <w:proofErr w:type="spellEnd"/>
      <w:r w:rsidRPr="005B7DA5">
        <w:rPr>
          <w:rFonts w:cs="Arial"/>
          <w:i/>
          <w:iCs/>
          <w:sz w:val="24"/>
          <w:szCs w:val="24"/>
        </w:rPr>
        <w:t xml:space="preserve"> review]</w:t>
      </w:r>
      <w:r w:rsidRPr="005B7DA5">
        <w:rPr>
          <w:rFonts w:cs="Arial"/>
          <w:sz w:val="24"/>
          <w:szCs w:val="24"/>
        </w:rPr>
        <w:t>, Education Council</w:t>
      </w:r>
      <w:r w:rsidR="005B7DA5" w:rsidRPr="005B7DA5">
        <w:rPr>
          <w:rFonts w:cs="Arial"/>
          <w:sz w:val="24"/>
          <w:szCs w:val="24"/>
        </w:rPr>
        <w:t>.</w:t>
      </w:r>
    </w:p>
    <w:p w14:paraId="6265239D" w14:textId="66E79DEA" w:rsidR="005B7DA5" w:rsidRDefault="005B7DA5" w:rsidP="00975C40">
      <w:pPr>
        <w:pStyle w:val="Heading2"/>
        <w:shd w:val="clear" w:color="auto" w:fill="FFFFFF"/>
        <w:spacing w:before="0" w:line="240" w:lineRule="auto"/>
        <w:textAlignment w:val="baseline"/>
        <w:rPr>
          <w:rFonts w:ascii="Arial" w:hAnsi="Arial" w:cs="Arial"/>
          <w:sz w:val="20"/>
          <w:szCs w:val="20"/>
        </w:rPr>
      </w:pPr>
    </w:p>
    <w:p w14:paraId="2C0D02F1" w14:textId="20D1F9E3" w:rsidR="005B7DA5" w:rsidRDefault="00975C40" w:rsidP="00975C40">
      <w:pPr>
        <w:pStyle w:val="FootnoteText"/>
        <w:rPr>
          <w:rStyle w:val="Hyperlink"/>
          <w:rFonts w:cs="Arial"/>
        </w:rPr>
      </w:pPr>
      <w:r w:rsidRPr="005B7DA5">
        <w:rPr>
          <w:rFonts w:cs="Arial"/>
          <w:sz w:val="24"/>
          <w:szCs w:val="24"/>
        </w:rPr>
        <w:t xml:space="preserve">Public hearing 9, Sydney - Counsel Assisting Written Outline of Submissions - </w:t>
      </w:r>
      <w:hyperlink r:id="rId33" w:history="1">
        <w:r w:rsidR="005B7DA5" w:rsidRPr="005B7DA5">
          <w:rPr>
            <w:rStyle w:val="Hyperlink"/>
            <w:rFonts w:cs="Arial"/>
            <w:sz w:val="24"/>
            <w:szCs w:val="24"/>
          </w:rPr>
          <w:t>Link here</w:t>
        </w:r>
      </w:hyperlink>
    </w:p>
    <w:p w14:paraId="20B73026" w14:textId="77777777" w:rsidR="005B7DA5" w:rsidRDefault="005B7DA5" w:rsidP="00975C40">
      <w:pPr>
        <w:pStyle w:val="FootnoteText"/>
      </w:pPr>
    </w:p>
    <w:p w14:paraId="48E478E7" w14:textId="52735546" w:rsidR="00975C40" w:rsidRPr="009726A5" w:rsidRDefault="00DF0B10" w:rsidP="009726A5">
      <w:pPr>
        <w:pStyle w:val="FootnoteText"/>
        <w:rPr>
          <w:sz w:val="24"/>
          <w:szCs w:val="24"/>
        </w:rPr>
      </w:pPr>
      <w:r w:rsidRPr="00DF0B10">
        <w:rPr>
          <w:sz w:val="24"/>
          <w:szCs w:val="32"/>
        </w:rPr>
        <w:t xml:space="preserve">Wagner, M., Newman, L., </w:t>
      </w:r>
      <w:proofErr w:type="spellStart"/>
      <w:r w:rsidRPr="00DF0B10">
        <w:rPr>
          <w:sz w:val="24"/>
          <w:szCs w:val="32"/>
        </w:rPr>
        <w:t>Cameto</w:t>
      </w:r>
      <w:proofErr w:type="spellEnd"/>
      <w:r w:rsidRPr="00DF0B10">
        <w:rPr>
          <w:sz w:val="24"/>
          <w:szCs w:val="32"/>
        </w:rPr>
        <w:t xml:space="preserve">, R., Garza, N., &amp; Levine, P. (2005). </w:t>
      </w:r>
      <w:r w:rsidRPr="00DF0B10">
        <w:rPr>
          <w:i/>
          <w:sz w:val="24"/>
          <w:szCs w:val="32"/>
        </w:rPr>
        <w:t>After high school: A first look at the postschool experiences of youth with disabilities. A report from the National Longitudinal Transition Study-2(NLTS2).</w:t>
      </w:r>
      <w:r w:rsidRPr="00DF0B10">
        <w:rPr>
          <w:sz w:val="24"/>
          <w:szCs w:val="32"/>
        </w:rPr>
        <w:t xml:space="preserve"> Menlo Park, CA: SRI International. Retrieved on January 15, 2011 </w:t>
      </w:r>
      <w:hyperlink r:id="rId34" w:history="1">
        <w:r w:rsidRPr="00DF0B10">
          <w:rPr>
            <w:rStyle w:val="Hyperlink"/>
            <w:sz w:val="24"/>
            <w:szCs w:val="32"/>
          </w:rPr>
          <w:t>here</w:t>
        </w:r>
      </w:hyperlink>
    </w:p>
    <w:sectPr w:rsidR="00975C40" w:rsidRPr="009726A5">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26AA" w14:textId="77777777" w:rsidR="007D5477" w:rsidRDefault="007D5477" w:rsidP="00EF494C">
      <w:pPr>
        <w:spacing w:after="0" w:line="240" w:lineRule="auto"/>
      </w:pPr>
      <w:r>
        <w:separator/>
      </w:r>
    </w:p>
  </w:endnote>
  <w:endnote w:type="continuationSeparator" w:id="0">
    <w:p w14:paraId="7C66AB87" w14:textId="77777777" w:rsidR="007D5477" w:rsidRDefault="007D5477" w:rsidP="00EF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695729"/>
      <w:docPartObj>
        <w:docPartGallery w:val="Page Numbers (Bottom of Page)"/>
        <w:docPartUnique/>
      </w:docPartObj>
    </w:sdtPr>
    <w:sdtEndPr>
      <w:rPr>
        <w:noProof/>
      </w:rPr>
    </w:sdtEndPr>
    <w:sdtContent>
      <w:p w14:paraId="4866641E" w14:textId="49B344EF" w:rsidR="00331CFD" w:rsidRDefault="00331CFD">
        <w:pPr>
          <w:pStyle w:val="Footer"/>
          <w:jc w:val="right"/>
        </w:pPr>
        <w:r>
          <w:fldChar w:fldCharType="begin"/>
        </w:r>
        <w:r>
          <w:instrText xml:space="preserve"> PAGE   \* MERGEFORMAT </w:instrText>
        </w:r>
        <w:r>
          <w:fldChar w:fldCharType="separate"/>
        </w:r>
        <w:r w:rsidR="00987B5D">
          <w:rPr>
            <w:noProof/>
          </w:rPr>
          <w:t>20</w:t>
        </w:r>
        <w:r>
          <w:rPr>
            <w:noProof/>
          </w:rPr>
          <w:fldChar w:fldCharType="end"/>
        </w:r>
      </w:p>
    </w:sdtContent>
  </w:sdt>
  <w:p w14:paraId="1B1BB462" w14:textId="77777777" w:rsidR="00331CFD" w:rsidRDefault="0033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A9686" w14:textId="77777777" w:rsidR="007D5477" w:rsidRDefault="007D5477" w:rsidP="00EF494C">
      <w:pPr>
        <w:spacing w:after="0" w:line="240" w:lineRule="auto"/>
      </w:pPr>
      <w:r>
        <w:separator/>
      </w:r>
    </w:p>
  </w:footnote>
  <w:footnote w:type="continuationSeparator" w:id="0">
    <w:p w14:paraId="726BE202" w14:textId="77777777" w:rsidR="007D5477" w:rsidRDefault="007D5477" w:rsidP="00EF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19AC" w14:textId="3CE556A2" w:rsidR="00BA146D" w:rsidRPr="00F4375B" w:rsidRDefault="00BA146D" w:rsidP="00BA146D">
    <w:pPr>
      <w:pStyle w:val="Header"/>
    </w:pPr>
    <w:r w:rsidRPr="000678C2">
      <w:rPr>
        <w:rFonts w:cstheme="minorHAnsi"/>
        <w:noProof/>
        <w:color w:val="0000FF"/>
        <w:lang w:eastAsia="en-AU"/>
      </w:rPr>
      <w:drawing>
        <wp:inline distT="0" distB="0" distL="0" distR="0" wp14:anchorId="31A45D74" wp14:editId="09A201FC">
          <wp:extent cx="1027171" cy="651890"/>
          <wp:effectExtent l="0" t="0" r="1905" b="0"/>
          <wp:docPr id="3" name="Picture 3" descr="Ticket To Work logo www.tickett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To Wo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171" cy="651890"/>
                  </a:xfrm>
                  <a:prstGeom prst="rect">
                    <a:avLst/>
                  </a:prstGeom>
                  <a:noFill/>
                  <a:ln>
                    <a:noFill/>
                  </a:ln>
                </pic:spPr>
              </pic:pic>
            </a:graphicData>
          </a:graphic>
        </wp:inline>
      </w:drawing>
    </w:r>
    <w:r>
      <w:tab/>
    </w:r>
    <w:r>
      <w:tab/>
    </w:r>
    <w:r w:rsidRPr="000678C2">
      <w:rPr>
        <w:rFonts w:cstheme="minorHAnsi"/>
        <w:b/>
        <w:bCs/>
        <w:noProof/>
        <w:sz w:val="40"/>
        <w:szCs w:val="40"/>
        <w:lang w:eastAsia="en-AU"/>
      </w:rPr>
      <w:drawing>
        <wp:inline distT="0" distB="0" distL="0" distR="0" wp14:anchorId="2732E808" wp14:editId="66FC3952">
          <wp:extent cx="1002293" cy="574040"/>
          <wp:effectExtent l="0" t="0" r="7620" b="0"/>
          <wp:docPr id="12" name="Picture 12" descr="NDS logo www.nds.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293" cy="574040"/>
                  </a:xfrm>
                  <a:prstGeom prst="rect">
                    <a:avLst/>
                  </a:prstGeom>
                  <a:noFill/>
                </pic:spPr>
              </pic:pic>
            </a:graphicData>
          </a:graphic>
        </wp:inline>
      </w:drawing>
    </w:r>
  </w:p>
  <w:p w14:paraId="7801D218" w14:textId="77777777" w:rsidR="00BA146D" w:rsidRPr="00BA146D" w:rsidRDefault="00BA146D" w:rsidP="00BA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F64"/>
    <w:multiLevelType w:val="hybridMultilevel"/>
    <w:tmpl w:val="075E1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C91"/>
    <w:multiLevelType w:val="hybridMultilevel"/>
    <w:tmpl w:val="131458E2"/>
    <w:lvl w:ilvl="0" w:tplc="FB4C3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109E4"/>
    <w:multiLevelType w:val="hybridMultilevel"/>
    <w:tmpl w:val="88FC8BCE"/>
    <w:lvl w:ilvl="0" w:tplc="D7E2B4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032B"/>
    <w:multiLevelType w:val="hybridMultilevel"/>
    <w:tmpl w:val="F2A690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B427D"/>
    <w:multiLevelType w:val="hybridMultilevel"/>
    <w:tmpl w:val="27A2F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C095A"/>
    <w:multiLevelType w:val="multilevel"/>
    <w:tmpl w:val="011A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13CE7"/>
    <w:multiLevelType w:val="hybridMultilevel"/>
    <w:tmpl w:val="61BC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AC103C"/>
    <w:multiLevelType w:val="multilevel"/>
    <w:tmpl w:val="FF20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36982"/>
    <w:multiLevelType w:val="hybridMultilevel"/>
    <w:tmpl w:val="D234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3062F"/>
    <w:multiLevelType w:val="hybridMultilevel"/>
    <w:tmpl w:val="E2D0D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0B27EA"/>
    <w:multiLevelType w:val="hybridMultilevel"/>
    <w:tmpl w:val="C16CE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D7473"/>
    <w:multiLevelType w:val="multilevel"/>
    <w:tmpl w:val="711E2F4C"/>
    <w:lvl w:ilvl="0">
      <w:start w:val="1"/>
      <w:numFmt w:val="decimal"/>
      <w:lvlText w:val="%1."/>
      <w:lvlJc w:val="left"/>
      <w:pPr>
        <w:ind w:left="720" w:hanging="360"/>
      </w:pPr>
      <w:rPr>
        <w:rFonts w:asciiTheme="minorHAnsi" w:hAnsiTheme="minorHAnsi" w:hint="default"/>
        <w:color w:val="C00000"/>
        <w:sz w:val="32"/>
        <w:szCs w:val="32"/>
      </w:rPr>
    </w:lvl>
    <w:lvl w:ilvl="1">
      <w:start w:val="1"/>
      <w:numFmt w:val="decimal"/>
      <w:isLgl/>
      <w:lvlText w:val="%1.%2"/>
      <w:lvlJc w:val="left"/>
      <w:pPr>
        <w:ind w:left="720" w:hanging="360"/>
      </w:pPr>
      <w:rPr>
        <w:rFonts w:asciiTheme="minorHAnsi" w:hAnsiTheme="minorHAnsi" w:hint="default"/>
        <w:b/>
        <w:color w:val="C00000"/>
        <w:sz w:val="28"/>
        <w:szCs w:val="28"/>
      </w:rPr>
    </w:lvl>
    <w:lvl w:ilvl="2">
      <w:start w:val="1"/>
      <w:numFmt w:val="decimal"/>
      <w:isLgl/>
      <w:lvlText w:val="%1.%2.%3"/>
      <w:lvlJc w:val="left"/>
      <w:pPr>
        <w:ind w:left="1080" w:hanging="720"/>
      </w:pPr>
      <w:rPr>
        <w:rFonts w:asciiTheme="minorHAnsi" w:hAnsiTheme="minorHAnsi" w:hint="default"/>
        <w:b/>
        <w:color w:val="C0000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5680795"/>
    <w:multiLevelType w:val="hybridMultilevel"/>
    <w:tmpl w:val="E18C5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E39DE"/>
    <w:multiLevelType w:val="hybridMultilevel"/>
    <w:tmpl w:val="0CF46F72"/>
    <w:lvl w:ilvl="0" w:tplc="30209D96">
      <w:start w:val="516"/>
      <w:numFmt w:val="bullet"/>
      <w:lvlText w:val=""/>
      <w:lvlJc w:val="left"/>
      <w:pPr>
        <w:ind w:left="2880" w:hanging="360"/>
      </w:pPr>
      <w:rPr>
        <w:rFonts w:ascii="Symbol" w:eastAsia="Calibri" w:hAnsi="Symbol" w:cs="Aria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15:restartNumberingAfterBreak="0">
    <w:nsid w:val="3F6127DC"/>
    <w:multiLevelType w:val="hybridMultilevel"/>
    <w:tmpl w:val="88FC8BCE"/>
    <w:lvl w:ilvl="0" w:tplc="D7E2B4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117FF2"/>
    <w:multiLevelType w:val="multilevel"/>
    <w:tmpl w:val="52F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53E41"/>
    <w:multiLevelType w:val="hybridMultilevel"/>
    <w:tmpl w:val="FCE4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13D62"/>
    <w:multiLevelType w:val="hybridMultilevel"/>
    <w:tmpl w:val="31F8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261991"/>
    <w:multiLevelType w:val="hybridMultilevel"/>
    <w:tmpl w:val="137A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95C96"/>
    <w:multiLevelType w:val="hybridMultilevel"/>
    <w:tmpl w:val="6BCA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9E0398"/>
    <w:multiLevelType w:val="hybridMultilevel"/>
    <w:tmpl w:val="180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1062D"/>
    <w:multiLevelType w:val="hybridMultilevel"/>
    <w:tmpl w:val="F54C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385274"/>
    <w:multiLevelType w:val="hybridMultilevel"/>
    <w:tmpl w:val="F2A690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4F090B"/>
    <w:multiLevelType w:val="hybridMultilevel"/>
    <w:tmpl w:val="5104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A96836"/>
    <w:multiLevelType w:val="hybridMultilevel"/>
    <w:tmpl w:val="3D16EA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7C336B6"/>
    <w:multiLevelType w:val="hybridMultilevel"/>
    <w:tmpl w:val="47AC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0"/>
  </w:num>
  <w:num w:numId="2">
    <w:abstractNumId w:val="27"/>
  </w:num>
  <w:num w:numId="3">
    <w:abstractNumId w:val="5"/>
  </w:num>
  <w:num w:numId="4">
    <w:abstractNumId w:val="7"/>
  </w:num>
  <w:num w:numId="5">
    <w:abstractNumId w:val="25"/>
  </w:num>
  <w:num w:numId="6">
    <w:abstractNumId w:val="19"/>
  </w:num>
  <w:num w:numId="7">
    <w:abstractNumId w:val="2"/>
  </w:num>
  <w:num w:numId="8">
    <w:abstractNumId w:val="15"/>
  </w:num>
  <w:num w:numId="9">
    <w:abstractNumId w:val="21"/>
  </w:num>
  <w:num w:numId="10">
    <w:abstractNumId w:val="13"/>
  </w:num>
  <w:num w:numId="11">
    <w:abstractNumId w:val="14"/>
  </w:num>
  <w:num w:numId="12">
    <w:abstractNumId w:val="16"/>
  </w:num>
  <w:num w:numId="13">
    <w:abstractNumId w:val="17"/>
  </w:num>
  <w:num w:numId="14">
    <w:abstractNumId w:val="8"/>
  </w:num>
  <w:num w:numId="15">
    <w:abstractNumId w:val="18"/>
  </w:num>
  <w:num w:numId="16">
    <w:abstractNumId w:val="6"/>
  </w:num>
  <w:num w:numId="17">
    <w:abstractNumId w:val="23"/>
  </w:num>
  <w:num w:numId="18">
    <w:abstractNumId w:val="20"/>
  </w:num>
  <w:num w:numId="19">
    <w:abstractNumId w:val="0"/>
  </w:num>
  <w:num w:numId="20">
    <w:abstractNumId w:val="12"/>
  </w:num>
  <w:num w:numId="21">
    <w:abstractNumId w:val="4"/>
  </w:num>
  <w:num w:numId="22">
    <w:abstractNumId w:val="28"/>
  </w:num>
  <w:num w:numId="23">
    <w:abstractNumId w:val="26"/>
  </w:num>
  <w:num w:numId="24">
    <w:abstractNumId w:val="1"/>
  </w:num>
  <w:num w:numId="25">
    <w:abstractNumId w:val="22"/>
  </w:num>
  <w:num w:numId="26">
    <w:abstractNumId w:val="24"/>
  </w:num>
  <w:num w:numId="27">
    <w:abstractNumId w:val="9"/>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27"/>
    <w:rsid w:val="00007148"/>
    <w:rsid w:val="00007153"/>
    <w:rsid w:val="0000763D"/>
    <w:rsid w:val="00007910"/>
    <w:rsid w:val="0001065C"/>
    <w:rsid w:val="00015287"/>
    <w:rsid w:val="00021121"/>
    <w:rsid w:val="00023D41"/>
    <w:rsid w:val="000268EE"/>
    <w:rsid w:val="00032619"/>
    <w:rsid w:val="00061DD0"/>
    <w:rsid w:val="0007359E"/>
    <w:rsid w:val="000755EF"/>
    <w:rsid w:val="000816B9"/>
    <w:rsid w:val="00090A33"/>
    <w:rsid w:val="000A18D5"/>
    <w:rsid w:val="000B64E0"/>
    <w:rsid w:val="000C0DE8"/>
    <w:rsid w:val="000C2DEF"/>
    <w:rsid w:val="000D00CA"/>
    <w:rsid w:val="000D070D"/>
    <w:rsid w:val="000F46E2"/>
    <w:rsid w:val="000F4FBD"/>
    <w:rsid w:val="00100676"/>
    <w:rsid w:val="001221ED"/>
    <w:rsid w:val="0014158E"/>
    <w:rsid w:val="00172964"/>
    <w:rsid w:val="00183ED0"/>
    <w:rsid w:val="001B3B98"/>
    <w:rsid w:val="001D1153"/>
    <w:rsid w:val="001D312E"/>
    <w:rsid w:val="001D36AC"/>
    <w:rsid w:val="001D5466"/>
    <w:rsid w:val="001E05F7"/>
    <w:rsid w:val="001E6513"/>
    <w:rsid w:val="001F01FF"/>
    <w:rsid w:val="00202819"/>
    <w:rsid w:val="00213B8B"/>
    <w:rsid w:val="002227D5"/>
    <w:rsid w:val="0022431D"/>
    <w:rsid w:val="00234B97"/>
    <w:rsid w:val="00237B3A"/>
    <w:rsid w:val="00241ADA"/>
    <w:rsid w:val="00244A63"/>
    <w:rsid w:val="0024538C"/>
    <w:rsid w:val="00245A64"/>
    <w:rsid w:val="00260EA1"/>
    <w:rsid w:val="00263564"/>
    <w:rsid w:val="0026745D"/>
    <w:rsid w:val="00293387"/>
    <w:rsid w:val="00294F69"/>
    <w:rsid w:val="00295314"/>
    <w:rsid w:val="002C1BF1"/>
    <w:rsid w:val="002C2A94"/>
    <w:rsid w:val="002D553F"/>
    <w:rsid w:val="002F36FB"/>
    <w:rsid w:val="0031145A"/>
    <w:rsid w:val="00314386"/>
    <w:rsid w:val="003213C3"/>
    <w:rsid w:val="00326CB6"/>
    <w:rsid w:val="00331CFD"/>
    <w:rsid w:val="003334A6"/>
    <w:rsid w:val="00333A13"/>
    <w:rsid w:val="003365D8"/>
    <w:rsid w:val="00341263"/>
    <w:rsid w:val="003416E3"/>
    <w:rsid w:val="00365800"/>
    <w:rsid w:val="00367888"/>
    <w:rsid w:val="0037132E"/>
    <w:rsid w:val="003A11BE"/>
    <w:rsid w:val="003A1C82"/>
    <w:rsid w:val="003A52E3"/>
    <w:rsid w:val="003B797B"/>
    <w:rsid w:val="003C2AA3"/>
    <w:rsid w:val="003C3BDA"/>
    <w:rsid w:val="003C7D5A"/>
    <w:rsid w:val="003F6586"/>
    <w:rsid w:val="0040181B"/>
    <w:rsid w:val="00404AEF"/>
    <w:rsid w:val="00422AAC"/>
    <w:rsid w:val="004275DD"/>
    <w:rsid w:val="0043568C"/>
    <w:rsid w:val="00467C50"/>
    <w:rsid w:val="00471929"/>
    <w:rsid w:val="004969ED"/>
    <w:rsid w:val="004B00FD"/>
    <w:rsid w:val="004B7DD4"/>
    <w:rsid w:val="004C53FF"/>
    <w:rsid w:val="004C57E0"/>
    <w:rsid w:val="004E3EE2"/>
    <w:rsid w:val="004F35CB"/>
    <w:rsid w:val="00506DE6"/>
    <w:rsid w:val="00517EF3"/>
    <w:rsid w:val="005220A4"/>
    <w:rsid w:val="005222EC"/>
    <w:rsid w:val="00523492"/>
    <w:rsid w:val="00544B1C"/>
    <w:rsid w:val="00544D08"/>
    <w:rsid w:val="00562287"/>
    <w:rsid w:val="0057204F"/>
    <w:rsid w:val="0058416B"/>
    <w:rsid w:val="005875F2"/>
    <w:rsid w:val="00587CDE"/>
    <w:rsid w:val="005906E3"/>
    <w:rsid w:val="005A0417"/>
    <w:rsid w:val="005A38F3"/>
    <w:rsid w:val="005B0A66"/>
    <w:rsid w:val="005B4CBD"/>
    <w:rsid w:val="005B563F"/>
    <w:rsid w:val="005B7DA5"/>
    <w:rsid w:val="005C0538"/>
    <w:rsid w:val="005C1524"/>
    <w:rsid w:val="005C22E2"/>
    <w:rsid w:val="005C67FC"/>
    <w:rsid w:val="005D7762"/>
    <w:rsid w:val="005D7D25"/>
    <w:rsid w:val="005E637C"/>
    <w:rsid w:val="005F04BC"/>
    <w:rsid w:val="005F6A52"/>
    <w:rsid w:val="00616C1F"/>
    <w:rsid w:val="00623790"/>
    <w:rsid w:val="00623F26"/>
    <w:rsid w:val="006245B0"/>
    <w:rsid w:val="00631AAC"/>
    <w:rsid w:val="00635E4E"/>
    <w:rsid w:val="0063710B"/>
    <w:rsid w:val="00646FD3"/>
    <w:rsid w:val="006534A7"/>
    <w:rsid w:val="0065693A"/>
    <w:rsid w:val="006646CD"/>
    <w:rsid w:val="00677F9F"/>
    <w:rsid w:val="0068308F"/>
    <w:rsid w:val="00683763"/>
    <w:rsid w:val="006844FD"/>
    <w:rsid w:val="00685C2F"/>
    <w:rsid w:val="00686684"/>
    <w:rsid w:val="00686DEC"/>
    <w:rsid w:val="00697CEA"/>
    <w:rsid w:val="006A1777"/>
    <w:rsid w:val="006A6FC5"/>
    <w:rsid w:val="006B308F"/>
    <w:rsid w:val="006B45CB"/>
    <w:rsid w:val="006B69B1"/>
    <w:rsid w:val="006B7CE2"/>
    <w:rsid w:val="006C2835"/>
    <w:rsid w:val="006D2DD4"/>
    <w:rsid w:val="006D77B3"/>
    <w:rsid w:val="006E5E98"/>
    <w:rsid w:val="007033A9"/>
    <w:rsid w:val="00727D7F"/>
    <w:rsid w:val="00736390"/>
    <w:rsid w:val="00736DEB"/>
    <w:rsid w:val="0076681C"/>
    <w:rsid w:val="00770FE0"/>
    <w:rsid w:val="00785CDA"/>
    <w:rsid w:val="00786DAE"/>
    <w:rsid w:val="007A0ABA"/>
    <w:rsid w:val="007B7D0B"/>
    <w:rsid w:val="007C6926"/>
    <w:rsid w:val="007D5477"/>
    <w:rsid w:val="007E6A4F"/>
    <w:rsid w:val="007F073C"/>
    <w:rsid w:val="007F0FB7"/>
    <w:rsid w:val="007F1BC4"/>
    <w:rsid w:val="007F305F"/>
    <w:rsid w:val="00802C94"/>
    <w:rsid w:val="00806C1B"/>
    <w:rsid w:val="00817F90"/>
    <w:rsid w:val="00831E1D"/>
    <w:rsid w:val="008333D2"/>
    <w:rsid w:val="00834BD3"/>
    <w:rsid w:val="008462D9"/>
    <w:rsid w:val="00861319"/>
    <w:rsid w:val="00864CA7"/>
    <w:rsid w:val="00867A10"/>
    <w:rsid w:val="00872D8E"/>
    <w:rsid w:val="008748A7"/>
    <w:rsid w:val="0088289D"/>
    <w:rsid w:val="00892018"/>
    <w:rsid w:val="00892772"/>
    <w:rsid w:val="0089565C"/>
    <w:rsid w:val="008973DE"/>
    <w:rsid w:val="008A39DF"/>
    <w:rsid w:val="008A7CF6"/>
    <w:rsid w:val="008B1A11"/>
    <w:rsid w:val="008B287F"/>
    <w:rsid w:val="008B5C95"/>
    <w:rsid w:val="008D72FE"/>
    <w:rsid w:val="008E4D90"/>
    <w:rsid w:val="008F0D72"/>
    <w:rsid w:val="008F3B50"/>
    <w:rsid w:val="008F55BE"/>
    <w:rsid w:val="00903D04"/>
    <w:rsid w:val="00907AC8"/>
    <w:rsid w:val="0091138E"/>
    <w:rsid w:val="00915760"/>
    <w:rsid w:val="00923B8B"/>
    <w:rsid w:val="00927EBC"/>
    <w:rsid w:val="00936080"/>
    <w:rsid w:val="00942F79"/>
    <w:rsid w:val="00953A3E"/>
    <w:rsid w:val="0096421F"/>
    <w:rsid w:val="009726A5"/>
    <w:rsid w:val="00975C40"/>
    <w:rsid w:val="00987B5D"/>
    <w:rsid w:val="0099246F"/>
    <w:rsid w:val="009A157E"/>
    <w:rsid w:val="009A6DA0"/>
    <w:rsid w:val="009B1638"/>
    <w:rsid w:val="009B2277"/>
    <w:rsid w:val="009B2349"/>
    <w:rsid w:val="009D4A99"/>
    <w:rsid w:val="009E0EE8"/>
    <w:rsid w:val="009E3D2C"/>
    <w:rsid w:val="00A07E75"/>
    <w:rsid w:val="00A12035"/>
    <w:rsid w:val="00A1646F"/>
    <w:rsid w:val="00A20BD3"/>
    <w:rsid w:val="00A2176B"/>
    <w:rsid w:val="00A302C0"/>
    <w:rsid w:val="00A329ED"/>
    <w:rsid w:val="00A37B42"/>
    <w:rsid w:val="00A408FF"/>
    <w:rsid w:val="00A422D0"/>
    <w:rsid w:val="00A72EE0"/>
    <w:rsid w:val="00A7574D"/>
    <w:rsid w:val="00A85EC4"/>
    <w:rsid w:val="00A87FD5"/>
    <w:rsid w:val="00A95C74"/>
    <w:rsid w:val="00AA4D6B"/>
    <w:rsid w:val="00AA7080"/>
    <w:rsid w:val="00AC7E64"/>
    <w:rsid w:val="00AF2B41"/>
    <w:rsid w:val="00B028CC"/>
    <w:rsid w:val="00B07360"/>
    <w:rsid w:val="00B165A6"/>
    <w:rsid w:val="00B478E0"/>
    <w:rsid w:val="00B567DB"/>
    <w:rsid w:val="00B61A0F"/>
    <w:rsid w:val="00B7631A"/>
    <w:rsid w:val="00B816FA"/>
    <w:rsid w:val="00B852CD"/>
    <w:rsid w:val="00B878D5"/>
    <w:rsid w:val="00B90F4E"/>
    <w:rsid w:val="00B9189A"/>
    <w:rsid w:val="00B9371B"/>
    <w:rsid w:val="00BA146D"/>
    <w:rsid w:val="00BA274F"/>
    <w:rsid w:val="00BA622D"/>
    <w:rsid w:val="00BC1B87"/>
    <w:rsid w:val="00BD642C"/>
    <w:rsid w:val="00BF7FC7"/>
    <w:rsid w:val="00C0312D"/>
    <w:rsid w:val="00C12386"/>
    <w:rsid w:val="00C12938"/>
    <w:rsid w:val="00C36828"/>
    <w:rsid w:val="00C552AD"/>
    <w:rsid w:val="00C60DD8"/>
    <w:rsid w:val="00C67999"/>
    <w:rsid w:val="00C67D38"/>
    <w:rsid w:val="00C80417"/>
    <w:rsid w:val="00C83510"/>
    <w:rsid w:val="00C8624C"/>
    <w:rsid w:val="00C97A94"/>
    <w:rsid w:val="00CB572C"/>
    <w:rsid w:val="00CC04F8"/>
    <w:rsid w:val="00CD5129"/>
    <w:rsid w:val="00CF366B"/>
    <w:rsid w:val="00CF6CE0"/>
    <w:rsid w:val="00D07B55"/>
    <w:rsid w:val="00D10188"/>
    <w:rsid w:val="00D13609"/>
    <w:rsid w:val="00D2539B"/>
    <w:rsid w:val="00D30EFC"/>
    <w:rsid w:val="00D31DF1"/>
    <w:rsid w:val="00D32F70"/>
    <w:rsid w:val="00D347B3"/>
    <w:rsid w:val="00D421BC"/>
    <w:rsid w:val="00D57EAA"/>
    <w:rsid w:val="00D607D9"/>
    <w:rsid w:val="00D639D6"/>
    <w:rsid w:val="00D640A3"/>
    <w:rsid w:val="00D64A1A"/>
    <w:rsid w:val="00D84B66"/>
    <w:rsid w:val="00D8561C"/>
    <w:rsid w:val="00D90F72"/>
    <w:rsid w:val="00D916CC"/>
    <w:rsid w:val="00D91F50"/>
    <w:rsid w:val="00DA7332"/>
    <w:rsid w:val="00DB2A52"/>
    <w:rsid w:val="00DB4C39"/>
    <w:rsid w:val="00DC3C22"/>
    <w:rsid w:val="00DC4F7D"/>
    <w:rsid w:val="00DC6F31"/>
    <w:rsid w:val="00DD1090"/>
    <w:rsid w:val="00DD2003"/>
    <w:rsid w:val="00DE3DC5"/>
    <w:rsid w:val="00DE641B"/>
    <w:rsid w:val="00DE6EB2"/>
    <w:rsid w:val="00DE7997"/>
    <w:rsid w:val="00DF0B10"/>
    <w:rsid w:val="00DF0F23"/>
    <w:rsid w:val="00DF452C"/>
    <w:rsid w:val="00E01EFE"/>
    <w:rsid w:val="00E03C63"/>
    <w:rsid w:val="00E053B4"/>
    <w:rsid w:val="00E23932"/>
    <w:rsid w:val="00E3120E"/>
    <w:rsid w:val="00E55738"/>
    <w:rsid w:val="00E71AD2"/>
    <w:rsid w:val="00E72414"/>
    <w:rsid w:val="00E86246"/>
    <w:rsid w:val="00EA384F"/>
    <w:rsid w:val="00EA5EE2"/>
    <w:rsid w:val="00EA6286"/>
    <w:rsid w:val="00EB1ABA"/>
    <w:rsid w:val="00EB4304"/>
    <w:rsid w:val="00EB6424"/>
    <w:rsid w:val="00EC5313"/>
    <w:rsid w:val="00ED3F14"/>
    <w:rsid w:val="00EE1A9B"/>
    <w:rsid w:val="00EE3311"/>
    <w:rsid w:val="00EF494C"/>
    <w:rsid w:val="00EF75B4"/>
    <w:rsid w:val="00EF7DDB"/>
    <w:rsid w:val="00F0295B"/>
    <w:rsid w:val="00F12168"/>
    <w:rsid w:val="00F177B5"/>
    <w:rsid w:val="00F27979"/>
    <w:rsid w:val="00F3308F"/>
    <w:rsid w:val="00F34DCB"/>
    <w:rsid w:val="00F64063"/>
    <w:rsid w:val="00F7072A"/>
    <w:rsid w:val="00F74F45"/>
    <w:rsid w:val="00F83861"/>
    <w:rsid w:val="00F96003"/>
    <w:rsid w:val="00FC4C8E"/>
    <w:rsid w:val="00FD5F6E"/>
    <w:rsid w:val="00FE1127"/>
    <w:rsid w:val="00FE1400"/>
    <w:rsid w:val="00FF54AE"/>
    <w:rsid w:val="00FF6F25"/>
    <w:rsid w:val="00FF7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F6EE"/>
  <w15:chartTrackingRefBased/>
  <w15:docId w15:val="{05C9AE95-328E-4D7F-B6DC-3E5AB324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127"/>
    <w:pPr>
      <w:spacing w:after="200" w:line="276" w:lineRule="auto"/>
    </w:pPr>
    <w:rPr>
      <w:rFonts w:ascii="Arial" w:hAnsi="Arial"/>
      <w:sz w:val="20"/>
    </w:rPr>
  </w:style>
  <w:style w:type="paragraph" w:styleId="Heading1">
    <w:name w:val="heading 1"/>
    <w:basedOn w:val="Normal"/>
    <w:next w:val="Normal"/>
    <w:link w:val="Heading1Char"/>
    <w:uiPriority w:val="9"/>
    <w:qFormat/>
    <w:rsid w:val="006A6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5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F49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Document Heading 2"/>
    <w:basedOn w:val="Heading3"/>
    <w:next w:val="Normal"/>
    <w:link w:val="Heading4Char"/>
    <w:autoRedefine/>
    <w:uiPriority w:val="9"/>
    <w:unhideWhenUsed/>
    <w:qFormat/>
    <w:rsid w:val="00EF494C"/>
    <w:pPr>
      <w:keepNext w:val="0"/>
      <w:keepLines w:val="0"/>
      <w:spacing w:before="0" w:after="200" w:line="269" w:lineRule="auto"/>
      <w:outlineLvl w:val="3"/>
    </w:pPr>
    <w:rPr>
      <w:rFonts w:ascii="Arial" w:eastAsiaTheme="minorHAnsi" w:hAnsi="Arial" w:cs="Arial"/>
      <w:b/>
      <w:color w:val="002D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
    <w:basedOn w:val="Normal"/>
    <w:link w:val="NoSpacingChar"/>
    <w:uiPriority w:val="1"/>
    <w:qFormat/>
    <w:rsid w:val="00FE1127"/>
    <w:pPr>
      <w:spacing w:line="269" w:lineRule="auto"/>
    </w:pPr>
    <w:rPr>
      <w:rFonts w:cs="Arial"/>
    </w:rPr>
  </w:style>
  <w:style w:type="character" w:customStyle="1" w:styleId="NoSpacingChar">
    <w:name w:val="No Spacing Char"/>
    <w:aliases w:val="Body text Char"/>
    <w:basedOn w:val="DefaultParagraphFont"/>
    <w:link w:val="NoSpacing"/>
    <w:uiPriority w:val="1"/>
    <w:rsid w:val="00FE1127"/>
    <w:rPr>
      <w:rFonts w:ascii="Arial" w:hAnsi="Arial" w:cs="Arial"/>
      <w:sz w:val="20"/>
    </w:rPr>
  </w:style>
  <w:style w:type="paragraph" w:customStyle="1" w:styleId="Bulletlist">
    <w:name w:val="Bullet list"/>
    <w:basedOn w:val="NoSpacing"/>
    <w:link w:val="BulletlistChar"/>
    <w:qFormat/>
    <w:rsid w:val="00FE1127"/>
    <w:pPr>
      <w:numPr>
        <w:numId w:val="1"/>
      </w:numPr>
      <w:spacing w:after="120"/>
    </w:pPr>
  </w:style>
  <w:style w:type="character" w:customStyle="1" w:styleId="BulletlistChar">
    <w:name w:val="Bullet list Char"/>
    <w:basedOn w:val="NoSpacingChar"/>
    <w:link w:val="Bulletlist"/>
    <w:rsid w:val="00FE1127"/>
    <w:rPr>
      <w:rFonts w:ascii="Arial" w:hAnsi="Arial" w:cs="Arial"/>
      <w:sz w:val="20"/>
    </w:rPr>
  </w:style>
  <w:style w:type="character" w:customStyle="1" w:styleId="Heading4Char">
    <w:name w:val="Heading 4 Char"/>
    <w:aliases w:val="Document Heading 2 Char"/>
    <w:basedOn w:val="DefaultParagraphFont"/>
    <w:link w:val="Heading4"/>
    <w:uiPriority w:val="9"/>
    <w:rsid w:val="00EF494C"/>
    <w:rPr>
      <w:rFonts w:ascii="Arial" w:hAnsi="Arial" w:cs="Arial"/>
      <w:b/>
      <w:color w:val="002D62"/>
      <w:sz w:val="24"/>
      <w:szCs w:val="24"/>
    </w:rPr>
  </w:style>
  <w:style w:type="paragraph" w:styleId="FootnoteText">
    <w:name w:val="footnote text"/>
    <w:basedOn w:val="Normal"/>
    <w:link w:val="FootnoteTextChar"/>
    <w:uiPriority w:val="99"/>
    <w:unhideWhenUsed/>
    <w:rsid w:val="00EF494C"/>
    <w:pPr>
      <w:spacing w:after="0" w:line="240" w:lineRule="auto"/>
    </w:pPr>
    <w:rPr>
      <w:szCs w:val="20"/>
    </w:rPr>
  </w:style>
  <w:style w:type="character" w:customStyle="1" w:styleId="FootnoteTextChar">
    <w:name w:val="Footnote Text Char"/>
    <w:basedOn w:val="DefaultParagraphFont"/>
    <w:link w:val="FootnoteText"/>
    <w:uiPriority w:val="99"/>
    <w:rsid w:val="00EF494C"/>
    <w:rPr>
      <w:rFonts w:ascii="Arial" w:hAnsi="Arial"/>
      <w:sz w:val="20"/>
      <w:szCs w:val="20"/>
    </w:rPr>
  </w:style>
  <w:style w:type="character" w:styleId="FootnoteReference">
    <w:name w:val="footnote reference"/>
    <w:basedOn w:val="DefaultParagraphFont"/>
    <w:uiPriority w:val="99"/>
    <w:semiHidden/>
    <w:unhideWhenUsed/>
    <w:rsid w:val="00EF494C"/>
    <w:rPr>
      <w:vertAlign w:val="superscript"/>
    </w:rPr>
  </w:style>
  <w:style w:type="character" w:customStyle="1" w:styleId="Heading3Char">
    <w:name w:val="Heading 3 Char"/>
    <w:basedOn w:val="DefaultParagraphFont"/>
    <w:link w:val="Heading3"/>
    <w:uiPriority w:val="9"/>
    <w:semiHidden/>
    <w:rsid w:val="00EF494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B7CE2"/>
    <w:rPr>
      <w:color w:val="0563C1" w:themeColor="hyperlink"/>
      <w:u w:val="single"/>
    </w:rPr>
  </w:style>
  <w:style w:type="paragraph" w:styleId="ListParagraph">
    <w:name w:val="List Paragraph"/>
    <w:aliases w:val="Recommendation,List Paragraph1,List Paragraph11,List Paragraph*,Dot Point,#List Paragraph,L,Bullet point,List Paragraph111,F5 List Paragraph,Dot pt,CV text,Table text,Medium Grid 1 - Accent 21,Numbered Paragraph,List Paragraph2,FooterText"/>
    <w:basedOn w:val="Normal"/>
    <w:link w:val="ListParagraphChar"/>
    <w:uiPriority w:val="34"/>
    <w:qFormat/>
    <w:rsid w:val="006B7CE2"/>
    <w:pPr>
      <w:ind w:left="720"/>
      <w:contextualSpacing/>
    </w:pPr>
  </w:style>
  <w:style w:type="paragraph" w:styleId="EndnoteText">
    <w:name w:val="endnote text"/>
    <w:basedOn w:val="Normal"/>
    <w:link w:val="EndnoteTextChar"/>
    <w:uiPriority w:val="99"/>
    <w:unhideWhenUsed/>
    <w:rsid w:val="00293387"/>
    <w:pPr>
      <w:spacing w:after="0" w:line="240" w:lineRule="auto"/>
    </w:pPr>
    <w:rPr>
      <w:szCs w:val="20"/>
    </w:rPr>
  </w:style>
  <w:style w:type="character" w:customStyle="1" w:styleId="EndnoteTextChar">
    <w:name w:val="Endnote Text Char"/>
    <w:basedOn w:val="DefaultParagraphFont"/>
    <w:link w:val="EndnoteText"/>
    <w:uiPriority w:val="99"/>
    <w:rsid w:val="00293387"/>
    <w:rPr>
      <w:rFonts w:ascii="Arial" w:hAnsi="Arial"/>
      <w:sz w:val="20"/>
      <w:szCs w:val="20"/>
    </w:rPr>
  </w:style>
  <w:style w:type="character" w:styleId="EndnoteReference">
    <w:name w:val="endnote reference"/>
    <w:basedOn w:val="DefaultParagraphFont"/>
    <w:uiPriority w:val="99"/>
    <w:semiHidden/>
    <w:unhideWhenUsed/>
    <w:rsid w:val="00293387"/>
    <w:rPr>
      <w:vertAlign w:val="superscript"/>
    </w:rPr>
  </w:style>
  <w:style w:type="character" w:styleId="FollowedHyperlink">
    <w:name w:val="FollowedHyperlink"/>
    <w:basedOn w:val="DefaultParagraphFont"/>
    <w:uiPriority w:val="99"/>
    <w:semiHidden/>
    <w:unhideWhenUsed/>
    <w:rsid w:val="00861319"/>
    <w:rPr>
      <w:color w:val="954F72" w:themeColor="followedHyperlink"/>
      <w:u w:val="single"/>
    </w:rPr>
  </w:style>
  <w:style w:type="character" w:customStyle="1" w:styleId="Heading2Char">
    <w:name w:val="Heading 2 Char"/>
    <w:basedOn w:val="DefaultParagraphFont"/>
    <w:link w:val="Heading2"/>
    <w:uiPriority w:val="9"/>
    <w:rsid w:val="005C053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64CA7"/>
    <w:rPr>
      <w:sz w:val="16"/>
      <w:szCs w:val="16"/>
    </w:rPr>
  </w:style>
  <w:style w:type="paragraph" w:styleId="CommentText">
    <w:name w:val="annotation text"/>
    <w:basedOn w:val="Normal"/>
    <w:link w:val="CommentTextChar"/>
    <w:uiPriority w:val="99"/>
    <w:unhideWhenUsed/>
    <w:rsid w:val="00864CA7"/>
    <w:pPr>
      <w:spacing w:line="240" w:lineRule="auto"/>
    </w:pPr>
    <w:rPr>
      <w:szCs w:val="20"/>
    </w:rPr>
  </w:style>
  <w:style w:type="character" w:customStyle="1" w:styleId="CommentTextChar">
    <w:name w:val="Comment Text Char"/>
    <w:basedOn w:val="DefaultParagraphFont"/>
    <w:link w:val="CommentText"/>
    <w:uiPriority w:val="99"/>
    <w:rsid w:val="00864C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4CA7"/>
    <w:rPr>
      <w:b/>
      <w:bCs/>
    </w:rPr>
  </w:style>
  <w:style w:type="character" w:customStyle="1" w:styleId="CommentSubjectChar">
    <w:name w:val="Comment Subject Char"/>
    <w:basedOn w:val="CommentTextChar"/>
    <w:link w:val="CommentSubject"/>
    <w:uiPriority w:val="99"/>
    <w:semiHidden/>
    <w:rsid w:val="00864CA7"/>
    <w:rPr>
      <w:rFonts w:ascii="Arial" w:hAnsi="Arial"/>
      <w:b/>
      <w:bCs/>
      <w:sz w:val="20"/>
      <w:szCs w:val="20"/>
    </w:rPr>
  </w:style>
  <w:style w:type="paragraph" w:styleId="BalloonText">
    <w:name w:val="Balloon Text"/>
    <w:basedOn w:val="Normal"/>
    <w:link w:val="BalloonTextChar"/>
    <w:uiPriority w:val="99"/>
    <w:semiHidden/>
    <w:unhideWhenUsed/>
    <w:rsid w:val="0086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A7"/>
    <w:rPr>
      <w:rFonts w:ascii="Segoe UI" w:hAnsi="Segoe UI" w:cs="Segoe UI"/>
      <w:sz w:val="18"/>
      <w:szCs w:val="18"/>
    </w:rPr>
  </w:style>
  <w:style w:type="character" w:customStyle="1" w:styleId="Heading1Char">
    <w:name w:val="Heading 1 Char"/>
    <w:basedOn w:val="DefaultParagraphFont"/>
    <w:link w:val="Heading1"/>
    <w:uiPriority w:val="9"/>
    <w:rsid w:val="006A6FC5"/>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F0295B"/>
    <w:pPr>
      <w:spacing w:after="160" w:line="259" w:lineRule="auto"/>
      <w:ind w:left="567" w:right="662"/>
    </w:pPr>
    <w:rPr>
      <w:rFonts w:cs="Arial"/>
      <w:sz w:val="24"/>
      <w:szCs w:val="24"/>
    </w:rPr>
  </w:style>
  <w:style w:type="character" w:customStyle="1" w:styleId="QuoteChar">
    <w:name w:val="Quote Char"/>
    <w:basedOn w:val="DefaultParagraphFont"/>
    <w:link w:val="Quote"/>
    <w:uiPriority w:val="29"/>
    <w:rsid w:val="00F0295B"/>
    <w:rPr>
      <w:rFonts w:ascii="Arial" w:hAnsi="Arial" w:cs="Arial"/>
      <w:sz w:val="24"/>
      <w:szCs w:val="24"/>
    </w:rPr>
  </w:style>
  <w:style w:type="paragraph" w:customStyle="1" w:styleId="Default">
    <w:name w:val="Default"/>
    <w:rsid w:val="00F0295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Recommendation Char,List Paragraph1 Char,List Paragraph11 Char,List Paragraph* Char,Dot Point Char,#List Paragraph Char,L Char,Bullet point Char,List Paragraph111 Char,F5 List Paragraph Char,Dot pt Char,CV text Char,Table text Char"/>
    <w:basedOn w:val="DefaultParagraphFont"/>
    <w:link w:val="ListParagraph"/>
    <w:uiPriority w:val="34"/>
    <w:qFormat/>
    <w:rsid w:val="00F0295B"/>
    <w:rPr>
      <w:rFonts w:ascii="Arial" w:hAnsi="Arial"/>
      <w:sz w:val="20"/>
    </w:rPr>
  </w:style>
  <w:style w:type="paragraph" w:customStyle="1" w:styleId="BodyText1">
    <w:name w:val="Body Text1"/>
    <w:basedOn w:val="Normal"/>
    <w:qFormat/>
    <w:rsid w:val="00007910"/>
    <w:pPr>
      <w:widowControl w:val="0"/>
      <w:suppressAutoHyphens/>
      <w:autoSpaceDE w:val="0"/>
      <w:autoSpaceDN w:val="0"/>
      <w:adjustRightInd w:val="0"/>
      <w:spacing w:before="120" w:after="233" w:line="360" w:lineRule="auto"/>
      <w:textAlignment w:val="center"/>
    </w:pPr>
    <w:rPr>
      <w:rFonts w:eastAsiaTheme="minorEastAsia" w:cs="ArialMT"/>
      <w:color w:val="000000"/>
      <w:sz w:val="24"/>
      <w:szCs w:val="20"/>
      <w:lang w:val="en-GB" w:eastAsia="ja-JP"/>
    </w:rPr>
  </w:style>
  <w:style w:type="character" w:styleId="Strong">
    <w:name w:val="Strong"/>
    <w:basedOn w:val="DefaultParagraphFont"/>
    <w:uiPriority w:val="22"/>
    <w:qFormat/>
    <w:rsid w:val="00587CDE"/>
    <w:rPr>
      <w:b/>
      <w:bCs/>
    </w:rPr>
  </w:style>
  <w:style w:type="paragraph" w:styleId="Header">
    <w:name w:val="header"/>
    <w:basedOn w:val="Normal"/>
    <w:link w:val="HeaderChar"/>
    <w:uiPriority w:val="99"/>
    <w:unhideWhenUsed/>
    <w:rsid w:val="00E03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63"/>
    <w:rPr>
      <w:rFonts w:ascii="Arial" w:hAnsi="Arial"/>
      <w:sz w:val="20"/>
    </w:rPr>
  </w:style>
  <w:style w:type="paragraph" w:styleId="Footer">
    <w:name w:val="footer"/>
    <w:basedOn w:val="Normal"/>
    <w:link w:val="FooterChar"/>
    <w:uiPriority w:val="99"/>
    <w:unhideWhenUsed/>
    <w:rsid w:val="00E03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63"/>
    <w:rPr>
      <w:rFonts w:ascii="Arial" w:hAnsi="Arial"/>
      <w:sz w:val="20"/>
    </w:rPr>
  </w:style>
  <w:style w:type="paragraph" w:styleId="NormalWeb">
    <w:name w:val="Normal (Web)"/>
    <w:basedOn w:val="Normal"/>
    <w:uiPriority w:val="99"/>
    <w:rsid w:val="009E0E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0EE8"/>
    <w:rPr>
      <w:i/>
      <w:iCs/>
    </w:rPr>
  </w:style>
  <w:style w:type="paragraph" w:customStyle="1" w:styleId="EndNoteBibliography">
    <w:name w:val="EndNote Bibliography"/>
    <w:basedOn w:val="Normal"/>
    <w:link w:val="EndNoteBibliographyChar"/>
    <w:rsid w:val="004E3EE2"/>
    <w:pPr>
      <w:spacing w:before="240" w:after="240" w:line="240" w:lineRule="auto"/>
    </w:pPr>
    <w:rPr>
      <w:rFonts w:eastAsia="Calibri" w:cs="Arial"/>
      <w:noProof/>
      <w:w w:val="105"/>
      <w:kern w:val="40"/>
      <w:sz w:val="24"/>
      <w:szCs w:val="24"/>
      <w:lang w:val="en-US"/>
    </w:rPr>
  </w:style>
  <w:style w:type="character" w:customStyle="1" w:styleId="EndNoteBibliographyChar">
    <w:name w:val="EndNote Bibliography Char"/>
    <w:basedOn w:val="FootnoteTextChar"/>
    <w:link w:val="EndNoteBibliography"/>
    <w:rsid w:val="004E3EE2"/>
    <w:rPr>
      <w:rFonts w:ascii="Arial" w:eastAsia="Calibri" w:hAnsi="Arial" w:cs="Arial"/>
      <w:noProof/>
      <w:w w:val="105"/>
      <w:kern w:val="40"/>
      <w:sz w:val="24"/>
      <w:szCs w:val="24"/>
      <w:lang w:val="en-US"/>
    </w:rPr>
  </w:style>
  <w:style w:type="character" w:customStyle="1" w:styleId="UnresolvedMention1">
    <w:name w:val="Unresolved Mention1"/>
    <w:basedOn w:val="DefaultParagraphFont"/>
    <w:uiPriority w:val="99"/>
    <w:semiHidden/>
    <w:unhideWhenUsed/>
    <w:rsid w:val="00BD642C"/>
    <w:rPr>
      <w:color w:val="605E5C"/>
      <w:shd w:val="clear" w:color="auto" w:fill="E1DFDD"/>
    </w:rPr>
  </w:style>
  <w:style w:type="character" w:customStyle="1" w:styleId="nlmyear">
    <w:name w:val="nlm_year"/>
    <w:basedOn w:val="DefaultParagraphFont"/>
    <w:rsid w:val="00EB6424"/>
  </w:style>
  <w:style w:type="character" w:customStyle="1" w:styleId="nlmarticle-title">
    <w:name w:val="nlm_article-title"/>
    <w:basedOn w:val="DefaultParagraphFont"/>
    <w:rsid w:val="00EB6424"/>
  </w:style>
  <w:style w:type="character" w:customStyle="1" w:styleId="nlmfpage">
    <w:name w:val="nlm_fpage"/>
    <w:basedOn w:val="DefaultParagraphFont"/>
    <w:rsid w:val="00EB6424"/>
  </w:style>
  <w:style w:type="character" w:customStyle="1" w:styleId="nlmlpage">
    <w:name w:val="nlm_lpage"/>
    <w:basedOn w:val="DefaultParagraphFont"/>
    <w:rsid w:val="00EB6424"/>
  </w:style>
  <w:style w:type="character" w:styleId="UnresolvedMention">
    <w:name w:val="Unresolved Mention"/>
    <w:basedOn w:val="DefaultParagraphFont"/>
    <w:uiPriority w:val="99"/>
    <w:semiHidden/>
    <w:unhideWhenUsed/>
    <w:rsid w:val="0099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763">
      <w:bodyDiv w:val="1"/>
      <w:marLeft w:val="0"/>
      <w:marRight w:val="0"/>
      <w:marTop w:val="0"/>
      <w:marBottom w:val="0"/>
      <w:divBdr>
        <w:top w:val="none" w:sz="0" w:space="0" w:color="auto"/>
        <w:left w:val="none" w:sz="0" w:space="0" w:color="auto"/>
        <w:bottom w:val="none" w:sz="0" w:space="0" w:color="auto"/>
        <w:right w:val="none" w:sz="0" w:space="0" w:color="auto"/>
      </w:divBdr>
    </w:div>
    <w:div w:id="139155940">
      <w:bodyDiv w:val="1"/>
      <w:marLeft w:val="0"/>
      <w:marRight w:val="0"/>
      <w:marTop w:val="0"/>
      <w:marBottom w:val="0"/>
      <w:divBdr>
        <w:top w:val="none" w:sz="0" w:space="0" w:color="auto"/>
        <w:left w:val="none" w:sz="0" w:space="0" w:color="auto"/>
        <w:bottom w:val="none" w:sz="0" w:space="0" w:color="auto"/>
        <w:right w:val="none" w:sz="0" w:space="0" w:color="auto"/>
      </w:divBdr>
    </w:div>
    <w:div w:id="229342808">
      <w:bodyDiv w:val="1"/>
      <w:marLeft w:val="0"/>
      <w:marRight w:val="0"/>
      <w:marTop w:val="0"/>
      <w:marBottom w:val="0"/>
      <w:divBdr>
        <w:top w:val="none" w:sz="0" w:space="0" w:color="auto"/>
        <w:left w:val="none" w:sz="0" w:space="0" w:color="auto"/>
        <w:bottom w:val="none" w:sz="0" w:space="0" w:color="auto"/>
        <w:right w:val="none" w:sz="0" w:space="0" w:color="auto"/>
      </w:divBdr>
    </w:div>
    <w:div w:id="272713964">
      <w:bodyDiv w:val="1"/>
      <w:marLeft w:val="0"/>
      <w:marRight w:val="0"/>
      <w:marTop w:val="0"/>
      <w:marBottom w:val="0"/>
      <w:divBdr>
        <w:top w:val="none" w:sz="0" w:space="0" w:color="auto"/>
        <w:left w:val="none" w:sz="0" w:space="0" w:color="auto"/>
        <w:bottom w:val="none" w:sz="0" w:space="0" w:color="auto"/>
        <w:right w:val="none" w:sz="0" w:space="0" w:color="auto"/>
      </w:divBdr>
    </w:div>
    <w:div w:id="433523922">
      <w:bodyDiv w:val="1"/>
      <w:marLeft w:val="0"/>
      <w:marRight w:val="0"/>
      <w:marTop w:val="0"/>
      <w:marBottom w:val="0"/>
      <w:divBdr>
        <w:top w:val="none" w:sz="0" w:space="0" w:color="auto"/>
        <w:left w:val="none" w:sz="0" w:space="0" w:color="auto"/>
        <w:bottom w:val="none" w:sz="0" w:space="0" w:color="auto"/>
        <w:right w:val="none" w:sz="0" w:space="0" w:color="auto"/>
      </w:divBdr>
    </w:div>
    <w:div w:id="456607944">
      <w:bodyDiv w:val="1"/>
      <w:marLeft w:val="0"/>
      <w:marRight w:val="0"/>
      <w:marTop w:val="0"/>
      <w:marBottom w:val="0"/>
      <w:divBdr>
        <w:top w:val="none" w:sz="0" w:space="0" w:color="auto"/>
        <w:left w:val="none" w:sz="0" w:space="0" w:color="auto"/>
        <w:bottom w:val="none" w:sz="0" w:space="0" w:color="auto"/>
        <w:right w:val="none" w:sz="0" w:space="0" w:color="auto"/>
      </w:divBdr>
      <w:divsChild>
        <w:div w:id="53048009">
          <w:marLeft w:val="0"/>
          <w:marRight w:val="0"/>
          <w:marTop w:val="0"/>
          <w:marBottom w:val="0"/>
          <w:divBdr>
            <w:top w:val="none" w:sz="0" w:space="0" w:color="auto"/>
            <w:left w:val="none" w:sz="0" w:space="0" w:color="auto"/>
            <w:bottom w:val="none" w:sz="0" w:space="0" w:color="auto"/>
            <w:right w:val="none" w:sz="0" w:space="0" w:color="auto"/>
          </w:divBdr>
        </w:div>
        <w:div w:id="293679538">
          <w:marLeft w:val="0"/>
          <w:marRight w:val="0"/>
          <w:marTop w:val="0"/>
          <w:marBottom w:val="0"/>
          <w:divBdr>
            <w:top w:val="none" w:sz="0" w:space="0" w:color="auto"/>
            <w:left w:val="none" w:sz="0" w:space="0" w:color="auto"/>
            <w:bottom w:val="none" w:sz="0" w:space="0" w:color="auto"/>
            <w:right w:val="none" w:sz="0" w:space="0" w:color="auto"/>
          </w:divBdr>
        </w:div>
        <w:div w:id="320930125">
          <w:marLeft w:val="0"/>
          <w:marRight w:val="0"/>
          <w:marTop w:val="0"/>
          <w:marBottom w:val="0"/>
          <w:divBdr>
            <w:top w:val="none" w:sz="0" w:space="0" w:color="auto"/>
            <w:left w:val="none" w:sz="0" w:space="0" w:color="auto"/>
            <w:bottom w:val="none" w:sz="0" w:space="0" w:color="auto"/>
            <w:right w:val="none" w:sz="0" w:space="0" w:color="auto"/>
          </w:divBdr>
        </w:div>
        <w:div w:id="336734331">
          <w:marLeft w:val="0"/>
          <w:marRight w:val="0"/>
          <w:marTop w:val="0"/>
          <w:marBottom w:val="0"/>
          <w:divBdr>
            <w:top w:val="none" w:sz="0" w:space="0" w:color="auto"/>
            <w:left w:val="none" w:sz="0" w:space="0" w:color="auto"/>
            <w:bottom w:val="none" w:sz="0" w:space="0" w:color="auto"/>
            <w:right w:val="none" w:sz="0" w:space="0" w:color="auto"/>
          </w:divBdr>
        </w:div>
        <w:div w:id="528957458">
          <w:marLeft w:val="0"/>
          <w:marRight w:val="0"/>
          <w:marTop w:val="0"/>
          <w:marBottom w:val="0"/>
          <w:divBdr>
            <w:top w:val="none" w:sz="0" w:space="0" w:color="auto"/>
            <w:left w:val="none" w:sz="0" w:space="0" w:color="auto"/>
            <w:bottom w:val="none" w:sz="0" w:space="0" w:color="auto"/>
            <w:right w:val="none" w:sz="0" w:space="0" w:color="auto"/>
          </w:divBdr>
        </w:div>
        <w:div w:id="938370053">
          <w:marLeft w:val="0"/>
          <w:marRight w:val="0"/>
          <w:marTop w:val="0"/>
          <w:marBottom w:val="0"/>
          <w:divBdr>
            <w:top w:val="none" w:sz="0" w:space="0" w:color="auto"/>
            <w:left w:val="none" w:sz="0" w:space="0" w:color="auto"/>
            <w:bottom w:val="none" w:sz="0" w:space="0" w:color="auto"/>
            <w:right w:val="none" w:sz="0" w:space="0" w:color="auto"/>
          </w:divBdr>
        </w:div>
        <w:div w:id="1201358053">
          <w:marLeft w:val="0"/>
          <w:marRight w:val="0"/>
          <w:marTop w:val="0"/>
          <w:marBottom w:val="0"/>
          <w:divBdr>
            <w:top w:val="none" w:sz="0" w:space="0" w:color="auto"/>
            <w:left w:val="none" w:sz="0" w:space="0" w:color="auto"/>
            <w:bottom w:val="none" w:sz="0" w:space="0" w:color="auto"/>
            <w:right w:val="none" w:sz="0" w:space="0" w:color="auto"/>
          </w:divBdr>
        </w:div>
        <w:div w:id="1455948477">
          <w:marLeft w:val="0"/>
          <w:marRight w:val="0"/>
          <w:marTop w:val="0"/>
          <w:marBottom w:val="0"/>
          <w:divBdr>
            <w:top w:val="none" w:sz="0" w:space="0" w:color="auto"/>
            <w:left w:val="none" w:sz="0" w:space="0" w:color="auto"/>
            <w:bottom w:val="none" w:sz="0" w:space="0" w:color="auto"/>
            <w:right w:val="none" w:sz="0" w:space="0" w:color="auto"/>
          </w:divBdr>
        </w:div>
        <w:div w:id="1802069207">
          <w:marLeft w:val="0"/>
          <w:marRight w:val="0"/>
          <w:marTop w:val="0"/>
          <w:marBottom w:val="0"/>
          <w:divBdr>
            <w:top w:val="none" w:sz="0" w:space="0" w:color="auto"/>
            <w:left w:val="none" w:sz="0" w:space="0" w:color="auto"/>
            <w:bottom w:val="none" w:sz="0" w:space="0" w:color="auto"/>
            <w:right w:val="none" w:sz="0" w:space="0" w:color="auto"/>
          </w:divBdr>
        </w:div>
      </w:divsChild>
    </w:div>
    <w:div w:id="586887206">
      <w:bodyDiv w:val="1"/>
      <w:marLeft w:val="0"/>
      <w:marRight w:val="0"/>
      <w:marTop w:val="0"/>
      <w:marBottom w:val="0"/>
      <w:divBdr>
        <w:top w:val="none" w:sz="0" w:space="0" w:color="auto"/>
        <w:left w:val="none" w:sz="0" w:space="0" w:color="auto"/>
        <w:bottom w:val="none" w:sz="0" w:space="0" w:color="auto"/>
        <w:right w:val="none" w:sz="0" w:space="0" w:color="auto"/>
      </w:divBdr>
    </w:div>
    <w:div w:id="736316580">
      <w:bodyDiv w:val="1"/>
      <w:marLeft w:val="0"/>
      <w:marRight w:val="0"/>
      <w:marTop w:val="0"/>
      <w:marBottom w:val="0"/>
      <w:divBdr>
        <w:top w:val="none" w:sz="0" w:space="0" w:color="auto"/>
        <w:left w:val="none" w:sz="0" w:space="0" w:color="auto"/>
        <w:bottom w:val="none" w:sz="0" w:space="0" w:color="auto"/>
        <w:right w:val="none" w:sz="0" w:space="0" w:color="auto"/>
      </w:divBdr>
    </w:div>
    <w:div w:id="741680854">
      <w:bodyDiv w:val="1"/>
      <w:marLeft w:val="0"/>
      <w:marRight w:val="0"/>
      <w:marTop w:val="0"/>
      <w:marBottom w:val="0"/>
      <w:divBdr>
        <w:top w:val="none" w:sz="0" w:space="0" w:color="auto"/>
        <w:left w:val="none" w:sz="0" w:space="0" w:color="auto"/>
        <w:bottom w:val="none" w:sz="0" w:space="0" w:color="auto"/>
        <w:right w:val="none" w:sz="0" w:space="0" w:color="auto"/>
      </w:divBdr>
    </w:div>
    <w:div w:id="787503216">
      <w:bodyDiv w:val="1"/>
      <w:marLeft w:val="0"/>
      <w:marRight w:val="0"/>
      <w:marTop w:val="0"/>
      <w:marBottom w:val="0"/>
      <w:divBdr>
        <w:top w:val="none" w:sz="0" w:space="0" w:color="auto"/>
        <w:left w:val="none" w:sz="0" w:space="0" w:color="auto"/>
        <w:bottom w:val="none" w:sz="0" w:space="0" w:color="auto"/>
        <w:right w:val="none" w:sz="0" w:space="0" w:color="auto"/>
      </w:divBdr>
    </w:div>
    <w:div w:id="859121429">
      <w:bodyDiv w:val="1"/>
      <w:marLeft w:val="0"/>
      <w:marRight w:val="0"/>
      <w:marTop w:val="0"/>
      <w:marBottom w:val="0"/>
      <w:divBdr>
        <w:top w:val="none" w:sz="0" w:space="0" w:color="auto"/>
        <w:left w:val="none" w:sz="0" w:space="0" w:color="auto"/>
        <w:bottom w:val="none" w:sz="0" w:space="0" w:color="auto"/>
        <w:right w:val="none" w:sz="0" w:space="0" w:color="auto"/>
      </w:divBdr>
    </w:div>
    <w:div w:id="919948471">
      <w:bodyDiv w:val="1"/>
      <w:marLeft w:val="0"/>
      <w:marRight w:val="0"/>
      <w:marTop w:val="0"/>
      <w:marBottom w:val="0"/>
      <w:divBdr>
        <w:top w:val="none" w:sz="0" w:space="0" w:color="auto"/>
        <w:left w:val="none" w:sz="0" w:space="0" w:color="auto"/>
        <w:bottom w:val="none" w:sz="0" w:space="0" w:color="auto"/>
        <w:right w:val="none" w:sz="0" w:space="0" w:color="auto"/>
      </w:divBdr>
    </w:div>
    <w:div w:id="1285233477">
      <w:bodyDiv w:val="1"/>
      <w:marLeft w:val="0"/>
      <w:marRight w:val="0"/>
      <w:marTop w:val="0"/>
      <w:marBottom w:val="0"/>
      <w:divBdr>
        <w:top w:val="none" w:sz="0" w:space="0" w:color="auto"/>
        <w:left w:val="none" w:sz="0" w:space="0" w:color="auto"/>
        <w:bottom w:val="none" w:sz="0" w:space="0" w:color="auto"/>
        <w:right w:val="none" w:sz="0" w:space="0" w:color="auto"/>
      </w:divBdr>
      <w:divsChild>
        <w:div w:id="31541666">
          <w:marLeft w:val="0"/>
          <w:marRight w:val="0"/>
          <w:marTop w:val="0"/>
          <w:marBottom w:val="0"/>
          <w:divBdr>
            <w:top w:val="none" w:sz="0" w:space="0" w:color="auto"/>
            <w:left w:val="none" w:sz="0" w:space="0" w:color="auto"/>
            <w:bottom w:val="none" w:sz="0" w:space="0" w:color="auto"/>
            <w:right w:val="none" w:sz="0" w:space="0" w:color="auto"/>
          </w:divBdr>
        </w:div>
        <w:div w:id="525755978">
          <w:marLeft w:val="0"/>
          <w:marRight w:val="0"/>
          <w:marTop w:val="0"/>
          <w:marBottom w:val="0"/>
          <w:divBdr>
            <w:top w:val="none" w:sz="0" w:space="0" w:color="auto"/>
            <w:left w:val="none" w:sz="0" w:space="0" w:color="auto"/>
            <w:bottom w:val="none" w:sz="0" w:space="0" w:color="auto"/>
            <w:right w:val="none" w:sz="0" w:space="0" w:color="auto"/>
          </w:divBdr>
        </w:div>
        <w:div w:id="777482812">
          <w:marLeft w:val="0"/>
          <w:marRight w:val="0"/>
          <w:marTop w:val="0"/>
          <w:marBottom w:val="0"/>
          <w:divBdr>
            <w:top w:val="none" w:sz="0" w:space="0" w:color="auto"/>
            <w:left w:val="none" w:sz="0" w:space="0" w:color="auto"/>
            <w:bottom w:val="none" w:sz="0" w:space="0" w:color="auto"/>
            <w:right w:val="none" w:sz="0" w:space="0" w:color="auto"/>
          </w:divBdr>
        </w:div>
        <w:div w:id="1064255824">
          <w:marLeft w:val="0"/>
          <w:marRight w:val="0"/>
          <w:marTop w:val="0"/>
          <w:marBottom w:val="0"/>
          <w:divBdr>
            <w:top w:val="none" w:sz="0" w:space="0" w:color="auto"/>
            <w:left w:val="none" w:sz="0" w:space="0" w:color="auto"/>
            <w:bottom w:val="none" w:sz="0" w:space="0" w:color="auto"/>
            <w:right w:val="none" w:sz="0" w:space="0" w:color="auto"/>
          </w:divBdr>
        </w:div>
        <w:div w:id="1089472137">
          <w:marLeft w:val="0"/>
          <w:marRight w:val="0"/>
          <w:marTop w:val="0"/>
          <w:marBottom w:val="0"/>
          <w:divBdr>
            <w:top w:val="none" w:sz="0" w:space="0" w:color="auto"/>
            <w:left w:val="none" w:sz="0" w:space="0" w:color="auto"/>
            <w:bottom w:val="none" w:sz="0" w:space="0" w:color="auto"/>
            <w:right w:val="none" w:sz="0" w:space="0" w:color="auto"/>
          </w:divBdr>
        </w:div>
        <w:div w:id="1144932039">
          <w:marLeft w:val="0"/>
          <w:marRight w:val="0"/>
          <w:marTop w:val="0"/>
          <w:marBottom w:val="0"/>
          <w:divBdr>
            <w:top w:val="none" w:sz="0" w:space="0" w:color="auto"/>
            <w:left w:val="none" w:sz="0" w:space="0" w:color="auto"/>
            <w:bottom w:val="none" w:sz="0" w:space="0" w:color="auto"/>
            <w:right w:val="none" w:sz="0" w:space="0" w:color="auto"/>
          </w:divBdr>
        </w:div>
        <w:div w:id="1554317989">
          <w:marLeft w:val="0"/>
          <w:marRight w:val="0"/>
          <w:marTop w:val="0"/>
          <w:marBottom w:val="0"/>
          <w:divBdr>
            <w:top w:val="none" w:sz="0" w:space="0" w:color="auto"/>
            <w:left w:val="none" w:sz="0" w:space="0" w:color="auto"/>
            <w:bottom w:val="none" w:sz="0" w:space="0" w:color="auto"/>
            <w:right w:val="none" w:sz="0" w:space="0" w:color="auto"/>
          </w:divBdr>
        </w:div>
        <w:div w:id="1563716828">
          <w:marLeft w:val="0"/>
          <w:marRight w:val="0"/>
          <w:marTop w:val="0"/>
          <w:marBottom w:val="0"/>
          <w:divBdr>
            <w:top w:val="none" w:sz="0" w:space="0" w:color="auto"/>
            <w:left w:val="none" w:sz="0" w:space="0" w:color="auto"/>
            <w:bottom w:val="none" w:sz="0" w:space="0" w:color="auto"/>
            <w:right w:val="none" w:sz="0" w:space="0" w:color="auto"/>
          </w:divBdr>
        </w:div>
        <w:div w:id="2014599002">
          <w:marLeft w:val="0"/>
          <w:marRight w:val="0"/>
          <w:marTop w:val="0"/>
          <w:marBottom w:val="0"/>
          <w:divBdr>
            <w:top w:val="none" w:sz="0" w:space="0" w:color="auto"/>
            <w:left w:val="none" w:sz="0" w:space="0" w:color="auto"/>
            <w:bottom w:val="none" w:sz="0" w:space="0" w:color="auto"/>
            <w:right w:val="none" w:sz="0" w:space="0" w:color="auto"/>
          </w:divBdr>
        </w:div>
      </w:divsChild>
    </w:div>
    <w:div w:id="167877363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sChild>
        <w:div w:id="1713842413">
          <w:marLeft w:val="0"/>
          <w:marRight w:val="0"/>
          <w:marTop w:val="0"/>
          <w:marBottom w:val="0"/>
          <w:divBdr>
            <w:top w:val="none" w:sz="0" w:space="0" w:color="auto"/>
            <w:left w:val="none" w:sz="0" w:space="0" w:color="auto"/>
            <w:bottom w:val="none" w:sz="0" w:space="0" w:color="auto"/>
            <w:right w:val="none" w:sz="0" w:space="0" w:color="auto"/>
          </w:divBdr>
        </w:div>
        <w:div w:id="299266052">
          <w:marLeft w:val="0"/>
          <w:marRight w:val="0"/>
          <w:marTop w:val="0"/>
          <w:marBottom w:val="0"/>
          <w:divBdr>
            <w:top w:val="none" w:sz="0" w:space="0" w:color="auto"/>
            <w:left w:val="none" w:sz="0" w:space="0" w:color="auto"/>
            <w:bottom w:val="none" w:sz="0" w:space="0" w:color="auto"/>
            <w:right w:val="none" w:sz="0" w:space="0" w:color="auto"/>
          </w:divBdr>
        </w:div>
      </w:divsChild>
    </w:div>
    <w:div w:id="1735464575">
      <w:bodyDiv w:val="1"/>
      <w:marLeft w:val="0"/>
      <w:marRight w:val="0"/>
      <w:marTop w:val="0"/>
      <w:marBottom w:val="0"/>
      <w:divBdr>
        <w:top w:val="none" w:sz="0" w:space="0" w:color="auto"/>
        <w:left w:val="none" w:sz="0" w:space="0" w:color="auto"/>
        <w:bottom w:val="none" w:sz="0" w:space="0" w:color="auto"/>
        <w:right w:val="none" w:sz="0" w:space="0" w:color="auto"/>
      </w:divBdr>
    </w:div>
    <w:div w:id="1786077472">
      <w:bodyDiv w:val="1"/>
      <w:marLeft w:val="0"/>
      <w:marRight w:val="0"/>
      <w:marTop w:val="0"/>
      <w:marBottom w:val="0"/>
      <w:divBdr>
        <w:top w:val="none" w:sz="0" w:space="0" w:color="auto"/>
        <w:left w:val="none" w:sz="0" w:space="0" w:color="auto"/>
        <w:bottom w:val="none" w:sz="0" w:space="0" w:color="auto"/>
        <w:right w:val="none" w:sz="0" w:space="0" w:color="auto"/>
      </w:divBdr>
      <w:divsChild>
        <w:div w:id="166790425">
          <w:marLeft w:val="0"/>
          <w:marRight w:val="0"/>
          <w:marTop w:val="0"/>
          <w:marBottom w:val="0"/>
          <w:divBdr>
            <w:top w:val="none" w:sz="0" w:space="0" w:color="auto"/>
            <w:left w:val="none" w:sz="0" w:space="0" w:color="auto"/>
            <w:bottom w:val="none" w:sz="0" w:space="0" w:color="auto"/>
            <w:right w:val="none" w:sz="0" w:space="0" w:color="auto"/>
          </w:divBdr>
        </w:div>
        <w:div w:id="280234180">
          <w:marLeft w:val="0"/>
          <w:marRight w:val="0"/>
          <w:marTop w:val="0"/>
          <w:marBottom w:val="0"/>
          <w:divBdr>
            <w:top w:val="none" w:sz="0" w:space="0" w:color="auto"/>
            <w:left w:val="none" w:sz="0" w:space="0" w:color="auto"/>
            <w:bottom w:val="none" w:sz="0" w:space="0" w:color="auto"/>
            <w:right w:val="none" w:sz="0" w:space="0" w:color="auto"/>
          </w:divBdr>
        </w:div>
        <w:div w:id="289291389">
          <w:marLeft w:val="0"/>
          <w:marRight w:val="0"/>
          <w:marTop w:val="0"/>
          <w:marBottom w:val="0"/>
          <w:divBdr>
            <w:top w:val="none" w:sz="0" w:space="0" w:color="auto"/>
            <w:left w:val="none" w:sz="0" w:space="0" w:color="auto"/>
            <w:bottom w:val="none" w:sz="0" w:space="0" w:color="auto"/>
            <w:right w:val="none" w:sz="0" w:space="0" w:color="auto"/>
          </w:divBdr>
        </w:div>
        <w:div w:id="307175275">
          <w:marLeft w:val="0"/>
          <w:marRight w:val="0"/>
          <w:marTop w:val="0"/>
          <w:marBottom w:val="0"/>
          <w:divBdr>
            <w:top w:val="none" w:sz="0" w:space="0" w:color="auto"/>
            <w:left w:val="none" w:sz="0" w:space="0" w:color="auto"/>
            <w:bottom w:val="none" w:sz="0" w:space="0" w:color="auto"/>
            <w:right w:val="none" w:sz="0" w:space="0" w:color="auto"/>
          </w:divBdr>
        </w:div>
        <w:div w:id="416707286">
          <w:marLeft w:val="0"/>
          <w:marRight w:val="0"/>
          <w:marTop w:val="0"/>
          <w:marBottom w:val="0"/>
          <w:divBdr>
            <w:top w:val="none" w:sz="0" w:space="0" w:color="auto"/>
            <w:left w:val="none" w:sz="0" w:space="0" w:color="auto"/>
            <w:bottom w:val="none" w:sz="0" w:space="0" w:color="auto"/>
            <w:right w:val="none" w:sz="0" w:space="0" w:color="auto"/>
          </w:divBdr>
        </w:div>
        <w:div w:id="647519104">
          <w:marLeft w:val="0"/>
          <w:marRight w:val="0"/>
          <w:marTop w:val="0"/>
          <w:marBottom w:val="0"/>
          <w:divBdr>
            <w:top w:val="none" w:sz="0" w:space="0" w:color="auto"/>
            <w:left w:val="none" w:sz="0" w:space="0" w:color="auto"/>
            <w:bottom w:val="none" w:sz="0" w:space="0" w:color="auto"/>
            <w:right w:val="none" w:sz="0" w:space="0" w:color="auto"/>
          </w:divBdr>
        </w:div>
        <w:div w:id="661585944">
          <w:marLeft w:val="0"/>
          <w:marRight w:val="0"/>
          <w:marTop w:val="0"/>
          <w:marBottom w:val="0"/>
          <w:divBdr>
            <w:top w:val="none" w:sz="0" w:space="0" w:color="auto"/>
            <w:left w:val="none" w:sz="0" w:space="0" w:color="auto"/>
            <w:bottom w:val="none" w:sz="0" w:space="0" w:color="auto"/>
            <w:right w:val="none" w:sz="0" w:space="0" w:color="auto"/>
          </w:divBdr>
        </w:div>
        <w:div w:id="739643133">
          <w:marLeft w:val="0"/>
          <w:marRight w:val="0"/>
          <w:marTop w:val="0"/>
          <w:marBottom w:val="0"/>
          <w:divBdr>
            <w:top w:val="none" w:sz="0" w:space="0" w:color="auto"/>
            <w:left w:val="none" w:sz="0" w:space="0" w:color="auto"/>
            <w:bottom w:val="none" w:sz="0" w:space="0" w:color="auto"/>
            <w:right w:val="none" w:sz="0" w:space="0" w:color="auto"/>
          </w:divBdr>
        </w:div>
        <w:div w:id="800196433">
          <w:marLeft w:val="0"/>
          <w:marRight w:val="0"/>
          <w:marTop w:val="0"/>
          <w:marBottom w:val="0"/>
          <w:divBdr>
            <w:top w:val="none" w:sz="0" w:space="0" w:color="auto"/>
            <w:left w:val="none" w:sz="0" w:space="0" w:color="auto"/>
            <w:bottom w:val="none" w:sz="0" w:space="0" w:color="auto"/>
            <w:right w:val="none" w:sz="0" w:space="0" w:color="auto"/>
          </w:divBdr>
        </w:div>
        <w:div w:id="838345449">
          <w:marLeft w:val="0"/>
          <w:marRight w:val="0"/>
          <w:marTop w:val="0"/>
          <w:marBottom w:val="0"/>
          <w:divBdr>
            <w:top w:val="none" w:sz="0" w:space="0" w:color="auto"/>
            <w:left w:val="none" w:sz="0" w:space="0" w:color="auto"/>
            <w:bottom w:val="none" w:sz="0" w:space="0" w:color="auto"/>
            <w:right w:val="none" w:sz="0" w:space="0" w:color="auto"/>
          </w:divBdr>
        </w:div>
        <w:div w:id="889070552">
          <w:marLeft w:val="0"/>
          <w:marRight w:val="0"/>
          <w:marTop w:val="0"/>
          <w:marBottom w:val="0"/>
          <w:divBdr>
            <w:top w:val="none" w:sz="0" w:space="0" w:color="auto"/>
            <w:left w:val="none" w:sz="0" w:space="0" w:color="auto"/>
            <w:bottom w:val="none" w:sz="0" w:space="0" w:color="auto"/>
            <w:right w:val="none" w:sz="0" w:space="0" w:color="auto"/>
          </w:divBdr>
        </w:div>
        <w:div w:id="964387873">
          <w:marLeft w:val="0"/>
          <w:marRight w:val="0"/>
          <w:marTop w:val="0"/>
          <w:marBottom w:val="0"/>
          <w:divBdr>
            <w:top w:val="none" w:sz="0" w:space="0" w:color="auto"/>
            <w:left w:val="none" w:sz="0" w:space="0" w:color="auto"/>
            <w:bottom w:val="none" w:sz="0" w:space="0" w:color="auto"/>
            <w:right w:val="none" w:sz="0" w:space="0" w:color="auto"/>
          </w:divBdr>
        </w:div>
        <w:div w:id="1150757123">
          <w:marLeft w:val="0"/>
          <w:marRight w:val="0"/>
          <w:marTop w:val="0"/>
          <w:marBottom w:val="0"/>
          <w:divBdr>
            <w:top w:val="none" w:sz="0" w:space="0" w:color="auto"/>
            <w:left w:val="none" w:sz="0" w:space="0" w:color="auto"/>
            <w:bottom w:val="none" w:sz="0" w:space="0" w:color="auto"/>
            <w:right w:val="none" w:sz="0" w:space="0" w:color="auto"/>
          </w:divBdr>
        </w:div>
        <w:div w:id="1250847918">
          <w:marLeft w:val="0"/>
          <w:marRight w:val="0"/>
          <w:marTop w:val="0"/>
          <w:marBottom w:val="0"/>
          <w:divBdr>
            <w:top w:val="none" w:sz="0" w:space="0" w:color="auto"/>
            <w:left w:val="none" w:sz="0" w:space="0" w:color="auto"/>
            <w:bottom w:val="none" w:sz="0" w:space="0" w:color="auto"/>
            <w:right w:val="none" w:sz="0" w:space="0" w:color="auto"/>
          </w:divBdr>
        </w:div>
        <w:div w:id="1380132078">
          <w:marLeft w:val="0"/>
          <w:marRight w:val="0"/>
          <w:marTop w:val="0"/>
          <w:marBottom w:val="0"/>
          <w:divBdr>
            <w:top w:val="none" w:sz="0" w:space="0" w:color="auto"/>
            <w:left w:val="none" w:sz="0" w:space="0" w:color="auto"/>
            <w:bottom w:val="none" w:sz="0" w:space="0" w:color="auto"/>
            <w:right w:val="none" w:sz="0" w:space="0" w:color="auto"/>
          </w:divBdr>
        </w:div>
        <w:div w:id="1434714454">
          <w:marLeft w:val="0"/>
          <w:marRight w:val="0"/>
          <w:marTop w:val="0"/>
          <w:marBottom w:val="0"/>
          <w:divBdr>
            <w:top w:val="none" w:sz="0" w:space="0" w:color="auto"/>
            <w:left w:val="none" w:sz="0" w:space="0" w:color="auto"/>
            <w:bottom w:val="none" w:sz="0" w:space="0" w:color="auto"/>
            <w:right w:val="none" w:sz="0" w:space="0" w:color="auto"/>
          </w:divBdr>
        </w:div>
        <w:div w:id="1461417736">
          <w:marLeft w:val="0"/>
          <w:marRight w:val="0"/>
          <w:marTop w:val="0"/>
          <w:marBottom w:val="0"/>
          <w:divBdr>
            <w:top w:val="none" w:sz="0" w:space="0" w:color="auto"/>
            <w:left w:val="none" w:sz="0" w:space="0" w:color="auto"/>
            <w:bottom w:val="none" w:sz="0" w:space="0" w:color="auto"/>
            <w:right w:val="none" w:sz="0" w:space="0" w:color="auto"/>
          </w:divBdr>
        </w:div>
        <w:div w:id="1481577897">
          <w:marLeft w:val="0"/>
          <w:marRight w:val="0"/>
          <w:marTop w:val="0"/>
          <w:marBottom w:val="0"/>
          <w:divBdr>
            <w:top w:val="none" w:sz="0" w:space="0" w:color="auto"/>
            <w:left w:val="none" w:sz="0" w:space="0" w:color="auto"/>
            <w:bottom w:val="none" w:sz="0" w:space="0" w:color="auto"/>
            <w:right w:val="none" w:sz="0" w:space="0" w:color="auto"/>
          </w:divBdr>
        </w:div>
        <w:div w:id="1560558515">
          <w:marLeft w:val="0"/>
          <w:marRight w:val="0"/>
          <w:marTop w:val="0"/>
          <w:marBottom w:val="0"/>
          <w:divBdr>
            <w:top w:val="none" w:sz="0" w:space="0" w:color="auto"/>
            <w:left w:val="none" w:sz="0" w:space="0" w:color="auto"/>
            <w:bottom w:val="none" w:sz="0" w:space="0" w:color="auto"/>
            <w:right w:val="none" w:sz="0" w:space="0" w:color="auto"/>
          </w:divBdr>
        </w:div>
        <w:div w:id="1710448232">
          <w:marLeft w:val="0"/>
          <w:marRight w:val="0"/>
          <w:marTop w:val="0"/>
          <w:marBottom w:val="0"/>
          <w:divBdr>
            <w:top w:val="none" w:sz="0" w:space="0" w:color="auto"/>
            <w:left w:val="none" w:sz="0" w:space="0" w:color="auto"/>
            <w:bottom w:val="none" w:sz="0" w:space="0" w:color="auto"/>
            <w:right w:val="none" w:sz="0" w:space="0" w:color="auto"/>
          </w:divBdr>
        </w:div>
        <w:div w:id="1711420131">
          <w:marLeft w:val="0"/>
          <w:marRight w:val="0"/>
          <w:marTop w:val="0"/>
          <w:marBottom w:val="0"/>
          <w:divBdr>
            <w:top w:val="none" w:sz="0" w:space="0" w:color="auto"/>
            <w:left w:val="none" w:sz="0" w:space="0" w:color="auto"/>
            <w:bottom w:val="none" w:sz="0" w:space="0" w:color="auto"/>
            <w:right w:val="none" w:sz="0" w:space="0" w:color="auto"/>
          </w:divBdr>
        </w:div>
        <w:div w:id="1788037650">
          <w:marLeft w:val="0"/>
          <w:marRight w:val="0"/>
          <w:marTop w:val="0"/>
          <w:marBottom w:val="0"/>
          <w:divBdr>
            <w:top w:val="none" w:sz="0" w:space="0" w:color="auto"/>
            <w:left w:val="none" w:sz="0" w:space="0" w:color="auto"/>
            <w:bottom w:val="none" w:sz="0" w:space="0" w:color="auto"/>
            <w:right w:val="none" w:sz="0" w:space="0" w:color="auto"/>
          </w:divBdr>
        </w:div>
        <w:div w:id="1874223392">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sChild>
    </w:div>
    <w:div w:id="1987781054">
      <w:bodyDiv w:val="1"/>
      <w:marLeft w:val="0"/>
      <w:marRight w:val="0"/>
      <w:marTop w:val="0"/>
      <w:marBottom w:val="0"/>
      <w:divBdr>
        <w:top w:val="none" w:sz="0" w:space="0" w:color="auto"/>
        <w:left w:val="none" w:sz="0" w:space="0" w:color="auto"/>
        <w:bottom w:val="none" w:sz="0" w:space="0" w:color="auto"/>
        <w:right w:val="none" w:sz="0" w:space="0" w:color="auto"/>
      </w:divBdr>
    </w:div>
    <w:div w:id="21451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2.ed.gov/about/offices/list/osers/transition/products/fpt-fact-sheet--work-based-eperiences--11-5-15.pdf" TargetMode="External"/><Relationship Id="rId26" Type="http://schemas.openxmlformats.org/officeDocument/2006/relationships/hyperlink" Target="https://tickettowork.org.au/media/download_resources/word/A_Rapid_Review.pdf" TargetMode="External"/><Relationship Id="rId21" Type="http://schemas.openxmlformats.org/officeDocument/2006/relationships/hyperlink" Target="https://tickettowork.org.au/media/submissions_researches_buttons/Ticket_to_Work-The_After_School_Jobs_project.pdf" TargetMode="External"/><Relationship Id="rId34" Type="http://schemas.openxmlformats.org/officeDocument/2006/relationships/hyperlink" Target="http://www.nlts2.org/reports/2005_04/nlts2_report_2005_04_complete.pdf" TargetMode="External"/><Relationship Id="rId7" Type="http://schemas.openxmlformats.org/officeDocument/2006/relationships/settings" Target="settings.xml"/><Relationship Id="rId12" Type="http://schemas.openxmlformats.org/officeDocument/2006/relationships/hyperlink" Target="https://education.vic.gov.au/about/department/Pages/vcal-pathways-review.aspx" TargetMode="External"/><Relationship Id="rId17" Type="http://schemas.openxmlformats.org/officeDocument/2006/relationships/image" Target="media/image2.png"/><Relationship Id="rId25" Type="http://schemas.openxmlformats.org/officeDocument/2006/relationships/hyperlink" Target="https://tickettowork.org.au/media/submissions_researches_buttons/Ticket_To_Work_network_anaylsis_survey.pdf" TargetMode="External"/><Relationship Id="rId33" Type="http://schemas.openxmlformats.org/officeDocument/2006/relationships/hyperlink" Target="https://disability.royalcommission.gov.au/system/files/2021-03/Public%20hearing%209%2C%20Sydney%20-%20Counsel%20Assisting%20Written%20Outline%20of%20Submissions%20-%20SUBM.0009.0003.0001.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tickettowork.org.au/media/download_resources/word/Ticket_to_Work_valuation_of_key_outcomes_Infographic.pdf" TargetMode="External"/><Relationship Id="rId29" Type="http://schemas.openxmlformats.org/officeDocument/2006/relationships/hyperlink" Target="http://www.mitchellinstitute.org.au/%20wp-content/uploads/2015/11/Educational-opportunity-in-Australia-2015-Who-succeeds-and-who-misses-out-19Nov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department/Pages/vcal-pathways-review.aspx" TargetMode="External"/><Relationship Id="rId24" Type="http://schemas.openxmlformats.org/officeDocument/2006/relationships/hyperlink" Target="https://tickettowork.org.au/media/submissions_researches_buttons/Collaboration-the-key-to-unlocking-a-successful-future-for-_4.pdf" TargetMode="External"/><Relationship Id="rId32" Type="http://schemas.openxmlformats.org/officeDocument/2006/relationships/hyperlink" Target="https://tickettowork.org.au/media/download_resources/word/A_Rapid_Review.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hw.gov.au/getmedia/ee5ee3c2-152d-4b5f-9901-71d483b47f03/aihw-dis-72.pdf.aspx?inline=true" TargetMode="External"/><Relationship Id="rId23" Type="http://schemas.openxmlformats.org/officeDocument/2006/relationships/hyperlink" Target="https://tickettowork.org.au/media/submissions_researches_buttons/Parent_engagement_in_school_to_work_transition_for_their__Q2fDoxd.pdf" TargetMode="External"/><Relationship Id="rId28" Type="http://schemas.openxmlformats.org/officeDocument/2006/relationships/hyperlink" Target="https://doi.org/10.1891/0047-2220.47.2.1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ickettowork.org.au/media/download_resources/word/Ticket_to_Work_valuation_of_key_outcomes_2021_kZJsjSS.pdf" TargetMode="External"/><Relationship Id="rId31" Type="http://schemas.openxmlformats.org/officeDocument/2006/relationships/hyperlink" Target="https://transitionta.org/sites/default/files/news/Predictors_Mazzotti_2020_CDTE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ndis.gov.au/data-downloads" TargetMode="External"/><Relationship Id="rId22" Type="http://schemas.openxmlformats.org/officeDocument/2006/relationships/hyperlink" Target="https://tickettowork.org.au/media/submissions_researches_buttons/The_employer_experience_hiring_young_people_with_intellectual.pdf" TargetMode="External"/><Relationship Id="rId27" Type="http://schemas.openxmlformats.org/officeDocument/2006/relationships/hyperlink" Target="https://tickettowork.org.au/research/" TargetMode="External"/><Relationship Id="rId30" Type="http://schemas.openxmlformats.org/officeDocument/2006/relationships/hyperlink" Target="file:///C:\Users\adam\Desktop\%3chttp:\espace.library.curtin.edu.au\R%3ffunc=dbin-jump-full&amp;object_id=165465%3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tickettowork.org.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elle.wakeford\AppData\Local\Microsoft\Windows\INetCache\Content.Outlook\P29YO76A\NDIS%20Outcome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15-24 year NDIS participant with a paid job September 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'[NDIS Outcomes Data.xlsx]Sheet1'!$F$13</c:f>
              <c:strCache>
                <c:ptCount val="1"/>
              </c:strCache>
            </c:strRef>
          </c:tx>
          <c:spPr>
            <a:solidFill>
              <a:schemeClr val="accent1"/>
            </a:solidFill>
            <a:ln>
              <a:noFill/>
            </a:ln>
            <a:effectLst/>
          </c:spPr>
          <c:invertIfNegative val="0"/>
          <c:cat>
            <c:strRef>
              <c:f>'[NDIS Outcomes Data.xlsx]Sheet1'!$E$14:$E$21</c:f>
              <c:strCache>
                <c:ptCount val="8"/>
                <c:pt idx="0">
                  <c:v>ACT</c:v>
                </c:pt>
                <c:pt idx="1">
                  <c:v>SA</c:v>
                </c:pt>
                <c:pt idx="2">
                  <c:v>WA</c:v>
                </c:pt>
                <c:pt idx="3">
                  <c:v>QLD</c:v>
                </c:pt>
                <c:pt idx="4">
                  <c:v>NSW</c:v>
                </c:pt>
                <c:pt idx="5">
                  <c:v>VIC</c:v>
                </c:pt>
                <c:pt idx="6">
                  <c:v>NT</c:v>
                </c:pt>
                <c:pt idx="7">
                  <c:v>TAS</c:v>
                </c:pt>
              </c:strCache>
            </c:strRef>
          </c:cat>
          <c:val>
            <c:numRef>
              <c:f>'[NDIS Outcomes Data.xlsx]Sheet1'!$F$14:$F$21</c:f>
              <c:numCache>
                <c:formatCode>0%</c:formatCode>
                <c:ptCount val="8"/>
                <c:pt idx="0">
                  <c:v>0.28000000000000003</c:v>
                </c:pt>
                <c:pt idx="1">
                  <c:v>0.22</c:v>
                </c:pt>
                <c:pt idx="2">
                  <c:v>0.22</c:v>
                </c:pt>
                <c:pt idx="3">
                  <c:v>0.18</c:v>
                </c:pt>
                <c:pt idx="4">
                  <c:v>0.17</c:v>
                </c:pt>
                <c:pt idx="5">
                  <c:v>0.16</c:v>
                </c:pt>
                <c:pt idx="6">
                  <c:v>0.12</c:v>
                </c:pt>
                <c:pt idx="7">
                  <c:v>0.11</c:v>
                </c:pt>
              </c:numCache>
            </c:numRef>
          </c:val>
          <c:extLst>
            <c:ext xmlns:c16="http://schemas.microsoft.com/office/drawing/2014/chart" uri="{C3380CC4-5D6E-409C-BE32-E72D297353CC}">
              <c16:uniqueId val="{00000000-3D23-42F2-A014-64BACA220429}"/>
            </c:ext>
          </c:extLst>
        </c:ser>
        <c:dLbls>
          <c:showLegendKey val="0"/>
          <c:showVal val="0"/>
          <c:showCatName val="0"/>
          <c:showSerName val="0"/>
          <c:showPercent val="0"/>
          <c:showBubbleSize val="0"/>
        </c:dLbls>
        <c:gapWidth val="219"/>
        <c:overlap val="-27"/>
        <c:axId val="472104088"/>
        <c:axId val="472102120"/>
      </c:barChart>
      <c:catAx>
        <c:axId val="472104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State</a:t>
                </a:r>
                <a:r>
                  <a:rPr lang="en-AU" baseline="0"/>
                  <a:t> and Territory </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102120"/>
        <c:crosses val="autoZero"/>
        <c:auto val="1"/>
        <c:lblAlgn val="ctr"/>
        <c:lblOffset val="100"/>
        <c:noMultiLvlLbl val="0"/>
      </c:catAx>
      <c:valAx>
        <c:axId val="472102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104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B6F1D-9F02-4469-A3C2-D8CB72EA73B0}">
  <ds:schemaRefs>
    <ds:schemaRef ds:uri="http://schemas.microsoft.com/sharepoint/v3/contenttype/forms"/>
  </ds:schemaRefs>
</ds:datastoreItem>
</file>

<file path=customXml/itemProps2.xml><?xml version="1.0" encoding="utf-8"?>
<ds:datastoreItem xmlns:ds="http://schemas.openxmlformats.org/officeDocument/2006/customXml" ds:itemID="{659D571D-0053-4625-8C5B-6B031398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098FB-B6E8-48C6-98B7-D341B269D453}">
  <ds:schemaRefs>
    <ds:schemaRef ds:uri="http://schemas.openxmlformats.org/officeDocument/2006/bibliography"/>
  </ds:schemaRefs>
</ds:datastoreItem>
</file>

<file path=customXml/itemProps4.xml><?xml version="1.0" encoding="utf-8"?>
<ds:datastoreItem xmlns:ds="http://schemas.openxmlformats.org/officeDocument/2006/customXml" ds:itemID="{B54AAD40-5D10-4695-932F-68F202CCF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6880</Words>
  <Characters>39219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Michelle Wakeford</cp:lastModifiedBy>
  <cp:revision>2</cp:revision>
  <cp:lastPrinted>2021-03-29T01:02:00Z</cp:lastPrinted>
  <dcterms:created xsi:type="dcterms:W3CDTF">2021-12-09T02:24:00Z</dcterms:created>
  <dcterms:modified xsi:type="dcterms:W3CDTF">2021-12-09T02:24:00Z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ies>
</file>